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1A28" w:rsidRPr="007B13B4" w:rsidRDefault="00351A28" w:rsidP="00351A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F3BA2">
        <w:rPr>
          <w:rFonts w:ascii="Times New Roman" w:hAnsi="Times New Roman"/>
          <w:b/>
          <w:sz w:val="28"/>
          <w:szCs w:val="28"/>
        </w:rPr>
        <w:t>ноябрь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351A28" w:rsidRDefault="00351A28" w:rsidP="00351A2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BA2" w:rsidRDefault="00CF3BA2" w:rsidP="00CF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ноябре 2021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>
        <w:rPr>
          <w:rFonts w:ascii="Times New Roman" w:hAnsi="Times New Roman"/>
          <w:sz w:val="28"/>
          <w:szCs w:val="28"/>
          <w:lang w:eastAsia="ru-RU"/>
        </w:rPr>
        <w:t>21 юридического и 2 физических лиц проведено 85 внеплановых выездных и 1 плановая документарная и выездная проверка 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ах.</w:t>
      </w:r>
    </w:p>
    <w:p w:rsidR="00CF3BA2" w:rsidRDefault="00CF3BA2" w:rsidP="00CF3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</w:t>
      </w:r>
      <w:r w:rsidRPr="00BC0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86 адресов,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89,2 тыс.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72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CF3BA2" w:rsidRDefault="00CF3BA2" w:rsidP="00CF3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составлено 86 актов, выдано 58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й.</w:t>
      </w:r>
    </w:p>
    <w:p w:rsidR="00CF3BA2" w:rsidRDefault="00CF3BA2" w:rsidP="00CF3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 Государственной жилищной инспекции Мурманской области направлено 14 материалов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юридических лиц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CF3BA2" w:rsidRDefault="00CF3BA2" w:rsidP="00CF3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>
        <w:rPr>
          <w:rFonts w:ascii="Times New Roman" w:hAnsi="Times New Roman"/>
          <w:sz w:val="28"/>
          <w:szCs w:val="28"/>
        </w:rPr>
        <w:t>направлено 44 материала мировым судьям для привлечения юридических и должностных лиц к административной ответственности.</w:t>
      </w: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1A28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B6BC1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CF3BA2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BA91-0D2A-4C61-A378-F4E5052C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6</cp:revision>
  <cp:lastPrinted>2021-02-02T12:38:00Z</cp:lastPrinted>
  <dcterms:created xsi:type="dcterms:W3CDTF">2021-02-03T14:23:00Z</dcterms:created>
  <dcterms:modified xsi:type="dcterms:W3CDTF">2022-01-10T09:24:00Z</dcterms:modified>
</cp:coreProperties>
</file>