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512F3" w:rsidRPr="006C713C" w:rsidRDefault="00D512F3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516CD9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16CD9">
        <w:rPr>
          <w:rFonts w:eastAsia="Times New Roman"/>
          <w:szCs w:val="20"/>
          <w:shd w:val="clear" w:color="auto" w:fill="FFFFFF" w:themeFill="background1"/>
          <w:lang w:eastAsia="ru-RU"/>
        </w:rPr>
        <w:t>26.03.</w:t>
      </w:r>
      <w:r w:rsidRPr="00C83F83"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FF7349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C314E1">
        <w:rPr>
          <w:rFonts w:eastAsia="Times New Roman"/>
          <w:szCs w:val="20"/>
          <w:lang w:eastAsia="ru-RU"/>
        </w:rPr>
        <w:t xml:space="preserve"> </w:t>
      </w:r>
      <w:r w:rsidRPr="00C83F83">
        <w:rPr>
          <w:rFonts w:eastAsia="Times New Roman"/>
          <w:szCs w:val="20"/>
          <w:lang w:eastAsia="ru-RU"/>
        </w:rPr>
        <w:t>808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552281711"/>
            <w:placeholder>
              <w:docPart w:val="097C77AFECD946EB8363C6D25E4CF3A5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536648984"/>
                <w:placeholder>
                  <w:docPart w:val="E06A012EF58E4EF4857CFE5A9BA506FD"/>
                </w:placeholder>
              </w:sdtPr>
              <w:sdtEndPr/>
              <w:sdtContent>
                <w:p w:rsidR="00476DDC" w:rsidRPr="00FF7349" w:rsidRDefault="00124EF9" w:rsidP="00124EF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</w:rPr>
                  </w:pPr>
                  <w:r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Об утверждении Порядка оценки налоговых расходов и формирования перечня налоговых расходов муниципального образования город Мурманск </w:t>
                  </w:r>
                  <w:r w:rsidR="00D512F3" w:rsidRPr="002A735E">
                    <w:rPr>
                      <w:b/>
                      <w:szCs w:val="28"/>
                    </w:rPr>
                    <w:t>(в ред. постановлени</w:t>
                  </w:r>
                  <w:r w:rsidR="00D512F3">
                    <w:rPr>
                      <w:b/>
                      <w:szCs w:val="28"/>
                    </w:rPr>
                    <w:t>я</w:t>
                  </w:r>
                  <w:r w:rsidR="00D512F3" w:rsidRPr="002A735E">
                    <w:rPr>
                      <w:b/>
                      <w:szCs w:val="28"/>
                    </w:rPr>
                    <w:t xml:space="preserve"> от </w:t>
                  </w:r>
                  <w:r w:rsidR="00D512F3">
                    <w:rPr>
                      <w:b/>
                      <w:szCs w:val="28"/>
                    </w:rPr>
                    <w:t>28</w:t>
                  </w:r>
                  <w:r w:rsidR="00D512F3" w:rsidRPr="002A735E">
                    <w:rPr>
                      <w:b/>
                      <w:szCs w:val="28"/>
                    </w:rPr>
                    <w:t>.</w:t>
                  </w:r>
                  <w:r w:rsidR="00D512F3">
                    <w:rPr>
                      <w:b/>
                      <w:szCs w:val="28"/>
                    </w:rPr>
                    <w:t>07</w:t>
                  </w:r>
                  <w:r w:rsidR="00D512F3" w:rsidRPr="002A735E">
                    <w:rPr>
                      <w:b/>
                      <w:szCs w:val="28"/>
                    </w:rPr>
                    <w:t>.202</w:t>
                  </w:r>
                  <w:r w:rsidR="00D512F3">
                    <w:rPr>
                      <w:b/>
                      <w:szCs w:val="28"/>
                    </w:rPr>
                    <w:t>3</w:t>
                  </w:r>
                  <w:r w:rsidR="00D512F3" w:rsidRPr="002A735E">
                    <w:rPr>
                      <w:b/>
                      <w:szCs w:val="28"/>
                    </w:rPr>
                    <w:t xml:space="preserve"> №</w:t>
                  </w:r>
                  <w:r w:rsidR="00D512F3">
                    <w:rPr>
                      <w:b/>
                      <w:szCs w:val="28"/>
                    </w:rPr>
                    <w:t>2731</w:t>
                  </w:r>
                  <w:r w:rsidR="00D512F3" w:rsidRPr="002A735E">
                    <w:rPr>
                      <w:b/>
                      <w:szCs w:val="28"/>
                    </w:rPr>
                    <w:t>)</w:t>
                  </w:r>
                </w:p>
              </w:sdtContent>
            </w:sdt>
          </w:sdtContent>
        </w:sdt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53F2" w:rsidRPr="005253F2" w:rsidRDefault="00FF75A5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4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</w:t>
      </w:r>
      <w:r>
        <w:rPr>
          <w:spacing w:val="4"/>
          <w:szCs w:val="28"/>
        </w:rPr>
        <w:br/>
        <w:t>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Мурманской области от 03.12.2019</w:t>
      </w:r>
      <w:r w:rsidR="00AE7E14">
        <w:rPr>
          <w:spacing w:val="4"/>
          <w:szCs w:val="28"/>
        </w:rPr>
        <w:br/>
      </w:r>
      <w:r>
        <w:rPr>
          <w:spacing w:val="4"/>
          <w:szCs w:val="28"/>
        </w:rPr>
        <w:t>№ 554-ПП «Об утверждении Порядка оценки налоговых расходов Мурманской области и формирования перечня налоговых расходов Мурманской области»</w:t>
      </w:r>
      <w:r w:rsidR="00FF7349">
        <w:rPr>
          <w:bCs/>
          <w:szCs w:val="28"/>
        </w:rPr>
        <w:t xml:space="preserve"> </w:t>
      </w:r>
      <w:r w:rsidR="005253F2" w:rsidRPr="005253F2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253F2" w:rsidRPr="005253F2">
        <w:rPr>
          <w:rFonts w:eastAsia="Times New Roman"/>
          <w:b/>
          <w:szCs w:val="28"/>
          <w:lang w:eastAsia="ru-RU"/>
        </w:rPr>
        <w:t>т</w:t>
      </w:r>
      <w:proofErr w:type="gramEnd"/>
      <w:r w:rsidR="005253F2" w:rsidRPr="005253F2">
        <w:rPr>
          <w:rFonts w:eastAsia="Times New Roman"/>
          <w:b/>
          <w:szCs w:val="28"/>
          <w:lang w:eastAsia="ru-RU"/>
        </w:rPr>
        <w:t xml:space="preserve"> а н о в л я ю:</w:t>
      </w:r>
      <w:r w:rsidR="005253F2" w:rsidRPr="005253F2"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733B">
        <w:rPr>
          <w:szCs w:val="28"/>
        </w:rPr>
        <w:t xml:space="preserve">1. </w:t>
      </w:r>
      <w:r>
        <w:rPr>
          <w:szCs w:val="28"/>
        </w:rPr>
        <w:t xml:space="preserve">Утвердить Порядок оценки налоговых расходов и формирования перечня налоговых расходов муниципального образования город Мурманск </w:t>
      </w:r>
      <w:r w:rsidRPr="00B3783A">
        <w:rPr>
          <w:rFonts w:eastAsia="Times New Roman"/>
          <w:szCs w:val="28"/>
          <w:lang w:eastAsia="ru-RU"/>
        </w:rPr>
        <w:t>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Определить комитет по экономическому развитию администрации города Мурманска (</w:t>
      </w:r>
      <w:proofErr w:type="spellStart"/>
      <w:r w:rsidR="00AE7E14">
        <w:rPr>
          <w:rFonts w:eastAsia="Times New Roman"/>
          <w:szCs w:val="20"/>
          <w:lang w:eastAsia="ru-RU"/>
        </w:rPr>
        <w:t>Варич</w:t>
      </w:r>
      <w:proofErr w:type="spellEnd"/>
      <w:r w:rsidR="00AE7E14">
        <w:rPr>
          <w:rFonts w:eastAsia="Times New Roman"/>
          <w:szCs w:val="20"/>
          <w:lang w:eastAsia="ru-RU"/>
        </w:rPr>
        <w:t xml:space="preserve"> А.С.</w:t>
      </w:r>
      <w:r>
        <w:rPr>
          <w:rFonts w:eastAsia="Times New Roman"/>
          <w:szCs w:val="28"/>
          <w:lang w:eastAsia="ru-RU"/>
        </w:rPr>
        <w:t>) уполномоченным органом по проведению оценки налоговых расходов муниципального образования город Мурманск.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AE7E14" w:rsidRPr="003F10D8">
        <w:rPr>
          <w:rFonts w:eastAsia="Times New Roman"/>
          <w:szCs w:val="20"/>
          <w:lang w:eastAsia="ru-RU"/>
        </w:rPr>
        <w:t>Комитету по экономическому развитию администрации города Мурманска (</w:t>
      </w:r>
      <w:proofErr w:type="spellStart"/>
      <w:r w:rsidR="00AE7E14">
        <w:rPr>
          <w:rFonts w:eastAsia="Times New Roman"/>
          <w:szCs w:val="20"/>
          <w:lang w:eastAsia="ru-RU"/>
        </w:rPr>
        <w:t>Варич</w:t>
      </w:r>
      <w:proofErr w:type="spellEnd"/>
      <w:r w:rsidR="00AE7E14">
        <w:rPr>
          <w:rFonts w:eastAsia="Times New Roman"/>
          <w:szCs w:val="20"/>
          <w:lang w:eastAsia="ru-RU"/>
        </w:rPr>
        <w:t xml:space="preserve"> А.С.</w:t>
      </w:r>
      <w:r w:rsidR="00AE7E14" w:rsidRPr="003F10D8">
        <w:rPr>
          <w:rFonts w:eastAsia="Times New Roman"/>
          <w:szCs w:val="20"/>
          <w:lang w:eastAsia="ru-RU"/>
        </w:rPr>
        <w:t xml:space="preserve">) в целях проведения оценки налоговых расходов муниципального образования город Мурманск осуществлять взаимодействие с </w:t>
      </w:r>
      <w:r w:rsidR="00AE7E14">
        <w:rPr>
          <w:rFonts w:eastAsia="Times New Roman"/>
          <w:szCs w:val="20"/>
          <w:lang w:eastAsia="ru-RU"/>
        </w:rPr>
        <w:t>УФНС</w:t>
      </w:r>
      <w:r w:rsidR="00AE7E14" w:rsidRPr="003F10D8">
        <w:rPr>
          <w:rFonts w:eastAsia="Times New Roman"/>
          <w:szCs w:val="20"/>
          <w:lang w:eastAsia="ru-RU"/>
        </w:rPr>
        <w:t xml:space="preserve"> России по </w:t>
      </w:r>
      <w:r w:rsidR="00AE7E14">
        <w:rPr>
          <w:rFonts w:eastAsia="Times New Roman"/>
          <w:szCs w:val="20"/>
          <w:lang w:eastAsia="ru-RU"/>
        </w:rPr>
        <w:t>Мурманской области</w:t>
      </w:r>
      <w:r w:rsidR="00AE7E14" w:rsidRPr="003F10D8">
        <w:rPr>
          <w:rFonts w:eastAsia="Times New Roman"/>
          <w:szCs w:val="20"/>
          <w:lang w:eastAsia="ru-RU"/>
        </w:rPr>
        <w:t xml:space="preserve"> в рамках действующего законодательства.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Отменить постановления администрации города Мурманска:</w:t>
      </w:r>
    </w:p>
    <w:p w:rsidR="00C50C92" w:rsidRDefault="00B52619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23.05.2011 № 851 «О п</w:t>
      </w:r>
      <w:r w:rsidR="00C50C92">
        <w:rPr>
          <w:rFonts w:eastAsia="Times New Roman"/>
          <w:szCs w:val="28"/>
          <w:lang w:eastAsia="ru-RU"/>
        </w:rPr>
        <w:t>орядке оценки эффективности предоставленных и планируемых к предоставлению льгот по местным налогам в муниципальном образовании город Мурманск»;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30.07.2015 № 2036 «О внесении изменения в постановление администрации города Му</w:t>
      </w:r>
      <w:r w:rsidR="00B52619">
        <w:rPr>
          <w:rFonts w:eastAsia="Times New Roman"/>
          <w:szCs w:val="28"/>
          <w:lang w:eastAsia="ru-RU"/>
        </w:rPr>
        <w:t>рманска от 23.05.2011 № 851 «О п</w:t>
      </w:r>
      <w:r>
        <w:rPr>
          <w:rFonts w:eastAsia="Times New Roman"/>
          <w:szCs w:val="28"/>
          <w:lang w:eastAsia="ru-RU"/>
        </w:rPr>
        <w:t>орядке оценки эффективности предоставленных и планируемых к предоставлению льгот по местным налогам в муниципальном образовании город Мурманск»;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от 28.03.2018 № 818 «О внесении изменений в приложение к постановлению администрации города Му</w:t>
      </w:r>
      <w:r w:rsidR="00815EBA">
        <w:rPr>
          <w:rFonts w:eastAsia="Times New Roman"/>
          <w:szCs w:val="28"/>
          <w:lang w:eastAsia="ru-RU"/>
        </w:rPr>
        <w:t xml:space="preserve">рманска от 23.05.2011 № 851 </w:t>
      </w:r>
      <w:r w:rsidR="00AE7E14">
        <w:rPr>
          <w:rFonts w:eastAsia="Times New Roman"/>
          <w:szCs w:val="28"/>
          <w:lang w:eastAsia="ru-RU"/>
        </w:rPr>
        <w:br/>
      </w:r>
      <w:r w:rsidR="00815EBA">
        <w:rPr>
          <w:rFonts w:eastAsia="Times New Roman"/>
          <w:szCs w:val="28"/>
          <w:lang w:eastAsia="ru-RU"/>
        </w:rPr>
        <w:t>«О п</w:t>
      </w:r>
      <w:r>
        <w:rPr>
          <w:rFonts w:eastAsia="Times New Roman"/>
          <w:szCs w:val="28"/>
          <w:lang w:eastAsia="ru-RU"/>
        </w:rPr>
        <w:t>орядке оценки эффективности предоставленных и планируемых к предоставлению льгот по местным налогам в муниципальном образовании город Мурманск» (в ред. постановления от 30.07.2015 № 2036)».</w:t>
      </w:r>
    </w:p>
    <w:p w:rsidR="00C50C92" w:rsidRPr="008F733B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50C92" w:rsidRPr="008F733B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F733B">
        <w:rPr>
          <w:szCs w:val="28"/>
        </w:rPr>
        <w:t>. 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>.</w:t>
      </w:r>
    </w:p>
    <w:p w:rsidR="00C50C92" w:rsidRPr="008F733B" w:rsidRDefault="00C50C92" w:rsidP="00C50C9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F733B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:rsidR="00C50C92" w:rsidRDefault="00C50C92" w:rsidP="00C50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</w:t>
      </w:r>
      <w:r w:rsidRPr="008F733B">
        <w:rPr>
          <w:szCs w:val="28"/>
        </w:rPr>
        <w:t>. Контроль за выполнением настоящего постановления оставляю за собой</w:t>
      </w:r>
      <w:r>
        <w:rPr>
          <w:szCs w:val="28"/>
        </w:rPr>
        <w:t>.</w:t>
      </w: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0C92" w:rsidRPr="00FD3B16" w:rsidRDefault="00C50C9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635EC0" w:rsidRDefault="00635EC0" w:rsidP="00635EC0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Глава администрации </w:t>
            </w:r>
          </w:p>
          <w:p w:rsidR="00B5456A" w:rsidRPr="00635EC0" w:rsidRDefault="00635EC0" w:rsidP="00635EC0">
            <w:pPr>
              <w:spacing w:after="0" w:line="240" w:lineRule="auto"/>
              <w:jc w:val="both"/>
              <w:rPr>
                <w:b/>
                <w:szCs w:val="28"/>
                <w:lang w:val="en-US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  <w:r>
              <w:rPr>
                <w:rFonts w:eastAsia="Times New Roman"/>
                <w:b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5D241B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635EC0">
              <w:rPr>
                <w:rFonts w:eastAsia="Times New Roman"/>
                <w:b/>
                <w:szCs w:val="20"/>
                <w:lang w:eastAsia="ru-RU"/>
              </w:rPr>
              <w:t xml:space="preserve">Е.В. </w:t>
            </w:r>
            <w:proofErr w:type="spellStart"/>
            <w:r w:rsidR="00635EC0">
              <w:rPr>
                <w:rFonts w:eastAsia="Times New Roman"/>
                <w:b/>
                <w:szCs w:val="20"/>
                <w:lang w:eastAsia="ru-RU"/>
              </w:rPr>
              <w:t>Никора</w:t>
            </w:r>
            <w:proofErr w:type="spellEnd"/>
          </w:p>
        </w:tc>
      </w:tr>
    </w:tbl>
    <w:p w:rsidR="00C83F83" w:rsidRDefault="00C83F83" w:rsidP="00654959">
      <w:pPr>
        <w:spacing w:after="0" w:line="240" w:lineRule="auto"/>
        <w:ind w:left="4956" w:firstLine="573"/>
        <w:jc w:val="center"/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Default="00C83F83" w:rsidP="00C83F83">
      <w:pPr>
        <w:rPr>
          <w:szCs w:val="28"/>
        </w:rPr>
      </w:pPr>
    </w:p>
    <w:p w:rsidR="00152276" w:rsidRDefault="00C83F83" w:rsidP="00C83F83">
      <w:pPr>
        <w:tabs>
          <w:tab w:val="left" w:pos="2400"/>
        </w:tabs>
        <w:rPr>
          <w:szCs w:val="28"/>
        </w:rPr>
      </w:pPr>
      <w:r>
        <w:rPr>
          <w:szCs w:val="28"/>
        </w:rPr>
        <w:tab/>
      </w: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2A27D5" w:rsidRDefault="002A27D5" w:rsidP="00C83F83">
      <w:pPr>
        <w:tabs>
          <w:tab w:val="left" w:pos="2400"/>
        </w:tabs>
        <w:rPr>
          <w:szCs w:val="28"/>
        </w:rPr>
        <w:sectPr w:rsidR="002A27D5" w:rsidSect="00F12BD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3F83" w:rsidRPr="002A4A3F" w:rsidRDefault="00C83F83" w:rsidP="00C83F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42422F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</w:t>
      </w:r>
      <w:r w:rsidRPr="00C83F83">
        <w:rPr>
          <w:rFonts w:eastAsia="Times New Roman"/>
          <w:szCs w:val="28"/>
          <w:lang w:eastAsia="ru-RU"/>
        </w:rPr>
        <w:t xml:space="preserve">       </w:t>
      </w:r>
      <w:r w:rsidR="00106042">
        <w:rPr>
          <w:rFonts w:eastAsia="Times New Roman"/>
          <w:szCs w:val="28"/>
          <w:lang w:eastAsia="ru-RU"/>
        </w:rPr>
        <w:t xml:space="preserve">   </w:t>
      </w:r>
      <w:r w:rsidRPr="002A4A3F">
        <w:rPr>
          <w:rFonts w:eastAsia="Times New Roman"/>
          <w:szCs w:val="28"/>
          <w:lang w:eastAsia="ru-RU"/>
        </w:rPr>
        <w:t>Приложение</w:t>
      </w:r>
    </w:p>
    <w:p w:rsidR="00C83F83" w:rsidRDefault="00C83F83" w:rsidP="00C83F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42422F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 w:rsidRPr="002A4A3F">
        <w:rPr>
          <w:rFonts w:eastAsia="Times New Roman"/>
          <w:szCs w:val="28"/>
          <w:lang w:eastAsia="ru-RU"/>
        </w:rPr>
        <w:t xml:space="preserve">к постановлению администрации </w:t>
      </w:r>
    </w:p>
    <w:p w:rsidR="00C83F83" w:rsidRPr="002A4A3F" w:rsidRDefault="00C83F83" w:rsidP="00C83F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42422F">
        <w:rPr>
          <w:rFonts w:eastAsia="Times New Roman"/>
          <w:szCs w:val="28"/>
          <w:lang w:eastAsia="ru-RU"/>
        </w:rPr>
        <w:t xml:space="preserve">                                                                          </w:t>
      </w:r>
      <w:r w:rsidRPr="002A4A3F">
        <w:rPr>
          <w:rFonts w:eastAsia="Times New Roman"/>
          <w:szCs w:val="28"/>
          <w:lang w:eastAsia="ru-RU"/>
        </w:rPr>
        <w:t>города Мурманска</w:t>
      </w:r>
    </w:p>
    <w:p w:rsidR="00C83F83" w:rsidRDefault="00C83F83" w:rsidP="00C83F83">
      <w:pPr>
        <w:spacing w:after="0" w:line="240" w:lineRule="auto"/>
      </w:pPr>
      <w:r w:rsidRPr="007F6E3C">
        <w:rPr>
          <w:rFonts w:eastAsia="Times New Roman"/>
          <w:szCs w:val="28"/>
          <w:lang w:eastAsia="ru-RU"/>
        </w:rPr>
        <w:t xml:space="preserve">                             </w:t>
      </w:r>
      <w:r>
        <w:rPr>
          <w:rFonts w:eastAsia="Times New Roman"/>
          <w:szCs w:val="28"/>
          <w:lang w:eastAsia="ru-RU"/>
        </w:rPr>
        <w:t xml:space="preserve">          </w:t>
      </w:r>
      <w:r w:rsidRPr="007F6E3C">
        <w:rPr>
          <w:rFonts w:eastAsia="Times New Roman"/>
          <w:szCs w:val="28"/>
          <w:lang w:eastAsia="ru-RU"/>
        </w:rPr>
        <w:t xml:space="preserve">                                                   </w:t>
      </w:r>
      <w:r w:rsidRPr="002A4A3F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26.03.2020</w:t>
      </w:r>
      <w:r w:rsidRPr="002A4A3F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808</w:t>
      </w:r>
    </w:p>
    <w:p w:rsidR="00C83F83" w:rsidRPr="00C323BA" w:rsidRDefault="00C83F83" w:rsidP="00C83F83">
      <w:pPr>
        <w:spacing w:after="0" w:line="240" w:lineRule="auto"/>
        <w:jc w:val="center"/>
        <w:rPr>
          <w:b/>
          <w:sz w:val="24"/>
          <w:szCs w:val="24"/>
        </w:rPr>
      </w:pPr>
    </w:p>
    <w:p w:rsidR="00C83F83" w:rsidRDefault="00C83F83" w:rsidP="00C83F83">
      <w:pPr>
        <w:spacing w:after="0" w:line="240" w:lineRule="auto"/>
        <w:jc w:val="center"/>
        <w:rPr>
          <w:szCs w:val="28"/>
        </w:rPr>
      </w:pPr>
      <w:r w:rsidRPr="009C6714">
        <w:rPr>
          <w:szCs w:val="28"/>
        </w:rPr>
        <w:t xml:space="preserve">Порядок оценки налоговых расходов </w:t>
      </w:r>
    </w:p>
    <w:p w:rsidR="00C83F83" w:rsidRDefault="00C83F83" w:rsidP="00C83F83">
      <w:pPr>
        <w:spacing w:after="0" w:line="240" w:lineRule="auto"/>
        <w:jc w:val="center"/>
        <w:rPr>
          <w:szCs w:val="28"/>
        </w:rPr>
      </w:pPr>
      <w:r w:rsidRPr="009C6714">
        <w:rPr>
          <w:szCs w:val="28"/>
        </w:rPr>
        <w:t xml:space="preserve">и формирования перечня налоговых расходов </w:t>
      </w:r>
    </w:p>
    <w:p w:rsidR="00C83F83" w:rsidRPr="009C6714" w:rsidRDefault="00C83F83" w:rsidP="00C83F83">
      <w:pPr>
        <w:spacing w:after="0" w:line="240" w:lineRule="auto"/>
        <w:jc w:val="center"/>
        <w:rPr>
          <w:szCs w:val="28"/>
        </w:rPr>
      </w:pPr>
      <w:r w:rsidRPr="009C6714">
        <w:rPr>
          <w:szCs w:val="28"/>
        </w:rPr>
        <w:t>муниципального образования город Мурманск</w:t>
      </w:r>
    </w:p>
    <w:p w:rsidR="00C83F83" w:rsidRPr="00632FD9" w:rsidRDefault="00C83F83" w:rsidP="00C83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Default="00C83F83" w:rsidP="0027736E">
      <w:pPr>
        <w:pStyle w:val="ConsPlusTitle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86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83F83" w:rsidRPr="00FB586D" w:rsidRDefault="00C83F83" w:rsidP="00C83F83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Pr="00FB586D" w:rsidRDefault="00C83F83" w:rsidP="00C83F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1.1.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оценки налоговых расходов и формирования перечня налоговых расходов муниципального образования город Мурманск (далее – Порядок) </w:t>
      </w:r>
      <w:r w:rsidRPr="00FB586D">
        <w:rPr>
          <w:rFonts w:ascii="Times New Roman" w:hAnsi="Times New Roman" w:cs="Times New Roman"/>
          <w:sz w:val="28"/>
          <w:szCs w:val="28"/>
        </w:rPr>
        <w:t>определяет правила проведения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характеристиках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порядок обобщения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осуществляемой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а также порядок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термины и понятия, установленные общими </w:t>
      </w:r>
      <w:hyperlink r:id="rId11" w:history="1">
        <w:r w:rsidRPr="008F082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 xml:space="preserve">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86D">
        <w:rPr>
          <w:rFonts w:ascii="Times New Roman" w:hAnsi="Times New Roman" w:cs="Times New Roman"/>
          <w:sz w:val="28"/>
          <w:szCs w:val="28"/>
        </w:rPr>
        <w:t xml:space="preserve"> 796 </w:t>
      </w:r>
      <w:r w:rsidR="00AE7E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B586D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1.3. Отнесение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</w:t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B586D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14CA">
        <w:rPr>
          <w:rFonts w:ascii="Times New Roman" w:hAnsi="Times New Roman" w:cs="Times New Roman"/>
          <w:sz w:val="28"/>
          <w:szCs w:val="28"/>
        </w:rPr>
        <w:t>программ города Мурманска и (или) целей социально-экономического развития муниципального образования город Мурманск, не относящихся к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AE7E14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85">
        <w:rPr>
          <w:rFonts w:ascii="Times New Roman" w:hAnsi="Times New Roman" w:cs="Times New Roman"/>
          <w:sz w:val="28"/>
          <w:szCs w:val="28"/>
        </w:rPr>
        <w:t>1.4. Результаты оценки налоговых расходов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 Мурманск)</w:t>
      </w:r>
      <w:r w:rsidRPr="00A44185">
        <w:rPr>
          <w:rFonts w:ascii="Times New Roman" w:hAnsi="Times New Roman" w:cs="Times New Roman"/>
          <w:sz w:val="28"/>
          <w:szCs w:val="28"/>
        </w:rPr>
        <w:t xml:space="preserve">, предусмотренных решениями Совета депутатов города Мурманска о налогах,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города Мурманска, а также </w:t>
      </w:r>
      <w:r w:rsidRPr="00A44185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 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2773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D73">
        <w:rPr>
          <w:rFonts w:ascii="Times New Roman" w:hAnsi="Times New Roman" w:cs="Times New Roman"/>
          <w:b w:val="0"/>
          <w:sz w:val="28"/>
          <w:szCs w:val="28"/>
        </w:rPr>
        <w:t>2. Порядок оценки налоговых расходов</w:t>
      </w:r>
      <w:r w:rsidR="00277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36E">
        <w:rPr>
          <w:rFonts w:ascii="Times New Roman" w:hAnsi="Times New Roman" w:cs="Times New Roman"/>
          <w:b w:val="0"/>
          <w:sz w:val="28"/>
          <w:szCs w:val="28"/>
        </w:rPr>
        <w:br/>
      </w:r>
      <w:r w:rsidRPr="00182D7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Мурманск</w:t>
      </w:r>
    </w:p>
    <w:p w:rsidR="00C83F83" w:rsidRPr="00182D7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73">
        <w:rPr>
          <w:rFonts w:ascii="Times New Roman" w:hAnsi="Times New Roman" w:cs="Times New Roman"/>
          <w:sz w:val="28"/>
          <w:szCs w:val="28"/>
        </w:rPr>
        <w:t>2.1. Оценка налоговых расходов муниципального образования город Мурманск включает в себя комплекс мероприятий по оценке объемов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налоговых расходов,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решениями Совета депутатов города Мурманска </w:t>
      </w:r>
      <w:r w:rsidR="00AE7E14"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 xml:space="preserve">о налогах, предусматриваемых проектами </w:t>
      </w:r>
      <w:r>
        <w:rPr>
          <w:rFonts w:ascii="Times New Roman" w:hAnsi="Times New Roman" w:cs="Times New Roman"/>
          <w:sz w:val="28"/>
          <w:szCs w:val="28"/>
        </w:rPr>
        <w:t xml:space="preserve">решений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 налогах, обращениями плательщиков,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2.2. В целях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решениями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 налогах: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DC">
        <w:rPr>
          <w:rFonts w:ascii="Times New Roman" w:hAnsi="Times New Roman" w:cs="Times New Roman"/>
          <w:sz w:val="28"/>
          <w:szCs w:val="28"/>
        </w:rPr>
        <w:t xml:space="preserve">- </w:t>
      </w:r>
      <w:r w:rsidRPr="00F0248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взаимодействии </w:t>
      </w:r>
      <w:r w:rsidR="00AE7E14">
        <w:rPr>
          <w:rFonts w:ascii="Times New Roman" w:hAnsi="Times New Roman" w:cs="Times New Roman"/>
          <w:sz w:val="28"/>
          <w:szCs w:val="28"/>
        </w:rPr>
        <w:t>УФНС России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города Мурманска в срок не позднее 1 августа года, следующего за отчетным, получает из </w:t>
      </w:r>
      <w:r w:rsidR="00AE7E14">
        <w:rPr>
          <w:rFonts w:ascii="Times New Roman" w:hAnsi="Times New Roman" w:cs="Times New Roman"/>
          <w:sz w:val="28"/>
          <w:szCs w:val="28"/>
        </w:rPr>
        <w:t>УФНС России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 муниципального образования город Мурманск; о суммах выпадающих доходов бюджета муниципального образования город Мурманск по каждому налоговому расходу города Мурманска</w:t>
      </w:r>
      <w:r w:rsidRPr="007264DC">
        <w:rPr>
          <w:rFonts w:ascii="Times New Roman" w:hAnsi="Times New Roman" w:cs="Times New Roman"/>
          <w:sz w:val="28"/>
          <w:szCs w:val="28"/>
        </w:rPr>
        <w:t>;</w:t>
      </w:r>
    </w:p>
    <w:p w:rsidR="00C83F83" w:rsidRPr="00BB71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течение двух</w:t>
      </w:r>
      <w:r w:rsidRPr="00BB716D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 </w:t>
      </w:r>
      <w:r w:rsidR="00AE7E14" w:rsidRPr="00AE7E14">
        <w:rPr>
          <w:rFonts w:ascii="Times New Roman" w:hAnsi="Times New Roman" w:cs="Times New Roman"/>
          <w:sz w:val="28"/>
          <w:szCs w:val="28"/>
        </w:rPr>
        <w:t>УФНС России по Мурманской области</w:t>
      </w:r>
      <w:r w:rsidRPr="00BB716D">
        <w:rPr>
          <w:rFonts w:ascii="Times New Roman" w:hAnsi="Times New Roman" w:cs="Times New Roman"/>
          <w:sz w:val="28"/>
          <w:szCs w:val="28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 муниципального образования город Мурманск, о суммах выпадающих доходов бюджета муниципального образования город Мурманск по каждому налоговому расходу города Мурманска, </w:t>
      </w:r>
      <w:r>
        <w:rPr>
          <w:rFonts w:ascii="Times New Roman" w:hAnsi="Times New Roman" w:cs="Times New Roman"/>
          <w:sz w:val="28"/>
          <w:szCs w:val="28"/>
        </w:rPr>
        <w:t>доводит данную информацию до структурных подразделений администрации города Мурманска, ответственных за достижение соответствующих налоговому расходу города Мурманска целей муниципальной программы города Мурманска и (или) целей социально-экономического развития города Мурманска, не относящихся к муниципальным программам города Мурманска (далее – кураторы налоговых расходов города Мурманска)</w:t>
      </w:r>
      <w:r w:rsidRPr="00BB71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BB71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1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5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D7">
        <w:rPr>
          <w:rFonts w:ascii="Times New Roman" w:hAnsi="Times New Roman" w:cs="Times New Roman"/>
          <w:sz w:val="28"/>
          <w:szCs w:val="28"/>
        </w:rPr>
        <w:t>августа на основе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16D">
        <w:rPr>
          <w:rFonts w:ascii="Times New Roman" w:hAnsi="Times New Roman" w:cs="Times New Roman"/>
          <w:sz w:val="28"/>
          <w:szCs w:val="28"/>
        </w:rPr>
        <w:t>представленных кураторами налоговых расходов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7E14">
        <w:rPr>
          <w:rFonts w:ascii="Times New Roman" w:hAnsi="Times New Roman" w:cs="Times New Roman"/>
          <w:sz w:val="28"/>
          <w:szCs w:val="28"/>
        </w:rPr>
        <w:t>УФНС России по Мурманской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осуществляет формирование информации о нормативных, целевых и фискальных характеристиках налоговых расходов муниципального образования город Мурманск, необходимой для проведений их оценки, в соответствии с приложением № 1 к настоящему Порядку</w:t>
      </w:r>
      <w:r w:rsidRPr="00BB716D">
        <w:rPr>
          <w:rFonts w:ascii="Times New Roman" w:hAnsi="Times New Roman" w:cs="Times New Roman"/>
          <w:sz w:val="28"/>
          <w:szCs w:val="28"/>
        </w:rPr>
        <w:t>;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до 1 сентября готовит отчет об оценке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 налогах, содержащий результаты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аналитическую записку по результатам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предложения по отмене неэффективных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представляет их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города Мурманска дл</w:t>
      </w:r>
      <w:r w:rsidRPr="00FB586D">
        <w:rPr>
          <w:rFonts w:ascii="Times New Roman" w:hAnsi="Times New Roman" w:cs="Times New Roman"/>
          <w:sz w:val="28"/>
          <w:szCs w:val="28"/>
        </w:rPr>
        <w:t>я принятия решения о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об отмене неэффективных налоговых льгот, освобождений и иных преференций по 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>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Мурманска;</w:t>
      </w:r>
    </w:p>
    <w:p w:rsidR="00C83F83" w:rsidRPr="00C13E47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AE">
        <w:rPr>
          <w:rFonts w:ascii="Times New Roman" w:hAnsi="Times New Roman" w:cs="Times New Roman"/>
          <w:sz w:val="28"/>
          <w:szCs w:val="28"/>
        </w:rPr>
        <w:t>- до 1 сентября направляет в управление финансов администрации города Мурманска отчет об оценке эффективности налоговых расходов города Мурманска;</w:t>
      </w:r>
      <w:r w:rsidRPr="00C1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отчет об оценке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решениями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 налогах,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а также направляет его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 xml:space="preserve">до 1 октября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разрабатывает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об отмене неэффективных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586D">
        <w:rPr>
          <w:rFonts w:ascii="Times New Roman" w:hAnsi="Times New Roman" w:cs="Times New Roman"/>
          <w:sz w:val="28"/>
          <w:szCs w:val="28"/>
        </w:rPr>
        <w:t>) 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августа осущ</w:t>
      </w:r>
      <w:r w:rsidRPr="00FB586D">
        <w:rPr>
          <w:rFonts w:ascii="Times New Roman" w:hAnsi="Times New Roman" w:cs="Times New Roman"/>
          <w:sz w:val="28"/>
          <w:szCs w:val="28"/>
        </w:rPr>
        <w:t>ествляют оценку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40E4">
        <w:rPr>
          <w:rFonts w:ascii="Times New Roman" w:hAnsi="Times New Roman" w:cs="Times New Roman"/>
          <w:sz w:val="28"/>
          <w:szCs w:val="28"/>
        </w:rPr>
        <w:t>настоящим Порядком и направляют в комитет по экономическому развитию администрации города</w:t>
      </w:r>
      <w:r w:rsidRPr="00C66746">
        <w:rPr>
          <w:rFonts w:ascii="Times New Roman" w:hAnsi="Times New Roman" w:cs="Times New Roman"/>
          <w:sz w:val="28"/>
          <w:szCs w:val="28"/>
        </w:rPr>
        <w:t xml:space="preserve"> Мурманска результаты такой </w:t>
      </w:r>
      <w:hyperlink w:anchor="P229" w:history="1">
        <w:r w:rsidRPr="00C66746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C66746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№ 2 к настоящему Порядку для их обобщения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2.3. В целях проведения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предусматриваемых проектами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 депутатов города Мурманска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о налогах, а также в связи с обращениями налогоплательщиков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о предоставлении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FB586D">
        <w:rPr>
          <w:rFonts w:ascii="Times New Roman" w:hAnsi="Times New Roman" w:cs="Times New Roman"/>
          <w:sz w:val="28"/>
          <w:szCs w:val="28"/>
        </w:rPr>
        <w:t xml:space="preserve">1) </w:t>
      </w:r>
      <w:r w:rsidRPr="00FA40E4">
        <w:rPr>
          <w:rFonts w:ascii="Times New Roman" w:hAnsi="Times New Roman" w:cs="Times New Roman"/>
          <w:sz w:val="28"/>
          <w:szCs w:val="28"/>
        </w:rPr>
        <w:t xml:space="preserve">разработчик проекта решения Совета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40E4">
        <w:rPr>
          <w:rFonts w:ascii="Times New Roman" w:hAnsi="Times New Roman" w:cs="Times New Roman"/>
          <w:sz w:val="28"/>
          <w:szCs w:val="28"/>
        </w:rPr>
        <w:t>о налогах, предусматривающего предоставление налоговых льгот, освобождений и иных преференций по налогам, образующих налоговые расходы города Мурманска, плательщики, обращающиеся</w:t>
      </w:r>
      <w:r w:rsidRPr="00FB586D">
        <w:rPr>
          <w:rFonts w:ascii="Times New Roman" w:hAnsi="Times New Roman" w:cs="Times New Roman"/>
          <w:sz w:val="28"/>
          <w:szCs w:val="28"/>
        </w:rPr>
        <w:t xml:space="preserve"> за предоставлением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августа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о количестве плательщиков, в отношении которых предполагается к предоставлению налоговая льгота, освобождение и иная преференция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о предполагаемом объеме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по налоговому расходу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сведения о целях предоставления, показателях (индикаторах)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на значение которых окажет влияние налоговый расход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FB58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информации, указанной в </w:t>
      </w:r>
      <w:hyperlink w:anchor="P61" w:history="1">
        <w:r w:rsidRPr="00FC094A">
          <w:rPr>
            <w:rFonts w:ascii="Times New Roman" w:hAnsi="Times New Roman" w:cs="Times New Roman"/>
            <w:sz w:val="28"/>
            <w:szCs w:val="28"/>
          </w:rPr>
          <w:t>подпункте 1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C094A">
        <w:rPr>
          <w:rFonts w:ascii="Times New Roman" w:hAnsi="Times New Roman" w:cs="Times New Roman"/>
          <w:sz w:val="28"/>
          <w:szCs w:val="28"/>
        </w:rPr>
        <w:t xml:space="preserve">, </w:t>
      </w:r>
      <w:r w:rsidRPr="00FB586D">
        <w:rPr>
          <w:rFonts w:ascii="Times New Roman" w:hAnsi="Times New Roman" w:cs="Times New Roman"/>
          <w:sz w:val="28"/>
          <w:szCs w:val="28"/>
        </w:rPr>
        <w:t xml:space="preserve">направляет данную 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>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 Мурманска, к</w:t>
      </w:r>
      <w:r w:rsidRPr="00FB586D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FB586D">
        <w:rPr>
          <w:rFonts w:ascii="Times New Roman" w:hAnsi="Times New Roman" w:cs="Times New Roman"/>
          <w:sz w:val="28"/>
          <w:szCs w:val="28"/>
        </w:rPr>
        <w:t>предлагается определить в качестве куратора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4" w:history="1">
        <w:r w:rsidRPr="00FC094A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C094A">
        <w:rPr>
          <w:rFonts w:ascii="Times New Roman" w:hAnsi="Times New Roman" w:cs="Times New Roman"/>
          <w:sz w:val="28"/>
          <w:szCs w:val="28"/>
        </w:rPr>
        <w:t xml:space="preserve">, </w:t>
      </w:r>
      <w:r w:rsidRPr="00FB586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соответствующей информации осуществляет оценку эффективности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направляет в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 резу</w:t>
      </w:r>
      <w:r w:rsidRPr="00FB586D">
        <w:rPr>
          <w:rFonts w:ascii="Times New Roman" w:hAnsi="Times New Roman" w:cs="Times New Roman"/>
          <w:sz w:val="28"/>
          <w:szCs w:val="28"/>
        </w:rPr>
        <w:t xml:space="preserve">льтаты такой </w:t>
      </w:r>
      <w:hyperlink w:anchor="P229" w:history="1">
        <w:r w:rsidRPr="00FC094A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FC094A">
        <w:rPr>
          <w:rFonts w:ascii="Times New Roman" w:hAnsi="Times New Roman" w:cs="Times New Roman"/>
          <w:sz w:val="28"/>
          <w:szCs w:val="28"/>
        </w:rP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86D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4) в случае наличия возражений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64" w:history="1">
        <w:r w:rsidRPr="00C54BAB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54BAB">
        <w:rPr>
          <w:rFonts w:ascii="Times New Roman" w:hAnsi="Times New Roman" w:cs="Times New Roman"/>
          <w:sz w:val="28"/>
          <w:szCs w:val="28"/>
        </w:rPr>
        <w:t xml:space="preserve">, в части определения куратора налогового расхода города Мурманска структурное подразделение администрации города Мурманска, указанное в </w:t>
      </w:r>
      <w:hyperlink w:anchor="P64" w:history="1">
        <w:r w:rsidRPr="00C54BAB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течение трех</w:t>
      </w:r>
      <w:r w:rsidRPr="00C54BA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B586D">
        <w:rPr>
          <w:rFonts w:ascii="Times New Roman" w:hAnsi="Times New Roman" w:cs="Times New Roman"/>
          <w:sz w:val="28"/>
          <w:szCs w:val="28"/>
        </w:rPr>
        <w:t xml:space="preserve"> со дня поступления соответствующей информации направляет в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  <w:r w:rsidRPr="00FB586D">
        <w:rPr>
          <w:rFonts w:ascii="Times New Roman" w:hAnsi="Times New Roman" w:cs="Times New Roman"/>
          <w:sz w:val="28"/>
          <w:szCs w:val="28"/>
        </w:rPr>
        <w:t xml:space="preserve"> куратором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и</w:t>
      </w:r>
      <w:r w:rsidRPr="00FB586D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согласованные с этим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комитет по экономическому развитию администрации города Мурманска в течение пяти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результатов оценки эффективности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64" w:history="1">
        <w:r w:rsidRPr="00C54BAB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54BAB">
        <w:rPr>
          <w:rFonts w:ascii="Times New Roman" w:hAnsi="Times New Roman" w:cs="Times New Roman"/>
          <w:sz w:val="28"/>
          <w:szCs w:val="28"/>
        </w:rPr>
        <w:t xml:space="preserve">, </w:t>
      </w:r>
      <w:r w:rsidRPr="00FB586D">
        <w:rPr>
          <w:rFonts w:ascii="Times New Roman" w:hAnsi="Times New Roman" w:cs="Times New Roman"/>
          <w:sz w:val="28"/>
          <w:szCs w:val="28"/>
        </w:rPr>
        <w:t>готовит отчет об оценке эффективности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направляет его разработчику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 налогах, предусматривающего предоставление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либо плательщику, обратившемуся за предоставлением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2.4. Оценка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включает оценку целесообразности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оценку результативности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2.5. Критериями целесообразности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соответствие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целям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 п</w:t>
      </w:r>
      <w:r w:rsidRPr="00FB586D">
        <w:rPr>
          <w:rFonts w:ascii="Times New Roman" w:hAnsi="Times New Roman" w:cs="Times New Roman"/>
          <w:sz w:val="28"/>
          <w:szCs w:val="28"/>
        </w:rPr>
        <w:t>рограммам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Default="00AE7E14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4">
        <w:rPr>
          <w:rFonts w:ascii="Times New Roman" w:hAnsi="Times New Roman" w:cs="Times New Roman"/>
          <w:sz w:val="28"/>
          <w:szCs w:val="28"/>
        </w:rPr>
        <w:t xml:space="preserve">- востребованность плательщиками предоставленных налоговых льгот, освобождений и иных преференций по налогам,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</w:t>
      </w:r>
      <w:r w:rsidRPr="00AE7E14">
        <w:rPr>
          <w:rFonts w:ascii="Times New Roman" w:hAnsi="Times New Roman" w:cs="Times New Roman"/>
          <w:sz w:val="28"/>
          <w:szCs w:val="28"/>
        </w:rPr>
        <w:lastRenderedPageBreak/>
        <w:t>применение льготы, или общей численности плательщиков, за пятилетний период.</w:t>
      </w:r>
    </w:p>
    <w:p w:rsidR="00AE7E14" w:rsidRPr="00AE7E14" w:rsidRDefault="00AE7E14" w:rsidP="00AE7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4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пятилетний период, при котором льгота признается востребованной.</w:t>
      </w:r>
    </w:p>
    <w:p w:rsidR="00AE7E14" w:rsidRPr="00FB586D" w:rsidRDefault="00AE7E14" w:rsidP="00AE7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4">
        <w:rPr>
          <w:rFonts w:ascii="Times New Roman" w:hAnsi="Times New Roman" w:cs="Times New Roman"/>
          <w:sz w:val="28"/>
          <w:szCs w:val="28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налоговых расходов 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2.6. В качестве критерия результативности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в изменение значения показателя (индикатора)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значением указанного показателя (индикатора) без учета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AE7E14" w:rsidRPr="00FB586D" w:rsidRDefault="00AE7E14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14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 города Мурманска допускается не проводить в отношении технических налоговых расходов 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2.7. Оценка результативности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2.8. 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города Мурманска, не относящихся </w:t>
      </w:r>
      <w:r>
        <w:rPr>
          <w:rFonts w:ascii="Times New Roman" w:hAnsi="Times New Roman" w:cs="Times New Roman"/>
          <w:sz w:val="28"/>
          <w:szCs w:val="28"/>
        </w:rPr>
        <w:br/>
        <w:t>к муниципальным программам 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B586D">
        <w:rPr>
          <w:rFonts w:ascii="Times New Roman" w:hAnsi="Times New Roman" w:cs="Times New Roman"/>
          <w:sz w:val="28"/>
          <w:szCs w:val="28"/>
        </w:rPr>
        <w:t xml:space="preserve">2.9. Сравнительный анализ включает сравнение объемов расходов 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объемов предоставленных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на 1 рубль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на 1 рубль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механизмы</w:t>
      </w:r>
      <w:r w:rsidRPr="00FB586D">
        <w:rPr>
          <w:rFonts w:ascii="Times New Roman" w:hAnsi="Times New Roman" w:cs="Times New Roman"/>
          <w:sz w:val="28"/>
          <w:szCs w:val="28"/>
        </w:rPr>
        <w:t xml:space="preserve">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налоговые льготы, освобождения и иные преференции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B586D">
        <w:rPr>
          <w:rFonts w:ascii="Times New Roman" w:hAnsi="Times New Roman" w:cs="Times New Roman"/>
          <w:sz w:val="28"/>
          <w:szCs w:val="28"/>
        </w:rPr>
        <w:t>гарантий по обязательствам плательщиков, имеющих право на налоговые льготы, освобождения и иные преференции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льготы, освобождения и иные преференции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FB5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586D">
        <w:rPr>
          <w:rFonts w:ascii="Times New Roman" w:hAnsi="Times New Roman" w:cs="Times New Roman"/>
          <w:sz w:val="28"/>
          <w:szCs w:val="28"/>
        </w:rPr>
        <w:t>. В случае несоответствия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критериям целесообразности и результативности куратору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в срок не позднее 10 августа </w:t>
      </w:r>
      <w:r w:rsidRPr="00FB586D">
        <w:rPr>
          <w:rFonts w:ascii="Times New Roman" w:hAnsi="Times New Roman" w:cs="Times New Roman"/>
          <w:sz w:val="28"/>
          <w:szCs w:val="28"/>
        </w:rPr>
        <w:t>надлежит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сохранению (уточнению</w:t>
      </w:r>
      <w:r w:rsidRPr="00FB586D">
        <w:rPr>
          <w:rFonts w:ascii="Times New Roman" w:hAnsi="Times New Roman" w:cs="Times New Roman"/>
          <w:sz w:val="28"/>
          <w:szCs w:val="28"/>
        </w:rPr>
        <w:t>, отмене) соответствующих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86D">
        <w:rPr>
          <w:rFonts w:ascii="Times New Roman" w:hAnsi="Times New Roman" w:cs="Times New Roman"/>
          <w:sz w:val="28"/>
          <w:szCs w:val="28"/>
        </w:rPr>
        <w:t>. По итогам оценки эффективности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в срок не позднее 10 августа </w:t>
      </w:r>
      <w:r w:rsidRPr="00FB586D">
        <w:rPr>
          <w:rFonts w:ascii="Times New Roman" w:hAnsi="Times New Roman" w:cs="Times New Roman"/>
          <w:sz w:val="28"/>
          <w:szCs w:val="28"/>
        </w:rPr>
        <w:t>формулируют выводы о: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1) достижении целевых характеристик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2) вкладе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 и (</w:t>
      </w:r>
      <w:r w:rsidRPr="00FB586D">
        <w:rPr>
          <w:rFonts w:ascii="Times New Roman" w:hAnsi="Times New Roman" w:cs="Times New Roman"/>
          <w:sz w:val="28"/>
          <w:szCs w:val="28"/>
        </w:rPr>
        <w:t>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3) наличии или об отсутствии более результативных (менее затратных для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Мурманска) </w:t>
      </w:r>
      <w:r w:rsidRPr="00FB586D">
        <w:rPr>
          <w:rFonts w:ascii="Times New Roman" w:hAnsi="Times New Roman" w:cs="Times New Roman"/>
          <w:sz w:val="28"/>
          <w:szCs w:val="28"/>
        </w:rPr>
        <w:t>альтернативных механизмов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целей социально-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>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Мурманска,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AB05E3" w:rsidRDefault="00C83F83" w:rsidP="002773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5E3">
        <w:rPr>
          <w:rFonts w:ascii="Times New Roman" w:hAnsi="Times New Roman" w:cs="Times New Roman"/>
          <w:b w:val="0"/>
          <w:sz w:val="28"/>
          <w:szCs w:val="28"/>
        </w:rPr>
        <w:t>3. Порядок формирования перечня налоговых расходов</w:t>
      </w:r>
    </w:p>
    <w:p w:rsidR="00C83F83" w:rsidRDefault="00C83F83" w:rsidP="002773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5E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Мурманск</w:t>
      </w:r>
    </w:p>
    <w:p w:rsidR="00C83F83" w:rsidRPr="00AB05E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3.1.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BD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перечень налоговых расходов города Мурманска) </w:t>
      </w:r>
      <w:r w:rsidRPr="00FB586D">
        <w:rPr>
          <w:rFonts w:ascii="Times New Roman" w:hAnsi="Times New Roman" w:cs="Times New Roman"/>
          <w:sz w:val="28"/>
          <w:szCs w:val="28"/>
        </w:rPr>
        <w:t>формируется в целях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3.2.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содержит сведения о распределении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 соответствии с целями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 также о кураторах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320" w:history="1">
        <w:r w:rsidRPr="004C2B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586D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ежегодно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86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целях формирования п</w:t>
      </w:r>
      <w:r w:rsidRPr="00FB586D">
        <w:rPr>
          <w:rFonts w:ascii="Times New Roman" w:hAnsi="Times New Roman" w:cs="Times New Roman"/>
          <w:sz w:val="28"/>
          <w:szCs w:val="28"/>
        </w:rPr>
        <w:t>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FB586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разрабатывает проект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 </w:t>
      </w:r>
      <w:r w:rsidRPr="00495982">
        <w:rPr>
          <w:rFonts w:ascii="Times New Roman" w:hAnsi="Times New Roman" w:cs="Times New Roman"/>
          <w:sz w:val="28"/>
          <w:szCs w:val="28"/>
        </w:rPr>
        <w:t xml:space="preserve">2020 </w:t>
      </w:r>
      <w:r w:rsidRPr="00FB586D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B58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FB586D">
        <w:rPr>
          <w:rFonts w:ascii="Times New Roman" w:hAnsi="Times New Roman" w:cs="Times New Roman"/>
          <w:sz w:val="28"/>
          <w:szCs w:val="28"/>
        </w:rPr>
        <w:t>направляет его на согласование кураторам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которые предлагается определить в качестве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последующие годы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разрабатывает проект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до 20 октября направляет его на согласование кураторам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которые предлагается определить в качестве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FB586D">
        <w:rPr>
          <w:rFonts w:ascii="Times New Roman" w:hAnsi="Times New Roman" w:cs="Times New Roman"/>
          <w:sz w:val="28"/>
          <w:szCs w:val="28"/>
        </w:rPr>
        <w:t>2) 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179F3">
        <w:rPr>
          <w:rFonts w:ascii="Times New Roman" w:hAnsi="Times New Roman" w:cs="Times New Roman"/>
          <w:sz w:val="28"/>
          <w:szCs w:val="28"/>
        </w:rPr>
        <w:t xml:space="preserve">Мурманска, структурные подразделения администрации города Мурманска, указанные в </w:t>
      </w:r>
      <w:hyperlink w:anchor="P125" w:history="1">
        <w:r w:rsidRPr="00D179F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D179F3">
          <w:rPr>
            <w:rFonts w:ascii="Times New Roman" w:hAnsi="Times New Roman" w:cs="Times New Roman"/>
            <w:sz w:val="28"/>
            <w:szCs w:val="28"/>
          </w:rPr>
          <w:t>1 пункта 3.4</w:t>
        </w:r>
      </w:hyperlink>
      <w:r w:rsidRPr="00D179F3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проект перечня налоговых расходов города Мурманска на предмет предлагаемого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распределения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и в 2020 году в срок до 15 мая, а в последующие годы – до 1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ноября информируют </w:t>
      </w:r>
      <w:r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администрации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 согласовании проекта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4B241F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3) при наличии замечаний </w:t>
      </w:r>
      <w:r>
        <w:rPr>
          <w:rFonts w:ascii="Times New Roman" w:hAnsi="Times New Roman" w:cs="Times New Roman"/>
          <w:sz w:val="28"/>
          <w:szCs w:val="28"/>
        </w:rPr>
        <w:t>у кураторов налоговых расходов города Мурманска, структурные подразделения администрации города Мурманска, указанных в подпункте 1 пункта 3.4 настоящего Порядка, к распределению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замечания направляются в комитет по </w:t>
      </w:r>
      <w:r w:rsidRPr="004B241F">
        <w:rPr>
          <w:rFonts w:ascii="Times New Roman" w:hAnsi="Times New Roman" w:cs="Times New Roman"/>
          <w:sz w:val="28"/>
          <w:szCs w:val="28"/>
        </w:rPr>
        <w:t xml:space="preserve">экономическому развитию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с указанием конкретных предложений по уточнению распределения налоговых расходов города Мурманска с указанием целей муниципальных программ города Мурманска и (или) целей социально-экономического развития города Мурманска, не относящихся к муниципальным программам города Мурманска, а также кураторов налоговых расходов города Мурманска. В случае, если указанные замечания предполагают изменение куратора налогового расхода города Мурманска, предложения подлежат согласованию с предлагаемым куратором налогового расхода города Мурманска и направлению в комитет по экономическому развитию администрации города Мурманска в сроки, указанные в подпункте 2 пункта 3.4 настоящего Порядка</w:t>
      </w:r>
      <w:r w:rsidRPr="004B241F">
        <w:rPr>
          <w:rFonts w:ascii="Times New Roman" w:hAnsi="Times New Roman" w:cs="Times New Roman"/>
          <w:sz w:val="28"/>
          <w:szCs w:val="28"/>
        </w:rPr>
        <w:t>;</w:t>
      </w:r>
    </w:p>
    <w:p w:rsidR="00C83F83" w:rsidRPr="004B241F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1F">
        <w:rPr>
          <w:rFonts w:ascii="Times New Roman" w:hAnsi="Times New Roman" w:cs="Times New Roman"/>
          <w:sz w:val="28"/>
          <w:szCs w:val="28"/>
        </w:rPr>
        <w:t>4)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41F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подпункту 3 </w:t>
      </w:r>
      <w:r>
        <w:rPr>
          <w:rFonts w:ascii="Times New Roman" w:hAnsi="Times New Roman" w:cs="Times New Roman"/>
          <w:sz w:val="28"/>
          <w:szCs w:val="28"/>
        </w:rPr>
        <w:br/>
        <w:t xml:space="preserve">пункта 3.4 настоящего Порядка </w:t>
      </w:r>
      <w:r w:rsidRPr="004B241F">
        <w:rPr>
          <w:rFonts w:ascii="Times New Roman" w:hAnsi="Times New Roman" w:cs="Times New Roman"/>
          <w:sz w:val="28"/>
          <w:szCs w:val="28"/>
        </w:rPr>
        <w:t xml:space="preserve">не направлены в комитет по экономическому развитию администрации города Мурманска в срок, указанный в </w:t>
      </w:r>
      <w:hyperlink w:anchor="P126" w:history="1">
        <w:r w:rsidRPr="004B241F">
          <w:rPr>
            <w:rFonts w:ascii="Times New Roman" w:hAnsi="Times New Roman" w:cs="Times New Roman"/>
            <w:sz w:val="28"/>
            <w:szCs w:val="28"/>
          </w:rPr>
          <w:t>подпункте 2 пункта 3.4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настоящего Порядка, проект перечня налоговых расходов города Мурманска считается согласованным в соответствующей части;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  <w:r w:rsidRPr="00FB586D">
        <w:rPr>
          <w:rFonts w:ascii="Times New Roman" w:hAnsi="Times New Roman" w:cs="Times New Roman"/>
          <w:sz w:val="28"/>
          <w:szCs w:val="28"/>
        </w:rPr>
        <w:t xml:space="preserve">5) 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 Мурманска в 2020 году в срок до 31 мая, а в последующие годы - в срок </w:t>
      </w:r>
      <w:r>
        <w:rPr>
          <w:rFonts w:ascii="Times New Roman" w:hAnsi="Times New Roman" w:cs="Times New Roman"/>
          <w:sz w:val="28"/>
          <w:szCs w:val="28"/>
        </w:rPr>
        <w:br/>
        <w:t>до 1</w:t>
      </w:r>
      <w:r w:rsidRPr="00FB586D">
        <w:rPr>
          <w:rFonts w:ascii="Times New Roman" w:hAnsi="Times New Roman" w:cs="Times New Roman"/>
          <w:sz w:val="28"/>
          <w:szCs w:val="28"/>
        </w:rPr>
        <w:t>0 ноября;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6) </w:t>
      </w:r>
      <w:r w:rsidRPr="004B241F">
        <w:rPr>
          <w:rFonts w:ascii="Times New Roman" w:hAnsi="Times New Roman" w:cs="Times New Roman"/>
          <w:sz w:val="28"/>
          <w:szCs w:val="28"/>
        </w:rPr>
        <w:t xml:space="preserve">после завершения процедур, указанных в </w:t>
      </w:r>
      <w:hyperlink w:anchor="P126" w:history="1">
        <w:r w:rsidRPr="004B241F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 w:history="1">
        <w:r w:rsidRPr="004B241F">
          <w:rPr>
            <w:rFonts w:ascii="Times New Roman" w:hAnsi="Times New Roman" w:cs="Times New Roman"/>
            <w:sz w:val="28"/>
            <w:szCs w:val="28"/>
          </w:rPr>
          <w:t>5 пункта 3.4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города Мурманска считается сформ</w:t>
      </w:r>
      <w:r>
        <w:rPr>
          <w:rFonts w:ascii="Times New Roman" w:hAnsi="Times New Roman" w:cs="Times New Roman"/>
          <w:sz w:val="28"/>
          <w:szCs w:val="28"/>
        </w:rPr>
        <w:t xml:space="preserve">ированным и подлежит размещению комитетом по экономическому развитию администрации города Мурманска </w:t>
      </w:r>
      <w:r w:rsidRPr="004B24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 </w:t>
      </w:r>
      <w:r w:rsidRPr="004B241F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в 2020 году в срок до 31 мая, а в последующие годы – в срок </w:t>
      </w:r>
      <w:r w:rsidRPr="004B241F">
        <w:rPr>
          <w:rFonts w:ascii="Times New Roman" w:hAnsi="Times New Roman" w:cs="Times New Roman"/>
          <w:sz w:val="28"/>
          <w:szCs w:val="28"/>
        </w:rPr>
        <w:t>до 1 декабря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3.5. В случае внесения в текущем финансовом году изменений в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в случае изменения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25" w:history="1">
        <w:r w:rsidRPr="004B241F">
          <w:rPr>
            <w:rFonts w:ascii="Times New Roman" w:hAnsi="Times New Roman" w:cs="Times New Roman"/>
            <w:sz w:val="28"/>
            <w:szCs w:val="28"/>
          </w:rPr>
          <w:t>подпункте 1 пункта 3.4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которыми возникает необходимост</w:t>
      </w:r>
      <w:r w:rsidRPr="00FB586D">
        <w:rPr>
          <w:rFonts w:ascii="Times New Roman" w:hAnsi="Times New Roman" w:cs="Times New Roman"/>
          <w:sz w:val="28"/>
          <w:szCs w:val="28"/>
        </w:rPr>
        <w:t>ь внесения изменений в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внесения соответствующих изменений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соответствующую информацию для уточнения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F83" w:rsidSect="002A27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1"/>
        <w:gridCol w:w="2357"/>
      </w:tblGrid>
      <w:tr w:rsidR="00C83F83" w:rsidRPr="005E28F9" w:rsidTr="006F1147">
        <w:tc>
          <w:tcPr>
            <w:tcW w:w="7479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E28F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28F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375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83F83" w:rsidRPr="005E28F9" w:rsidRDefault="00C83F83" w:rsidP="006F1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C83F83" w:rsidRPr="00FB586D" w:rsidRDefault="00C83F83" w:rsidP="00C83F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8257E5" w:rsidRDefault="00C83F83" w:rsidP="00C83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40"/>
      <w:bookmarkEnd w:id="8"/>
      <w:r w:rsidRPr="008257E5">
        <w:rPr>
          <w:rFonts w:ascii="Times New Roman" w:hAnsi="Times New Roman" w:cs="Times New Roman"/>
          <w:b w:val="0"/>
          <w:sz w:val="28"/>
          <w:szCs w:val="28"/>
        </w:rPr>
        <w:t>Перечень показателей для проведения оценки налоговых расходов муниципального образования город Мурманск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2693"/>
      </w:tblGrid>
      <w:tr w:rsidR="00C83F83" w:rsidRPr="006F10C7" w:rsidTr="006F1147">
        <w:trPr>
          <w:tblHeader/>
        </w:trPr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8" w:type="dxa"/>
            <w:vAlign w:val="center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693" w:type="dxa"/>
            <w:vAlign w:val="center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C83F83" w:rsidRPr="006F10C7" w:rsidTr="006F1147">
        <w:trPr>
          <w:trHeight w:val="112"/>
        </w:trPr>
        <w:tc>
          <w:tcPr>
            <w:tcW w:w="9418" w:type="dxa"/>
            <w:gridSpan w:val="3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rPr>
          <w:trHeight w:val="1551"/>
        </w:trPr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плательщиков, для которых предусмотрены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муниципального образования город Мурманск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9418" w:type="dxa"/>
            <w:gridSpan w:val="3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для плательщиков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Наименования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по которым нормативными правовыми актами муниципального образования город Мурманск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предусматриваются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Вид налоговых льгот, освобождений и иных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определяющий особенности предоставленных отдельным категориям плательщиков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ураторы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C83F83" w:rsidRPr="006F10C7" w:rsidTr="006F1147">
        <w:tc>
          <w:tcPr>
            <w:tcW w:w="9418" w:type="dxa"/>
            <w:gridSpan w:val="3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предоставленных для плательщиков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693" w:type="dxa"/>
          </w:tcPr>
          <w:p w:rsidR="00C83F83" w:rsidRPr="00FB586D" w:rsidRDefault="00AE7E14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УФНС России по Мурманской области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для плательщиков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на текущий финансовый год, очередной финансовый год и плановый период (тыс. рублей)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ураторы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налоговыми льготами, освобождениями и иными преференциями по налогам, образующими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(единиц),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AE7E14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УФНС России по Мурманской области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5D6CDC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плательщиками, имеющими право на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Мурманска, за шесть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2693" w:type="dxa"/>
          </w:tcPr>
          <w:p w:rsidR="00C83F83" w:rsidRPr="00FB586D" w:rsidRDefault="00AE7E14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УФНС России по Мурманской области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ураторы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</w:tbl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jc w:val="center"/>
        <w:rPr>
          <w:szCs w:val="26"/>
        </w:rPr>
      </w:pPr>
      <w:r>
        <w:rPr>
          <w:szCs w:val="26"/>
        </w:rPr>
        <w:t>____________________________________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F83" w:rsidSect="003749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1"/>
        <w:gridCol w:w="2357"/>
      </w:tblGrid>
      <w:tr w:rsidR="00C83F83" w:rsidRPr="005E28F9" w:rsidTr="006F1147">
        <w:tc>
          <w:tcPr>
            <w:tcW w:w="7479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83F83" w:rsidRPr="005E28F9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r>
        <w:rPr>
          <w:rFonts w:ascii="Times New Roman" w:hAnsi="Times New Roman" w:cs="Times New Roman"/>
          <w:sz w:val="28"/>
          <w:szCs w:val="28"/>
        </w:rPr>
        <w:t>Оценка эффективности налогового расхода города Мурманска</w:t>
      </w:r>
    </w:p>
    <w:p w:rsidR="00C83F83" w:rsidRPr="00FB586D" w:rsidRDefault="00C83F83" w:rsidP="00C83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 год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            наименование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        наименование куратора налогового расхода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Таблица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050"/>
        <w:gridCol w:w="1134"/>
        <w:gridCol w:w="1150"/>
      </w:tblGrid>
      <w:tr w:rsidR="00C83F83" w:rsidRPr="006F10C7" w:rsidTr="006F1147">
        <w:trPr>
          <w:tblHeader/>
        </w:trPr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C83F83" w:rsidRPr="006F10C7" w:rsidTr="006F1147">
        <w:tc>
          <w:tcPr>
            <w:tcW w:w="9009" w:type="dxa"/>
            <w:gridSpan w:val="4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Мурманска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 (или) цели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не относящейся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Мурманска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 (или) цели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не относящейся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плательщиков, воспользовавшихся правом на налоговую льготу, освобождение и иную преференцию по налогам, образующие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Вывод о востребованности налоговой льготы, освобождения и иной преференции по налогам, образующих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C83F83" w:rsidRPr="006F10C7" w:rsidTr="006F1147">
        <w:tc>
          <w:tcPr>
            <w:tcW w:w="9009" w:type="dxa"/>
            <w:gridSpan w:val="4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цели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не относящейся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на значение которых оказывает влияние предоставление налоговой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(индикатора) достижения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на значение которого оказывает влияние предоставление налоговой льготы, освобождения и иной преференции по налогам, образующих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значения показателя (индикатора)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предоставления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Вклад показателя в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(разница между фактическим значением показателя и оценкой значения показателя (без учета предоставления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Мурманска)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Мурманска,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период, за период, предшествующий отчетному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предоставленной налоговой льготы, освобождения и иной преференции по налогам, образующих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для плательщиков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Прирост фактического значения показателя (индикатора)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Прирост показателя (индикатора) на 1 рубль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Наименование альтернативных механизмов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и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программам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использованием альтернативных механизмов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Мурманска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Вывод о наличии или об отсутствии более результативных (менее затратных) для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 аль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тернативных механизмов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B30ABC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на основании оценки целесообразности и результативности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в случае установления их неэффективности</w:t>
            </w:r>
          </w:p>
        </w:tc>
      </w:tr>
    </w:tbl>
    <w:p w:rsidR="00C83F83" w:rsidRDefault="00C83F83" w:rsidP="00C83F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rPr>
          <w:lang w:eastAsia="ru-RU"/>
        </w:rPr>
      </w:pPr>
    </w:p>
    <w:p w:rsidR="0029705D" w:rsidRDefault="00C83F83" w:rsidP="0029705D">
      <w:pPr>
        <w:jc w:val="center"/>
        <w:rPr>
          <w:lang w:eastAsia="ru-RU"/>
        </w:rPr>
      </w:pPr>
      <w:r>
        <w:rPr>
          <w:szCs w:val="26"/>
        </w:rPr>
        <w:t>____________________________________</w:t>
      </w:r>
    </w:p>
    <w:p w:rsidR="00663C5B" w:rsidRPr="0029705D" w:rsidRDefault="0029705D" w:rsidP="0029705D">
      <w:pPr>
        <w:tabs>
          <w:tab w:val="left" w:pos="4110"/>
        </w:tabs>
        <w:rPr>
          <w:lang w:eastAsia="ru-RU"/>
        </w:rPr>
        <w:sectPr w:rsidR="00663C5B" w:rsidRPr="0029705D" w:rsidSect="003C5340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lang w:eastAsia="ru-RU"/>
        </w:rPr>
        <w:tab/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3008"/>
        <w:gridCol w:w="2409"/>
      </w:tblGrid>
      <w:tr w:rsidR="00C83F83" w:rsidRPr="005E28F9" w:rsidTr="006F1147">
        <w:tc>
          <w:tcPr>
            <w:tcW w:w="13008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83F83" w:rsidRPr="005E28F9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AB05E3" w:rsidRDefault="00C83F83" w:rsidP="00C83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20"/>
      <w:bookmarkEnd w:id="10"/>
      <w:r w:rsidRPr="00AB05E3">
        <w:rPr>
          <w:rFonts w:ascii="Times New Roman" w:hAnsi="Times New Roman" w:cs="Times New Roman"/>
          <w:sz w:val="28"/>
          <w:szCs w:val="28"/>
        </w:rPr>
        <w:t>Перечень налоговых расходов города Мурманска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559"/>
        <w:gridCol w:w="1560"/>
        <w:gridCol w:w="1134"/>
        <w:gridCol w:w="1701"/>
        <w:gridCol w:w="1559"/>
        <w:gridCol w:w="1559"/>
        <w:gridCol w:w="1559"/>
        <w:gridCol w:w="1701"/>
        <w:gridCol w:w="1134"/>
      </w:tblGrid>
      <w:tr w:rsidR="00C83F83" w:rsidRPr="006F10C7" w:rsidTr="006F1147">
        <w:trPr>
          <w:trHeight w:val="6224"/>
        </w:trPr>
        <w:tc>
          <w:tcPr>
            <w:tcW w:w="488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17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Наименование налогового расхода 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 муниципального образования город Мурманск, </w:t>
            </w:r>
            <w:proofErr w:type="spellStart"/>
            <w:proofErr w:type="gramStart"/>
            <w:r w:rsidRPr="000E01C1">
              <w:rPr>
                <w:rFonts w:ascii="Times New Roman" w:hAnsi="Times New Roman" w:cs="Times New Roman"/>
                <w:sz w:val="20"/>
              </w:rPr>
              <w:t>предусматри-вающего</w:t>
            </w:r>
            <w:proofErr w:type="spellEnd"/>
            <w:proofErr w:type="gramEnd"/>
            <w:r w:rsidRPr="000E01C1">
              <w:rPr>
                <w:rFonts w:ascii="Times New Roman" w:hAnsi="Times New Roman" w:cs="Times New Roman"/>
                <w:sz w:val="20"/>
              </w:rPr>
              <w:t xml:space="preserve"> налоговые льготы, освобождения и иные преференции по налогам, образующие налоговые расходы города Мурманска</w:t>
            </w:r>
          </w:p>
        </w:tc>
        <w:tc>
          <w:tcPr>
            <w:tcW w:w="1560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 xml:space="preserve">Категории </w:t>
            </w:r>
            <w:proofErr w:type="spellStart"/>
            <w:proofErr w:type="gramStart"/>
            <w:r w:rsidRPr="000E01C1">
              <w:rPr>
                <w:rFonts w:ascii="Times New Roman" w:hAnsi="Times New Roman" w:cs="Times New Roman"/>
                <w:sz w:val="20"/>
              </w:rPr>
              <w:t>налогопла-тельщиков</w:t>
            </w:r>
            <w:proofErr w:type="spellEnd"/>
            <w:proofErr w:type="gramEnd"/>
            <w:r w:rsidRPr="000E01C1">
              <w:rPr>
                <w:rFonts w:ascii="Times New Roman" w:hAnsi="Times New Roman" w:cs="Times New Roman"/>
                <w:sz w:val="20"/>
              </w:rPr>
              <w:t>, для которых предусмотрены налоговые льготы, освобождения и иные преференции по налогам, образующие налоговые расходы города Мурманска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Целевая категория налогового расхода города Мурманска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Даты начала действия предусмотренных нормативными правовыми актами муниципального образования город Мурманск налоговых льгот, освобождений и иных преференций по налогам, образующих налоговые расходы 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образующих налоговые расходы 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Наименование муниципальной программы города Мурманска/ наименование подпрограммы муниципальной программы города Мурманска/ наименование нормативных правовых актов, определяющих цели социально-экономическо</w:t>
            </w:r>
            <w:r>
              <w:rPr>
                <w:rFonts w:ascii="Times New Roman" w:hAnsi="Times New Roman" w:cs="Times New Roman"/>
                <w:sz w:val="20"/>
              </w:rPr>
              <w:t xml:space="preserve">го развития </w:t>
            </w:r>
            <w:r w:rsidRPr="000E01C1">
              <w:rPr>
                <w:rFonts w:ascii="Times New Roman" w:hAnsi="Times New Roman" w:cs="Times New Roman"/>
                <w:sz w:val="20"/>
              </w:rPr>
              <w:t>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муниципальной программы города Мурманска и (или) целей социально-экономическо</w:t>
            </w:r>
            <w:r>
              <w:rPr>
                <w:rFonts w:ascii="Times New Roman" w:hAnsi="Times New Roman" w:cs="Times New Roman"/>
                <w:sz w:val="20"/>
              </w:rPr>
              <w:t xml:space="preserve">го развития </w:t>
            </w:r>
            <w:r w:rsidRPr="000E01C1">
              <w:rPr>
                <w:rFonts w:ascii="Times New Roman" w:hAnsi="Times New Roman" w:cs="Times New Roman"/>
                <w:sz w:val="20"/>
              </w:rPr>
              <w:t>города Мурманска,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города Мурманска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Куратор налогового расхода города Мурманска</w:t>
            </w:r>
          </w:p>
        </w:tc>
      </w:tr>
      <w:tr w:rsidR="00C83F83" w:rsidRPr="006F10C7" w:rsidTr="006F1147">
        <w:trPr>
          <w:trHeight w:val="64"/>
        </w:trPr>
        <w:tc>
          <w:tcPr>
            <w:tcW w:w="488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C83F83" w:rsidRDefault="00C83F83" w:rsidP="00C83F83">
      <w:pPr>
        <w:pStyle w:val="ConsPlusNormal"/>
        <w:jc w:val="center"/>
      </w:pPr>
    </w:p>
    <w:p w:rsidR="00C83F83" w:rsidRDefault="00C83F83" w:rsidP="00C83F83">
      <w:pPr>
        <w:pStyle w:val="ConsPlusNormal"/>
        <w:jc w:val="center"/>
      </w:pPr>
      <w:r>
        <w:t>_______________________________________________</w:t>
      </w:r>
    </w:p>
    <w:p w:rsidR="00C83F83" w:rsidRDefault="00C83F83" w:rsidP="00C83F83">
      <w:pPr>
        <w:pStyle w:val="ConsPlusNormal"/>
        <w:jc w:val="center"/>
      </w:pPr>
    </w:p>
    <w:p w:rsidR="00C83F83" w:rsidRPr="00C83F83" w:rsidRDefault="00C83F83" w:rsidP="00C83F83">
      <w:pPr>
        <w:tabs>
          <w:tab w:val="left" w:pos="2400"/>
        </w:tabs>
        <w:rPr>
          <w:szCs w:val="28"/>
        </w:rPr>
      </w:pPr>
    </w:p>
    <w:sectPr w:rsidR="00C83F83" w:rsidRPr="00C83F83" w:rsidSect="003C534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83" w:rsidRPr="00E1779C" w:rsidRDefault="00C83F83" w:rsidP="00E1779C">
    <w:pPr>
      <w:pStyle w:val="a5"/>
      <w:tabs>
        <w:tab w:val="left" w:pos="4215"/>
        <w:tab w:val="left" w:pos="7065"/>
        <w:tab w:val="center" w:pos="7285"/>
      </w:tabs>
      <w:jc w:val="center"/>
      <w:rPr>
        <w:sz w:val="24"/>
        <w:szCs w:val="24"/>
        <w:lang w:val="en-US"/>
      </w:rPr>
    </w:pPr>
    <w:r w:rsidRPr="00B32347">
      <w:rPr>
        <w:sz w:val="24"/>
        <w:szCs w:val="24"/>
      </w:rPr>
      <w:fldChar w:fldCharType="begin"/>
    </w:r>
    <w:r w:rsidRPr="00B32347">
      <w:rPr>
        <w:sz w:val="24"/>
        <w:szCs w:val="24"/>
      </w:rPr>
      <w:instrText>PAGE   \* MERGEFORMAT</w:instrText>
    </w:r>
    <w:r w:rsidRPr="00B32347">
      <w:rPr>
        <w:sz w:val="24"/>
        <w:szCs w:val="24"/>
      </w:rPr>
      <w:fldChar w:fldCharType="separate"/>
    </w:r>
    <w:r w:rsidR="0027736E">
      <w:rPr>
        <w:noProof/>
        <w:sz w:val="24"/>
        <w:szCs w:val="24"/>
      </w:rPr>
      <w:t>12</w:t>
    </w:r>
    <w:r w:rsidRPr="00B3234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EE" w:rsidRDefault="000A6FEE" w:rsidP="000A6FEE">
    <w:pPr>
      <w:pStyle w:val="a5"/>
      <w:tabs>
        <w:tab w:val="clear" w:pos="4677"/>
        <w:tab w:val="clear" w:pos="9355"/>
        <w:tab w:val="left" w:pos="37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6C40"/>
    <w:multiLevelType w:val="hybridMultilevel"/>
    <w:tmpl w:val="D4A4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A6FEE"/>
    <w:rsid w:val="000B1768"/>
    <w:rsid w:val="000B4E65"/>
    <w:rsid w:val="000D0DF3"/>
    <w:rsid w:val="000E22ED"/>
    <w:rsid w:val="00106042"/>
    <w:rsid w:val="00124EF9"/>
    <w:rsid w:val="00125980"/>
    <w:rsid w:val="0014101A"/>
    <w:rsid w:val="00142712"/>
    <w:rsid w:val="00152276"/>
    <w:rsid w:val="0015386D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7736E"/>
    <w:rsid w:val="002822C5"/>
    <w:rsid w:val="0028626F"/>
    <w:rsid w:val="00290294"/>
    <w:rsid w:val="00295D47"/>
    <w:rsid w:val="0029705D"/>
    <w:rsid w:val="002978E0"/>
    <w:rsid w:val="002A23B7"/>
    <w:rsid w:val="002A27D5"/>
    <w:rsid w:val="002A740F"/>
    <w:rsid w:val="002C3321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0D9E"/>
    <w:rsid w:val="003A63EA"/>
    <w:rsid w:val="003C5340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16CD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4DB9"/>
    <w:rsid w:val="005D241B"/>
    <w:rsid w:val="005D3048"/>
    <w:rsid w:val="005D76C0"/>
    <w:rsid w:val="006226E3"/>
    <w:rsid w:val="00632BE9"/>
    <w:rsid w:val="00635EC0"/>
    <w:rsid w:val="0064520C"/>
    <w:rsid w:val="006472C4"/>
    <w:rsid w:val="00650E0F"/>
    <w:rsid w:val="00654959"/>
    <w:rsid w:val="00663C5B"/>
    <w:rsid w:val="00676241"/>
    <w:rsid w:val="00693D62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261D"/>
    <w:rsid w:val="0073368E"/>
    <w:rsid w:val="00741F1E"/>
    <w:rsid w:val="00742476"/>
    <w:rsid w:val="00755869"/>
    <w:rsid w:val="00763FA5"/>
    <w:rsid w:val="00765B06"/>
    <w:rsid w:val="00785D04"/>
    <w:rsid w:val="00795E83"/>
    <w:rsid w:val="007B3B1A"/>
    <w:rsid w:val="007B59A6"/>
    <w:rsid w:val="007C191E"/>
    <w:rsid w:val="007C28EB"/>
    <w:rsid w:val="007E2197"/>
    <w:rsid w:val="007F328F"/>
    <w:rsid w:val="0080489D"/>
    <w:rsid w:val="00815EBA"/>
    <w:rsid w:val="008210D5"/>
    <w:rsid w:val="00824EE6"/>
    <w:rsid w:val="00843286"/>
    <w:rsid w:val="00860A55"/>
    <w:rsid w:val="00873E06"/>
    <w:rsid w:val="008752B8"/>
    <w:rsid w:val="008A15CC"/>
    <w:rsid w:val="008C2134"/>
    <w:rsid w:val="008D2B35"/>
    <w:rsid w:val="008E74D5"/>
    <w:rsid w:val="008F0E3D"/>
    <w:rsid w:val="008F1B6A"/>
    <w:rsid w:val="008F6974"/>
    <w:rsid w:val="00931558"/>
    <w:rsid w:val="00932D61"/>
    <w:rsid w:val="00941437"/>
    <w:rsid w:val="009555E6"/>
    <w:rsid w:val="0096451C"/>
    <w:rsid w:val="00975C5F"/>
    <w:rsid w:val="0098254A"/>
    <w:rsid w:val="00983D21"/>
    <w:rsid w:val="00983FC1"/>
    <w:rsid w:val="00995583"/>
    <w:rsid w:val="009A393F"/>
    <w:rsid w:val="009C026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E7E14"/>
    <w:rsid w:val="00AF14FC"/>
    <w:rsid w:val="00B02725"/>
    <w:rsid w:val="00B0613C"/>
    <w:rsid w:val="00B10949"/>
    <w:rsid w:val="00B21A9F"/>
    <w:rsid w:val="00B37ADE"/>
    <w:rsid w:val="00B44B4E"/>
    <w:rsid w:val="00B47C96"/>
    <w:rsid w:val="00B52619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50C92"/>
    <w:rsid w:val="00C64AF9"/>
    <w:rsid w:val="00C64CD4"/>
    <w:rsid w:val="00C71D81"/>
    <w:rsid w:val="00C83519"/>
    <w:rsid w:val="00C83F83"/>
    <w:rsid w:val="00C91BCC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12F3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24B56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A559A"/>
    <w:rsid w:val="00FD075D"/>
    <w:rsid w:val="00FD36A5"/>
    <w:rsid w:val="00FE0C08"/>
    <w:rsid w:val="00FF734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6CBA194-F806-4D34-B473-4DBC34A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5072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F734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224807A81AC10107BFE93E1B74C81524AB4F6D00D81E17AC3C8BF729B9762024A3D914D8EB451E1435FC5111790C884C6DC3352A688C90AQ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7C77AFECD946EB8363C6D25E4C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057B1-5383-4F46-AF86-2CDBE54EE022}"/>
      </w:docPartPr>
      <w:docPartBody>
        <w:p w:rsidR="009877B5" w:rsidRDefault="00271CC8" w:rsidP="00271CC8">
          <w:pPr>
            <w:pStyle w:val="097C77AFECD946EB8363C6D25E4CF3A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A012EF58E4EF4857CFE5A9BA50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EAFDA-4B7F-4D6C-8F03-0FA659B45535}"/>
      </w:docPartPr>
      <w:docPartBody>
        <w:p w:rsidR="00BC4E3A" w:rsidRDefault="00975FE8" w:rsidP="00975FE8">
          <w:pPr>
            <w:pStyle w:val="E06A012EF58E4EF4857CFE5A9BA506F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271CC8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75FE8"/>
    <w:rsid w:val="009877B5"/>
    <w:rsid w:val="009E143C"/>
    <w:rsid w:val="00A26FA9"/>
    <w:rsid w:val="00AC2154"/>
    <w:rsid w:val="00AD7AD5"/>
    <w:rsid w:val="00AE75FF"/>
    <w:rsid w:val="00AF31D1"/>
    <w:rsid w:val="00B36CB6"/>
    <w:rsid w:val="00B7775D"/>
    <w:rsid w:val="00BC4E3A"/>
    <w:rsid w:val="00BC6EA2"/>
    <w:rsid w:val="00C72AB0"/>
    <w:rsid w:val="00CE63DB"/>
    <w:rsid w:val="00D946B8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FE8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97C77AFECD946EB8363C6D25E4CF3A5">
    <w:name w:val="097C77AFECD946EB8363C6D25E4CF3A5"/>
    <w:rsid w:val="00271CC8"/>
    <w:pPr>
      <w:spacing w:after="160" w:line="259" w:lineRule="auto"/>
    </w:pPr>
  </w:style>
  <w:style w:type="paragraph" w:customStyle="1" w:styleId="E06A012EF58E4EF4857CFE5A9BA506FD">
    <w:name w:val="E06A012EF58E4EF4857CFE5A9BA506FD"/>
    <w:rsid w:val="00975F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DC6C-89C1-4133-814A-14A97F7B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Кондрашова Мария Викторовна</cp:lastModifiedBy>
  <cp:revision>6</cp:revision>
  <cp:lastPrinted>2020-03-17T07:19:00Z</cp:lastPrinted>
  <dcterms:created xsi:type="dcterms:W3CDTF">2023-07-28T06:44:00Z</dcterms:created>
  <dcterms:modified xsi:type="dcterms:W3CDTF">2023-07-28T07:07:00Z</dcterms:modified>
</cp:coreProperties>
</file>