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0" w:right="0"/>
        <w:jc w:val="right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Отчет о результатах проверок, проведенны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х комитетом по жилищной политике администрации города Мурманска, в 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ноябрь месяц 2014 года</w:t>
      </w:r>
    </w:p>
    <w:p>
      <w:pPr>
        <w:pStyle w:val="style0"/>
        <w:spacing w:after="0" w:before="0" w:line="100" w:lineRule="atLeast"/>
        <w:ind w:firstLine="709" w:left="0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октябрь месяц 2014 года в отдел муниципального жилищного контроля поступило  105 </w:t>
      </w:r>
      <w:r>
        <w:rPr>
          <w:rFonts w:ascii="Times New Roman" w:hAnsi="Times New Roman"/>
          <w:sz w:val="28"/>
          <w:szCs w:val="28"/>
          <w:lang w:eastAsia="ru-RU"/>
        </w:rPr>
        <w:t>обращений по фактам нарушения прав потребителей.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отношении 26 юридических лиц проведено 96 внеплановых проверок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 и обязательных требований к порядку принятия общими собраниями собственников помещений в многоквартирных домах решения о выборе управляющей организации,</w:t>
      </w:r>
      <w:r>
        <w:rPr>
          <w:rFonts w:ascii="Times New Roman" w:hAnsi="Times New Roman"/>
          <w:sz w:val="28"/>
          <w:szCs w:val="28"/>
        </w:rPr>
        <w:t xml:space="preserve"> в том числе внеплановых документарных – 9, выездных – 87.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указанных проверок проверено 98 адресов,                    обследовано 128,6 тыс.м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выявлено 242 </w:t>
      </w:r>
      <w:r>
        <w:rPr>
          <w:rFonts w:ascii="Times New Roman" w:hAnsi="Times New Roman"/>
          <w:sz w:val="28"/>
          <w:szCs w:val="28"/>
        </w:rPr>
        <w:t>нарушения обязательных требований жилищного законодательства.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По результатам проверок составлено 96 актов, выдано 59 предписаний.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взаимодействия органа государственного жилищного надзора с органами муниципального контроля Мурманской области, утвержденного постановлением               Правительства Мурманской области от 18.03.2013 № 108-ПП,                              в адрес Государственной жилищной инспекции Мурманской области направлен  1 материал для привлечения ООО УК «Наш Дом» к административной ответственности, предусмотренной Кодексом Российской Федерации об административных правонарушениях.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и непредоставления в орган муниципального контроля информации в отношении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«УК Наш Дом», ООО «Управляющая Компания Жилищно-эксплуатационные услуги», ООО «Севжилсервис», ЗАО «Севжилсервис»,     ООО «ЖКХ-Энерго», ООО «УК Заполярье-Сервис», ТСЖ «Цитадель-1»,               ООО «Управляющая Компания Кристалл», ООО «Управляющая Компания  Мурманская Городская Компания», ООО «Октябрьское ЖЭУ»,                                    ООО «Мурманская Городская Компания», ООО «Уют»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направлено 30 материалов мировым судьям для привлечения указанных юридических лиц к административной ответственности.   </w:t>
      </w:r>
    </w:p>
    <w:sectPr>
      <w:type w:val="nextPage"/>
      <w:pgSz w:h="16838" w:w="11906"/>
      <w:pgMar w:bottom="1134" w:footer="0" w:gutter="0" w:header="0" w:left="1418" w:right="851" w:top="56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imes New Roman" w:cs="Times New Roman" w:hAnsi="Times New Roman"/>
      <w:sz w:val="2"/>
      <w:lang w:eastAsia="en-US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2013-01-15T06:37:00.00Z</dcterms:created>
  <dc:creator>Кочерыгина</dc:creator>
  <cp:lastModifiedBy>Павел Зуйков</cp:lastModifiedBy>
  <cp:lastPrinted>2014-12-01T10:06:00.00Z</cp:lastPrinted>
  <dcterms:modified xsi:type="dcterms:W3CDTF">2014-12-01T10:18:00.00Z</dcterms:modified>
  <cp:revision>197</cp:revision>
</cp:coreProperties>
</file>