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ind w:firstLine="709" w:left="0" w:right="0"/>
        <w:jc w:val="right"/>
      </w:pPr>
      <w:r>
        <w:rPr/>
      </w:r>
    </w:p>
    <w:p>
      <w:pPr>
        <w:pStyle w:val="style0"/>
        <w:spacing w:after="0" w:before="0" w:line="100" w:lineRule="atLeast"/>
        <w:ind w:firstLine="709" w:left="0" w:right="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style0"/>
        <w:spacing w:after="0" w:before="0" w:line="100" w:lineRule="atLeast"/>
        <w:ind w:firstLine="709" w:left="0" w:right="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Отчет о результатах проверок, проведенны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 xml:space="preserve">х комитетом по жилищной политике администрации города Мурманска, в рамках исполнения </w:t>
      </w:r>
      <w:r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 за ноябрь месяц 2014 года</w:t>
      </w:r>
    </w:p>
    <w:p>
      <w:pPr>
        <w:pStyle w:val="style0"/>
        <w:spacing w:after="0" w:before="0" w:line="100" w:lineRule="atLeast"/>
        <w:ind w:firstLine="709" w:left="0" w:right="0"/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</w:p>
    <w:p>
      <w:pPr>
        <w:pStyle w:val="style0"/>
        <w:spacing w:after="0" w:before="0" w:line="100" w:lineRule="atLeast"/>
        <w:ind w:firstLine="709" w:left="0" w:right="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октябрь месяц 2014 года в отдел муниципального жилищного контроля поступило  105 </w:t>
      </w:r>
      <w:r>
        <w:rPr>
          <w:rFonts w:ascii="Times New Roman" w:hAnsi="Times New Roman"/>
          <w:sz w:val="28"/>
          <w:szCs w:val="28"/>
          <w:lang w:eastAsia="ru-RU"/>
        </w:rPr>
        <w:t>обращений по фактам нарушения прав потребителей.</w:t>
      </w:r>
    </w:p>
    <w:p>
      <w:pPr>
        <w:pStyle w:val="style0"/>
        <w:spacing w:after="0" w:before="0" w:line="100" w:lineRule="atLeast"/>
        <w:ind w:firstLine="709" w:left="0" w:right="0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отношении 26 юридических лиц проведено 96 внеплановых проверок соблюдения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содержания общего имущества в многоквартирных домах и обязательных требований к порядку принятия общими собраниями собственников помещений в многоквартирных домах решения о выборе управляющей организации,</w:t>
      </w:r>
      <w:r>
        <w:rPr>
          <w:rFonts w:ascii="Times New Roman" w:hAnsi="Times New Roman"/>
          <w:sz w:val="28"/>
          <w:szCs w:val="28"/>
        </w:rPr>
        <w:t xml:space="preserve"> в том числе внеплановых документарных – 9, выездных – 87.</w:t>
      </w:r>
    </w:p>
    <w:p>
      <w:pPr>
        <w:pStyle w:val="style0"/>
        <w:spacing w:after="0" w:before="0" w:line="100" w:lineRule="atLeast"/>
        <w:ind w:firstLine="708" w:left="0" w:right="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проведении указанных проверок проверено 98 адресов,                    обследовано 128,6 тыс.м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фонда, выявлено 242 </w:t>
      </w:r>
      <w:r>
        <w:rPr>
          <w:rFonts w:ascii="Times New Roman" w:hAnsi="Times New Roman"/>
          <w:sz w:val="28"/>
          <w:szCs w:val="28"/>
        </w:rPr>
        <w:t>нарушения обязательных требований жилищного законодательства.</w:t>
      </w:r>
    </w:p>
    <w:p>
      <w:pPr>
        <w:pStyle w:val="style0"/>
        <w:spacing w:after="0" w:before="0" w:line="100" w:lineRule="atLeast"/>
        <w:ind w:firstLine="708" w:left="0" w:right="0"/>
        <w:jc w:val="both"/>
      </w:pPr>
      <w:r>
        <w:rPr>
          <w:rFonts w:ascii="Times New Roman" w:hAnsi="Times New Roman"/>
          <w:sz w:val="28"/>
          <w:szCs w:val="28"/>
        </w:rPr>
        <w:t>По результатам проверок составлено 96 актов, выдано 59 предписаний.</w:t>
      </w:r>
    </w:p>
    <w:p>
      <w:pPr>
        <w:pStyle w:val="style0"/>
        <w:spacing w:after="0" w:before="0" w:line="100" w:lineRule="atLeast"/>
        <w:ind w:firstLine="708" w:left="0" w:right="0"/>
        <w:jc w:val="both"/>
      </w:pPr>
      <w:r>
        <w:rPr>
          <w:rFonts w:ascii="Times New Roman" w:hAnsi="Times New Roman"/>
          <w:sz w:val="28"/>
          <w:szCs w:val="28"/>
        </w:rPr>
        <w:t>В соответствии с Административным регламентом взаимодействия органа государственного жилищного надзора с органами муниципального контроля Мурманской области, утвержденного постановлением               Правительства Мурманской области от 18.03.2013 № 108-ПП,                              в адрес Государственной жилищной инспекции Мурманской области направлен  1 материал для привлечения ООО УК «Наш Дом» к административной ответственности, предусмотренной Кодексом Российской Федерации об административных правонарушениях.</w:t>
      </w:r>
    </w:p>
    <w:p>
      <w:pPr>
        <w:pStyle w:val="style0"/>
        <w:spacing w:after="0" w:before="0" w:line="100" w:lineRule="atLeast"/>
        <w:ind w:firstLine="540" w:left="0" w:right="0"/>
        <w:jc w:val="both"/>
      </w:pPr>
      <w:r>
        <w:rPr>
          <w:rFonts w:ascii="Times New Roman" w:hAnsi="Times New Roman"/>
          <w:sz w:val="28"/>
          <w:szCs w:val="28"/>
        </w:rPr>
        <w:t>Также, по фактам в</w:t>
      </w:r>
      <w:r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должностных лиц органа муниципального контроля,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евыполнения в установленные сроки предписаний об устранении нарушений законодательства и непредоставления в орган муниципального контроля информации в отношении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ООО «УК Наш Дом», ООО «Управляющая Компания Жилищно-эксплуатационные услуги», ООО «Севжилсервис», ЗАО «Севжилсервис»,     ООО «ЖКХ-Энерго», ООО «УК Заполярье-Сервис», ТСЖ «Цитадель-1»,               ООО «Управляющая Компания Кристалл», ООО «Управляющая Компания  Мурманская Городская Компания», ООО «Октябрьское ЖЭУ»,                                    ООО «Мурманская Городская Компания», ООО «Уют»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направлено 30 материалов мировым судьям для привлечения указанных юридических лиц к административной ответственности.   </w:t>
      </w:r>
    </w:p>
    <w:sectPr>
      <w:type w:val="nextPage"/>
      <w:pgSz w:h="16838" w:w="11906"/>
      <w:pgMar w:bottom="1134" w:footer="0" w:gutter="0" w:header="0" w:left="1418" w:right="851" w:top="568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Calibri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imes New Roman" w:cs="Times New Roman" w:hAnsi="Times New Roman"/>
      <w:sz w:val="2"/>
      <w:lang w:eastAsia="en-US"/>
    </w:rPr>
  </w:style>
  <w:style w:styleId="style17" w:type="paragraph">
    <w:name w:val="Заголовок"/>
    <w:basedOn w:val="style0"/>
    <w:next w:val="style18"/>
    <w:pPr>
      <w:keepNext/>
      <w:spacing w:after="120" w:before="240"/>
    </w:pPr>
    <w:rPr>
      <w:rFonts w:ascii="Arial" w:cs="FreeSans" w:eastAsia="Droid Sans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</w:pPr>
    <w:rPr/>
  </w:style>
  <w:style w:styleId="style19" w:type="paragraph">
    <w:name w:val="Список"/>
    <w:basedOn w:val="style18"/>
    <w:next w:val="style19"/>
    <w:pPr/>
    <w:rPr>
      <w:rFonts w:cs="FreeSans"/>
    </w:rPr>
  </w:style>
  <w:style w:styleId="style20" w:type="paragraph">
    <w:name w:val="Название"/>
    <w:basedOn w:val="style0"/>
    <w:next w:val="style20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FreeSans"/>
    </w:rPr>
  </w:style>
  <w:style w:styleId="style22" w:type="paragraph">
    <w:name w:val="Balloon Text"/>
    <w:basedOn w:val="style0"/>
    <w:next w:val="style22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2013-01-15T06:37:00.00Z</dcterms:created>
  <dc:creator>Кочерыгина</dc:creator>
  <cp:lastModifiedBy>Павел Зуйков</cp:lastModifiedBy>
  <cp:lastPrinted>2014-12-01T10:06:00.00Z</cp:lastPrinted>
  <dcterms:modified xsi:type="dcterms:W3CDTF">2014-12-01T10:18:00.00Z</dcterms:modified>
  <cp:revision>197</cp:revision>
</cp:coreProperties>
</file>