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результатах проверок, проведенных комитетом по жилищной политике администрации города Мурманска, в </w:t>
      </w:r>
      <w:r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 за март 2019 года</w:t>
      </w:r>
    </w:p>
    <w:p>
      <w:pPr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марте 2019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отношении 31 юридического лица проведено 153 внеплановые проверки соблюдения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правил содержания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1 плановая документарная и выездная проверка в отношении ТСН «Кирова-49» (ИНН 5190056738)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 проведении указанных проверок проверено 154 адреса,                    обследовано 80,7 тыс. м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жилищного фонда, выявлено 251 </w:t>
      </w:r>
      <w:r>
        <w:rPr>
          <w:rFonts w:ascii="Times New Roman" w:hAnsi="Times New Roman"/>
          <w:sz w:val="28"/>
          <w:szCs w:val="28"/>
        </w:rPr>
        <w:t>нарушение обязательных требований жилищного законодательства.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составлено 154 акта, выдано 125 предписаний.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108-ПП, в адрес Государственной жилищной инспекции Мурманской области направлено 65 материалов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направлен 21 материал мировым судьям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851" w:right="851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36CAB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C321C"/>
    <w:rsid w:val="005C3419"/>
    <w:rsid w:val="005D2157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3B1E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4B2D"/>
    <w:rsid w:val="00FA5544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  <w:rsid w:val="330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locked/>
    <w:uiPriority w:val="99"/>
    <w:rPr>
      <w:rFonts w:ascii="Times New Roman" w:hAnsi="Times New Roman" w:cs="Times New Roman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A3333-CC65-45A2-8A01-C5B4ED0C2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353</Words>
  <Characters>2586</Characters>
  <Lines>21</Lines>
  <Paragraphs>5</Paragraphs>
  <TotalTime>30</TotalTime>
  <ScaleCrop>false</ScaleCrop>
  <LinksUpToDate>false</LinksUpToDate>
  <CharactersWithSpaces>2934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2019-03-04T05:44:00Z</dcterms:created>
  <dc:creator>Кочерыгина</dc:creator>
  <cp:lastModifiedBy>azarkinsi</cp:lastModifiedBy>
  <cp:lastPrinted>2019-03-05T08:09:00Z</cp:lastPrinted>
  <dcterms:modified xsi:type="dcterms:W3CDTF">2019-06-07T07:34:39Z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