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2D4739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22.09.2021 </w:t>
      </w:r>
      <w:r w:rsidRPr="002D4739">
        <w:rPr>
          <w:rFonts w:ascii="Times New Roman" w:hAnsi="Times New Roman" w:cs="Times New Roman"/>
          <w:sz w:val="28"/>
          <w:szCs w:val="28"/>
        </w:rPr>
        <w:t>комитет имущественных отношений города Мурманска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D4739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Пахомов Иван Андреевич</cp:lastModifiedBy>
  <cp:revision>7</cp:revision>
  <cp:lastPrinted>2021-09-22T16:31:00Z</cp:lastPrinted>
  <dcterms:created xsi:type="dcterms:W3CDTF">2021-09-22T15:21:00Z</dcterms:created>
  <dcterms:modified xsi:type="dcterms:W3CDTF">2021-09-24T08:17:00Z</dcterms:modified>
</cp:coreProperties>
</file>