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66C" w:rsidRDefault="006C70BF" w:rsidP="00896DD5">
      <w:pPr>
        <w:ind w:left="5387"/>
        <w:jc w:val="center"/>
        <w:rPr>
          <w:szCs w:val="28"/>
        </w:rPr>
      </w:pPr>
      <w:bookmarkStart w:id="0" w:name="_GoBack"/>
      <w:bookmarkEnd w:id="0"/>
      <w:r>
        <w:rPr>
          <w:szCs w:val="28"/>
        </w:rPr>
        <w:t>Приложение</w:t>
      </w:r>
      <w:r w:rsidR="0066566C">
        <w:rPr>
          <w:szCs w:val="28"/>
        </w:rPr>
        <w:t xml:space="preserve"> </w:t>
      </w:r>
    </w:p>
    <w:p w:rsidR="0066566C" w:rsidRDefault="006C70BF" w:rsidP="00896DD5">
      <w:pPr>
        <w:ind w:left="5387"/>
        <w:jc w:val="center"/>
        <w:rPr>
          <w:szCs w:val="28"/>
        </w:rPr>
      </w:pPr>
      <w:r>
        <w:rPr>
          <w:szCs w:val="28"/>
        </w:rPr>
        <w:t>к постановлению администрации</w:t>
      </w:r>
      <w:r w:rsidR="006D32F8">
        <w:rPr>
          <w:szCs w:val="28"/>
        </w:rPr>
        <w:t xml:space="preserve"> </w:t>
      </w:r>
      <w:r>
        <w:rPr>
          <w:szCs w:val="28"/>
        </w:rPr>
        <w:t>города Мурманска</w:t>
      </w:r>
      <w:r w:rsidR="006D32F8">
        <w:rPr>
          <w:szCs w:val="28"/>
        </w:rPr>
        <w:t xml:space="preserve"> </w:t>
      </w:r>
    </w:p>
    <w:p w:rsidR="006C70BF" w:rsidRDefault="006C70BF" w:rsidP="00896DD5">
      <w:pPr>
        <w:ind w:left="5387"/>
        <w:jc w:val="center"/>
        <w:rPr>
          <w:szCs w:val="28"/>
        </w:rPr>
      </w:pPr>
      <w:r>
        <w:rPr>
          <w:szCs w:val="28"/>
        </w:rPr>
        <w:t xml:space="preserve">от </w:t>
      </w:r>
      <w:r w:rsidR="00DC3091">
        <w:rPr>
          <w:szCs w:val="28"/>
        </w:rPr>
        <w:t>18.06.2019</w:t>
      </w:r>
      <w:r>
        <w:rPr>
          <w:szCs w:val="28"/>
        </w:rPr>
        <w:t xml:space="preserve"> № </w:t>
      </w:r>
      <w:r w:rsidR="00DC3091">
        <w:rPr>
          <w:szCs w:val="28"/>
        </w:rPr>
        <w:t>2064</w:t>
      </w:r>
    </w:p>
    <w:p w:rsidR="006C70BF" w:rsidRDefault="006C70BF" w:rsidP="006C70BF">
      <w:pPr>
        <w:jc w:val="center"/>
        <w:rPr>
          <w:szCs w:val="28"/>
        </w:rPr>
      </w:pPr>
    </w:p>
    <w:p w:rsidR="006C70BF" w:rsidRDefault="006C70BF" w:rsidP="006C70BF">
      <w:pPr>
        <w:pStyle w:val="a6"/>
        <w:spacing w:after="0" w:line="240" w:lineRule="auto"/>
        <w:ind w:left="0"/>
        <w:jc w:val="center"/>
        <w:rPr>
          <w:rFonts w:ascii="Times New Roman" w:hAnsi="Times New Roman"/>
          <w:sz w:val="28"/>
          <w:szCs w:val="28"/>
        </w:rPr>
      </w:pPr>
      <w:r>
        <w:rPr>
          <w:rFonts w:ascii="Times New Roman" w:hAnsi="Times New Roman"/>
          <w:sz w:val="28"/>
          <w:szCs w:val="28"/>
        </w:rPr>
        <w:t>Правила</w:t>
      </w:r>
      <w:r w:rsidRPr="00A6739E">
        <w:rPr>
          <w:rFonts w:ascii="Times New Roman" w:hAnsi="Times New Roman"/>
          <w:sz w:val="28"/>
          <w:szCs w:val="28"/>
        </w:rPr>
        <w:t xml:space="preserve"> расчета размера ассигнований </w:t>
      </w:r>
      <w:r>
        <w:rPr>
          <w:rFonts w:ascii="Times New Roman" w:hAnsi="Times New Roman"/>
          <w:sz w:val="28"/>
          <w:szCs w:val="28"/>
        </w:rPr>
        <w:t>из</w:t>
      </w:r>
    </w:p>
    <w:p w:rsidR="006C70BF" w:rsidRDefault="006C70BF" w:rsidP="006C70BF">
      <w:pPr>
        <w:pStyle w:val="a6"/>
        <w:spacing w:after="0" w:line="240" w:lineRule="auto"/>
        <w:ind w:left="0"/>
        <w:jc w:val="center"/>
        <w:rPr>
          <w:rFonts w:ascii="Times New Roman" w:hAnsi="Times New Roman"/>
          <w:sz w:val="28"/>
          <w:szCs w:val="28"/>
        </w:rPr>
      </w:pPr>
      <w:r w:rsidRPr="00A6739E">
        <w:rPr>
          <w:rFonts w:ascii="Times New Roman" w:hAnsi="Times New Roman"/>
          <w:sz w:val="28"/>
          <w:szCs w:val="28"/>
        </w:rPr>
        <w:t>бюджета муниципального образования город Мурманск на капитальный ремонт</w:t>
      </w:r>
      <w:r>
        <w:rPr>
          <w:rFonts w:ascii="Times New Roman" w:hAnsi="Times New Roman"/>
          <w:sz w:val="28"/>
          <w:szCs w:val="28"/>
        </w:rPr>
        <w:t xml:space="preserve">, ремонт, </w:t>
      </w:r>
      <w:r w:rsidRPr="00A6739E">
        <w:rPr>
          <w:rFonts w:ascii="Times New Roman" w:hAnsi="Times New Roman"/>
          <w:sz w:val="28"/>
          <w:szCs w:val="28"/>
        </w:rPr>
        <w:t>содержание автомобильных дорог общего пользования местного значения муниципального образования город Мурманск</w:t>
      </w:r>
    </w:p>
    <w:p w:rsidR="006C70BF" w:rsidRDefault="006C70BF" w:rsidP="006C70BF">
      <w:pPr>
        <w:pStyle w:val="a6"/>
        <w:spacing w:after="0" w:line="240" w:lineRule="auto"/>
        <w:ind w:left="0"/>
        <w:jc w:val="center"/>
        <w:rPr>
          <w:rFonts w:ascii="Times New Roman" w:hAnsi="Times New Roman"/>
          <w:sz w:val="28"/>
          <w:szCs w:val="28"/>
        </w:rPr>
      </w:pPr>
    </w:p>
    <w:p w:rsidR="00A24DD5" w:rsidRDefault="006C70BF" w:rsidP="0066566C">
      <w:pPr>
        <w:ind w:firstLine="709"/>
        <w:jc w:val="both"/>
        <w:rPr>
          <w:szCs w:val="28"/>
        </w:rPr>
      </w:pPr>
      <w:r w:rsidRPr="00A6739E">
        <w:rPr>
          <w:szCs w:val="28"/>
        </w:rPr>
        <w:t>1.</w:t>
      </w:r>
      <w:r>
        <w:rPr>
          <w:szCs w:val="28"/>
        </w:rPr>
        <w:t xml:space="preserve"> </w:t>
      </w:r>
      <w:r w:rsidRPr="00A6739E">
        <w:rPr>
          <w:szCs w:val="28"/>
        </w:rPr>
        <w:t>Нормативы финансовых затрат на капитальный ремонт</w:t>
      </w:r>
      <w:r>
        <w:rPr>
          <w:szCs w:val="28"/>
        </w:rPr>
        <w:t>, ремонт, содержание автомобильных дорог общего пользования местного значения муниципального образования город Мурманск (далее – нормативы финансовых затрат) применяются для определения размера ассигнований из бюджета муниципального образования город Мурманск на соответствующий финансовый год, предусматриваемых на указанные цели.</w:t>
      </w:r>
    </w:p>
    <w:p w:rsidR="006C70BF" w:rsidRDefault="006C70BF" w:rsidP="006C70BF">
      <w:pPr>
        <w:ind w:firstLine="709"/>
        <w:jc w:val="both"/>
        <w:rPr>
          <w:szCs w:val="28"/>
        </w:rPr>
      </w:pPr>
      <w:r>
        <w:rPr>
          <w:szCs w:val="28"/>
        </w:rPr>
        <w:t>2. В зависимости от категории автомобильной дороги общего пользования местного значения муниципального образования город Мурманск (далее – автомобильная дорога), а также индекса-дефлятора на соответствующий финансовый год применительно к каждой категории автомобильной дороги определяются приведенные нормативы финансовых затрат (Н прив. сод., Н прив. рем., Н прив. кап. рем.), рассчитываемые по формуле:</w:t>
      </w:r>
    </w:p>
    <w:p w:rsidR="006C70BF" w:rsidRDefault="006C70BF" w:rsidP="006C70BF">
      <w:pPr>
        <w:ind w:firstLine="709"/>
        <w:jc w:val="both"/>
        <w:rPr>
          <w:szCs w:val="28"/>
        </w:rPr>
      </w:pPr>
      <w:r>
        <w:rPr>
          <w:szCs w:val="28"/>
        </w:rPr>
        <w:t>Н прив. = Н х К деф., где:</w:t>
      </w:r>
    </w:p>
    <w:p w:rsidR="006C70BF" w:rsidRDefault="006C70BF" w:rsidP="006C70BF">
      <w:pPr>
        <w:ind w:firstLine="709"/>
        <w:jc w:val="both"/>
        <w:rPr>
          <w:szCs w:val="28"/>
        </w:rPr>
      </w:pPr>
      <w:r w:rsidRPr="00B35C03">
        <w:rPr>
          <w:szCs w:val="28"/>
        </w:rPr>
        <w:lastRenderedPageBreak/>
        <w:t xml:space="preserve">Н – установленный норматив финансовых затрат на </w:t>
      </w:r>
      <w:r w:rsidR="00E11385" w:rsidRPr="00B35C03">
        <w:rPr>
          <w:szCs w:val="28"/>
        </w:rPr>
        <w:t xml:space="preserve">капитальный ремонт, ремонт, содержание </w:t>
      </w:r>
      <w:r w:rsidRPr="00B35C03">
        <w:rPr>
          <w:szCs w:val="28"/>
        </w:rPr>
        <w:t>автомобильных дорог;</w:t>
      </w:r>
    </w:p>
    <w:p w:rsidR="00A24DD5" w:rsidRPr="00EE71E9" w:rsidRDefault="006C70BF" w:rsidP="0066566C">
      <w:pPr>
        <w:ind w:firstLine="709"/>
        <w:jc w:val="both"/>
        <w:rPr>
          <w:szCs w:val="28"/>
        </w:rPr>
      </w:pPr>
      <w:r>
        <w:rPr>
          <w:szCs w:val="28"/>
        </w:rPr>
        <w:t xml:space="preserve">К деф. – индекс-дефлятор инвестиций в основной капитал за счет всех источников финансирования </w:t>
      </w:r>
      <w:r w:rsidRPr="003B4554">
        <w:rPr>
          <w:szCs w:val="28"/>
        </w:rPr>
        <w:t>в</w:t>
      </w:r>
      <w:r>
        <w:rPr>
          <w:szCs w:val="28"/>
        </w:rPr>
        <w:t xml:space="preserve"> части ремонта и капитального ремонта автомобильных дорог или индекс потребительских цен в части содержания автомобильных дорог на год планирования (при расчете на период более одного года – произведение индексов-дефляторов на соответствующие годы), установленные Министерством экономического развития Мурманской области для прогноза социально-экономического развития на соответствующий финансовый год и плановый период.</w:t>
      </w:r>
    </w:p>
    <w:p w:rsidR="006C70BF" w:rsidRPr="000C0AF6" w:rsidRDefault="006C70BF" w:rsidP="006C70BF">
      <w:pPr>
        <w:ind w:firstLine="709"/>
        <w:jc w:val="both"/>
        <w:rPr>
          <w:szCs w:val="28"/>
        </w:rPr>
      </w:pPr>
      <w:r w:rsidRPr="000C0AF6">
        <w:rPr>
          <w:szCs w:val="28"/>
        </w:rPr>
        <w:t>3. Расчет размера ассигнований из бюджета муниципального образования город Мурманск на содержание автомобильных дорог осуществляется по формуле:</w:t>
      </w:r>
    </w:p>
    <w:p w:rsidR="006C70BF" w:rsidRPr="000C0AF6" w:rsidRDefault="006C70BF" w:rsidP="006C70BF">
      <w:pPr>
        <w:ind w:firstLine="709"/>
        <w:jc w:val="both"/>
        <w:rPr>
          <w:szCs w:val="28"/>
        </w:rPr>
      </w:pPr>
      <w:r w:rsidRPr="000C0AF6">
        <w:rPr>
          <w:szCs w:val="28"/>
        </w:rPr>
        <w:t xml:space="preserve">А сод. = Н прив. cод. х </w:t>
      </w:r>
      <w:r w:rsidRPr="000C0AF6">
        <w:rPr>
          <w:szCs w:val="28"/>
          <w:lang w:val="en-US"/>
        </w:rPr>
        <w:t>S</w:t>
      </w:r>
      <w:r w:rsidR="00B35C03">
        <w:rPr>
          <w:szCs w:val="28"/>
        </w:rPr>
        <w:t xml:space="preserve"> сод.</w:t>
      </w:r>
      <w:r>
        <w:rPr>
          <w:szCs w:val="28"/>
        </w:rPr>
        <w:t xml:space="preserve"> х </w:t>
      </w:r>
      <w:r>
        <w:rPr>
          <w:szCs w:val="28"/>
          <w:lang w:val="en-US"/>
        </w:rPr>
        <w:t>i</w:t>
      </w:r>
      <w:r w:rsidRPr="003B4554">
        <w:rPr>
          <w:szCs w:val="28"/>
        </w:rPr>
        <w:t xml:space="preserve"> </w:t>
      </w:r>
      <w:r>
        <w:rPr>
          <w:szCs w:val="28"/>
        </w:rPr>
        <w:t>пер.</w:t>
      </w:r>
      <w:r w:rsidRPr="000C0AF6">
        <w:rPr>
          <w:szCs w:val="28"/>
        </w:rPr>
        <w:t>, где:</w:t>
      </w:r>
    </w:p>
    <w:p w:rsidR="006C70BF" w:rsidRPr="000C0AF6" w:rsidRDefault="006C70BF" w:rsidP="006C70BF">
      <w:pPr>
        <w:ind w:firstLine="709"/>
        <w:jc w:val="both"/>
        <w:rPr>
          <w:szCs w:val="28"/>
        </w:rPr>
      </w:pPr>
      <w:r w:rsidRPr="000C0AF6">
        <w:rPr>
          <w:szCs w:val="28"/>
        </w:rPr>
        <w:t xml:space="preserve">А сод. – размер ассигнований из бюджета муниципального образования город Мурманск на содержание автомобильных дорог каждой категории </w:t>
      </w:r>
      <w:r w:rsidR="008C77E1">
        <w:rPr>
          <w:szCs w:val="28"/>
        </w:rPr>
        <w:t xml:space="preserve">                  </w:t>
      </w:r>
      <w:r w:rsidRPr="000C0AF6">
        <w:rPr>
          <w:szCs w:val="28"/>
        </w:rPr>
        <w:t>(тыс. руб.);</w:t>
      </w:r>
    </w:p>
    <w:p w:rsidR="006C70BF" w:rsidRPr="000C0AF6" w:rsidRDefault="006C70BF" w:rsidP="006C70BF">
      <w:pPr>
        <w:ind w:firstLine="709"/>
        <w:jc w:val="both"/>
        <w:rPr>
          <w:szCs w:val="28"/>
        </w:rPr>
      </w:pPr>
      <w:r w:rsidRPr="000C0AF6">
        <w:rPr>
          <w:szCs w:val="28"/>
        </w:rPr>
        <w:t>Н прив. сод. – приведенный норматив финансовых затрат на работы по содержанию автомобильных дор</w:t>
      </w:r>
      <w:r>
        <w:rPr>
          <w:szCs w:val="28"/>
        </w:rPr>
        <w:t>ог каждой категории</w:t>
      </w:r>
      <w:r w:rsidRPr="000C0AF6">
        <w:rPr>
          <w:szCs w:val="28"/>
        </w:rPr>
        <w:t xml:space="preserve"> (тыс. руб./ кв.м);</w:t>
      </w:r>
    </w:p>
    <w:p w:rsidR="006C70BF" w:rsidRDefault="006C70BF" w:rsidP="006C70BF">
      <w:pPr>
        <w:ind w:firstLine="709"/>
        <w:jc w:val="both"/>
        <w:rPr>
          <w:szCs w:val="28"/>
        </w:rPr>
      </w:pPr>
      <w:r w:rsidRPr="00B35C03">
        <w:rPr>
          <w:szCs w:val="28"/>
          <w:lang w:val="en-US"/>
        </w:rPr>
        <w:t>S</w:t>
      </w:r>
      <w:r w:rsidR="00E11385" w:rsidRPr="00B35C03">
        <w:rPr>
          <w:szCs w:val="28"/>
        </w:rPr>
        <w:t xml:space="preserve"> сод.</w:t>
      </w:r>
      <w:r w:rsidRPr="00B35C03">
        <w:rPr>
          <w:szCs w:val="28"/>
        </w:rPr>
        <w:t xml:space="preserve"> – площадь автомобильных дорог каждой категории</w:t>
      </w:r>
      <w:r w:rsidR="00FA2DD4">
        <w:rPr>
          <w:szCs w:val="28"/>
        </w:rPr>
        <w:t xml:space="preserve">, </w:t>
      </w:r>
      <w:r w:rsidR="00267FE9">
        <w:rPr>
          <w:szCs w:val="28"/>
        </w:rPr>
        <w:t>в отношении которых осуществляются работы по их содержанию</w:t>
      </w:r>
      <w:r w:rsidR="00FA2DD4">
        <w:rPr>
          <w:szCs w:val="28"/>
        </w:rPr>
        <w:t>, по состоянию</w:t>
      </w:r>
      <w:r w:rsidRPr="00B35C03">
        <w:rPr>
          <w:szCs w:val="28"/>
        </w:rPr>
        <w:t xml:space="preserve"> на 1 января года, предшествующего планируемому периоду,</w:t>
      </w:r>
      <w:r w:rsidR="00E11385" w:rsidRPr="00B35C03">
        <w:rPr>
          <w:szCs w:val="28"/>
        </w:rPr>
        <w:t xml:space="preserve"> </w:t>
      </w:r>
      <w:r w:rsidRPr="00B35C03">
        <w:rPr>
          <w:szCs w:val="28"/>
        </w:rPr>
        <w:t>с учетом</w:t>
      </w:r>
      <w:r w:rsidRPr="000C0AF6">
        <w:rPr>
          <w:szCs w:val="28"/>
        </w:rPr>
        <w:t xml:space="preserve"> ввода объектов строительства и реконструкции, предусмотренного в течение года, пред</w:t>
      </w:r>
      <w:r>
        <w:rPr>
          <w:szCs w:val="28"/>
        </w:rPr>
        <w:t>шествующего планируемому (кв.м);</w:t>
      </w:r>
    </w:p>
    <w:p w:rsidR="006C70BF" w:rsidRPr="000C0AF6" w:rsidRDefault="006C70BF" w:rsidP="006C70BF">
      <w:pPr>
        <w:ind w:firstLine="709"/>
        <w:jc w:val="both"/>
        <w:rPr>
          <w:szCs w:val="28"/>
        </w:rPr>
      </w:pPr>
      <w:r>
        <w:rPr>
          <w:szCs w:val="28"/>
          <w:lang w:val="en-US"/>
        </w:rPr>
        <w:t>i</w:t>
      </w:r>
      <w:r w:rsidRPr="003B4554">
        <w:rPr>
          <w:szCs w:val="28"/>
        </w:rPr>
        <w:t xml:space="preserve"> </w:t>
      </w:r>
      <w:r>
        <w:rPr>
          <w:szCs w:val="28"/>
        </w:rPr>
        <w:t xml:space="preserve">пер. – индекс, учитывающий уровень нормативной потребности, исходя из возможности доходной базы </w:t>
      </w:r>
      <w:r w:rsidRPr="000C0AF6">
        <w:rPr>
          <w:szCs w:val="28"/>
        </w:rPr>
        <w:t>бюджета муниципального образования город Мурманск</w:t>
      </w:r>
      <w:r>
        <w:rPr>
          <w:szCs w:val="28"/>
        </w:rPr>
        <w:t>.</w:t>
      </w:r>
    </w:p>
    <w:p w:rsidR="00A24DD5" w:rsidRPr="000C0AF6" w:rsidRDefault="006C70BF" w:rsidP="0066566C">
      <w:pPr>
        <w:ind w:firstLine="709"/>
        <w:jc w:val="both"/>
        <w:rPr>
          <w:szCs w:val="28"/>
        </w:rPr>
      </w:pPr>
      <w:r w:rsidRPr="000C0AF6">
        <w:rPr>
          <w:szCs w:val="28"/>
        </w:rPr>
        <w:lastRenderedPageBreak/>
        <w:t>Общая потребность в ассигнованиях из бюджета муниципального образования город Мурманск на выполнение работ по содержанию автомобильных дорог определяется как сумма ассигнований на выполнение работ по содержанию автомобильных дорог из бюджета муниципального образования город Мурманск по всем категориям автомобильных дорог.</w:t>
      </w:r>
    </w:p>
    <w:p w:rsidR="006C70BF" w:rsidRPr="000C0AF6" w:rsidRDefault="006C70BF" w:rsidP="006C70BF">
      <w:pPr>
        <w:ind w:firstLine="709"/>
        <w:jc w:val="both"/>
        <w:rPr>
          <w:szCs w:val="28"/>
        </w:rPr>
      </w:pPr>
      <w:r w:rsidRPr="000C0AF6">
        <w:rPr>
          <w:szCs w:val="28"/>
        </w:rPr>
        <w:t>4. Определение размера ассигнований из бюджета муниципального образования город Мурманск на капитальный ремонт и ремонт автомобильных дорог осуществляется по формулам:</w:t>
      </w:r>
    </w:p>
    <w:p w:rsidR="006C70BF" w:rsidRPr="000C0AF6" w:rsidRDefault="006C70BF" w:rsidP="006C70BF">
      <w:pPr>
        <w:ind w:firstLine="709"/>
        <w:jc w:val="both"/>
        <w:rPr>
          <w:szCs w:val="28"/>
        </w:rPr>
      </w:pPr>
      <w:r w:rsidRPr="000C0AF6">
        <w:rPr>
          <w:szCs w:val="28"/>
        </w:rPr>
        <w:t xml:space="preserve">а) А кап. рем. = Н прив. кап. рем. х </w:t>
      </w:r>
      <w:r w:rsidRPr="000C0AF6">
        <w:rPr>
          <w:szCs w:val="28"/>
          <w:lang w:val="en-US"/>
        </w:rPr>
        <w:t>S</w:t>
      </w:r>
      <w:r w:rsidRPr="000C0AF6">
        <w:rPr>
          <w:szCs w:val="28"/>
        </w:rPr>
        <w:t xml:space="preserve"> кап. рем.</w:t>
      </w:r>
      <w:r>
        <w:rPr>
          <w:szCs w:val="28"/>
        </w:rPr>
        <w:t xml:space="preserve"> х </w:t>
      </w:r>
      <w:r>
        <w:rPr>
          <w:szCs w:val="28"/>
          <w:lang w:val="en-US"/>
        </w:rPr>
        <w:t>i</w:t>
      </w:r>
      <w:r w:rsidRPr="003B4554">
        <w:rPr>
          <w:szCs w:val="28"/>
        </w:rPr>
        <w:t xml:space="preserve"> </w:t>
      </w:r>
      <w:r>
        <w:rPr>
          <w:szCs w:val="28"/>
        </w:rPr>
        <w:t>пер.</w:t>
      </w:r>
      <w:r w:rsidRPr="000C0AF6">
        <w:rPr>
          <w:szCs w:val="28"/>
        </w:rPr>
        <w:t>, где:</w:t>
      </w:r>
    </w:p>
    <w:p w:rsidR="006C70BF" w:rsidRPr="000C0AF6" w:rsidRDefault="006C70BF" w:rsidP="006C70BF">
      <w:pPr>
        <w:ind w:firstLine="709"/>
        <w:jc w:val="both"/>
        <w:rPr>
          <w:szCs w:val="28"/>
        </w:rPr>
      </w:pPr>
      <w:r w:rsidRPr="000C0AF6">
        <w:rPr>
          <w:szCs w:val="28"/>
        </w:rPr>
        <w:t>А кап. рем. – размер ассигнований из бюджета муниципального образования город Мурманск на выполнение работ по капитальному ремонту автомобильных дорог каждой категории (тыс. руб.);</w:t>
      </w:r>
    </w:p>
    <w:p w:rsidR="006C70BF" w:rsidRPr="000C0AF6" w:rsidRDefault="006C70BF" w:rsidP="006C70BF">
      <w:pPr>
        <w:ind w:firstLine="709"/>
        <w:jc w:val="both"/>
        <w:rPr>
          <w:szCs w:val="28"/>
        </w:rPr>
      </w:pPr>
      <w:r w:rsidRPr="000C0AF6">
        <w:rPr>
          <w:szCs w:val="28"/>
        </w:rPr>
        <w:t>Н прив. кап. рем. – приведенный норматив финансовых затрат на работы по капитальному ремонту автомобильных дорог каждой категории (тыс. руб./кв.м);</w:t>
      </w:r>
    </w:p>
    <w:p w:rsidR="006C70BF" w:rsidRDefault="006C70BF" w:rsidP="006C70BF">
      <w:pPr>
        <w:ind w:firstLine="709"/>
        <w:jc w:val="both"/>
        <w:rPr>
          <w:szCs w:val="28"/>
        </w:rPr>
      </w:pPr>
      <w:r w:rsidRPr="000C0AF6">
        <w:rPr>
          <w:szCs w:val="28"/>
          <w:lang w:val="en-US"/>
        </w:rPr>
        <w:t>S</w:t>
      </w:r>
      <w:r w:rsidRPr="000C0AF6">
        <w:rPr>
          <w:szCs w:val="28"/>
        </w:rPr>
        <w:t xml:space="preserve"> кап. рем. – расчетная площадь автомобильных дорог каждой категории, подлежащих капитальн</w:t>
      </w:r>
      <w:r>
        <w:rPr>
          <w:szCs w:val="28"/>
        </w:rPr>
        <w:t>ому ремонту на год планирования;</w:t>
      </w:r>
    </w:p>
    <w:p w:rsidR="006C70BF" w:rsidRPr="000C0AF6" w:rsidRDefault="006C70BF" w:rsidP="006C70BF">
      <w:pPr>
        <w:ind w:firstLine="709"/>
        <w:jc w:val="both"/>
        <w:rPr>
          <w:szCs w:val="28"/>
        </w:rPr>
      </w:pPr>
      <w:r>
        <w:rPr>
          <w:szCs w:val="28"/>
          <w:lang w:val="en-US"/>
        </w:rPr>
        <w:t>i</w:t>
      </w:r>
      <w:r w:rsidRPr="003B4554">
        <w:rPr>
          <w:szCs w:val="28"/>
        </w:rPr>
        <w:t xml:space="preserve"> </w:t>
      </w:r>
      <w:r>
        <w:rPr>
          <w:szCs w:val="28"/>
        </w:rPr>
        <w:t xml:space="preserve">пер. – индекс, учитывающий уровень нормативной потребности, исходя из возможности доходной базы </w:t>
      </w:r>
      <w:r w:rsidRPr="000C0AF6">
        <w:rPr>
          <w:szCs w:val="28"/>
        </w:rPr>
        <w:t>бюджета муниципального образования город Мурманск</w:t>
      </w:r>
      <w:r>
        <w:rPr>
          <w:szCs w:val="28"/>
        </w:rPr>
        <w:t>.</w:t>
      </w:r>
    </w:p>
    <w:p w:rsidR="006C70BF" w:rsidRPr="000C0AF6" w:rsidRDefault="006C70BF" w:rsidP="006C70BF">
      <w:pPr>
        <w:ind w:firstLine="709"/>
        <w:jc w:val="both"/>
        <w:rPr>
          <w:szCs w:val="28"/>
        </w:rPr>
      </w:pPr>
      <w:r w:rsidRPr="000C0AF6">
        <w:rPr>
          <w:szCs w:val="28"/>
        </w:rPr>
        <w:t xml:space="preserve">б) А рем. = Н прив. рем. х </w:t>
      </w:r>
      <w:r w:rsidRPr="000C0AF6">
        <w:rPr>
          <w:szCs w:val="28"/>
          <w:lang w:val="en-US"/>
        </w:rPr>
        <w:t>S</w:t>
      </w:r>
      <w:r w:rsidRPr="000C0AF6">
        <w:rPr>
          <w:szCs w:val="28"/>
        </w:rPr>
        <w:t xml:space="preserve"> рем.</w:t>
      </w:r>
      <w:r>
        <w:rPr>
          <w:szCs w:val="28"/>
        </w:rPr>
        <w:t xml:space="preserve"> х </w:t>
      </w:r>
      <w:r>
        <w:rPr>
          <w:szCs w:val="28"/>
          <w:lang w:val="en-US"/>
        </w:rPr>
        <w:t>i</w:t>
      </w:r>
      <w:r w:rsidRPr="003B4554">
        <w:rPr>
          <w:szCs w:val="28"/>
        </w:rPr>
        <w:t xml:space="preserve"> </w:t>
      </w:r>
      <w:r>
        <w:rPr>
          <w:szCs w:val="28"/>
        </w:rPr>
        <w:t>пер.</w:t>
      </w:r>
      <w:r w:rsidRPr="000C0AF6">
        <w:rPr>
          <w:szCs w:val="28"/>
        </w:rPr>
        <w:t>, где:</w:t>
      </w:r>
    </w:p>
    <w:p w:rsidR="006C70BF" w:rsidRPr="000C0AF6" w:rsidRDefault="006C70BF" w:rsidP="006C70BF">
      <w:pPr>
        <w:ind w:firstLine="709"/>
        <w:jc w:val="both"/>
        <w:rPr>
          <w:szCs w:val="28"/>
        </w:rPr>
      </w:pPr>
      <w:r w:rsidRPr="000C0AF6">
        <w:rPr>
          <w:szCs w:val="28"/>
        </w:rPr>
        <w:t>А рем. – размер ассигнований из бюджета муниципального образования город Мурманск на выполнение работ по ремонту автомобильных дорог каждой категории (тыс. руб.);</w:t>
      </w:r>
    </w:p>
    <w:p w:rsidR="006C70BF" w:rsidRPr="000C0AF6" w:rsidRDefault="006C70BF" w:rsidP="006C70BF">
      <w:pPr>
        <w:ind w:firstLine="709"/>
        <w:jc w:val="both"/>
        <w:rPr>
          <w:szCs w:val="28"/>
        </w:rPr>
      </w:pPr>
      <w:r w:rsidRPr="000C0AF6">
        <w:rPr>
          <w:szCs w:val="28"/>
        </w:rPr>
        <w:t>Н прив. рем. –</w:t>
      </w:r>
      <w:r>
        <w:rPr>
          <w:szCs w:val="28"/>
        </w:rPr>
        <w:t xml:space="preserve"> </w:t>
      </w:r>
      <w:r w:rsidRPr="000C0AF6">
        <w:rPr>
          <w:szCs w:val="28"/>
        </w:rPr>
        <w:t>приведенный норматив финансовых затрат на работы по ремонту автомобильных дорог каждой категории (тыс. руб./кв.м);</w:t>
      </w:r>
    </w:p>
    <w:p w:rsidR="006C70BF" w:rsidRDefault="006C70BF" w:rsidP="006C70BF">
      <w:pPr>
        <w:ind w:firstLine="709"/>
        <w:jc w:val="both"/>
        <w:rPr>
          <w:szCs w:val="28"/>
        </w:rPr>
      </w:pPr>
      <w:r w:rsidRPr="000C0AF6">
        <w:rPr>
          <w:szCs w:val="28"/>
          <w:lang w:val="en-US"/>
        </w:rPr>
        <w:lastRenderedPageBreak/>
        <w:t>S</w:t>
      </w:r>
      <w:r w:rsidRPr="000C0AF6">
        <w:rPr>
          <w:szCs w:val="28"/>
        </w:rPr>
        <w:t xml:space="preserve"> рем. –</w:t>
      </w:r>
      <w:r>
        <w:rPr>
          <w:szCs w:val="28"/>
        </w:rPr>
        <w:t xml:space="preserve"> </w:t>
      </w:r>
      <w:r w:rsidRPr="000C0AF6">
        <w:rPr>
          <w:szCs w:val="28"/>
        </w:rPr>
        <w:t>расчетная площадь автомобильных дорог каждой категории, подлежа</w:t>
      </w:r>
      <w:r>
        <w:rPr>
          <w:szCs w:val="28"/>
        </w:rPr>
        <w:t>щих ремонту на год планирования;</w:t>
      </w:r>
    </w:p>
    <w:p w:rsidR="006C70BF" w:rsidRPr="000C0AF6" w:rsidRDefault="006C70BF" w:rsidP="006C70BF">
      <w:pPr>
        <w:ind w:firstLine="709"/>
        <w:jc w:val="both"/>
        <w:rPr>
          <w:szCs w:val="28"/>
        </w:rPr>
      </w:pPr>
      <w:r>
        <w:rPr>
          <w:szCs w:val="28"/>
          <w:lang w:val="en-US"/>
        </w:rPr>
        <w:t>i</w:t>
      </w:r>
      <w:r w:rsidRPr="003B4554">
        <w:rPr>
          <w:szCs w:val="28"/>
        </w:rPr>
        <w:t xml:space="preserve"> </w:t>
      </w:r>
      <w:r>
        <w:rPr>
          <w:szCs w:val="28"/>
        </w:rPr>
        <w:t xml:space="preserve">пер. – индекс, учитывающий уровень нормативной потребности, исходя из возможности доходной базы </w:t>
      </w:r>
      <w:r w:rsidRPr="000C0AF6">
        <w:rPr>
          <w:szCs w:val="28"/>
        </w:rPr>
        <w:t>бюджета муниципального образования город Мурманск</w:t>
      </w:r>
      <w:r>
        <w:rPr>
          <w:szCs w:val="28"/>
        </w:rPr>
        <w:t>.</w:t>
      </w:r>
    </w:p>
    <w:p w:rsidR="006C70BF" w:rsidRPr="000C0AF6" w:rsidRDefault="006C70BF" w:rsidP="006C70BF">
      <w:pPr>
        <w:ind w:firstLine="709"/>
        <w:jc w:val="both"/>
        <w:rPr>
          <w:szCs w:val="28"/>
        </w:rPr>
      </w:pPr>
      <w:r w:rsidRPr="000C0AF6">
        <w:rPr>
          <w:szCs w:val="28"/>
        </w:rPr>
        <w:t>Общая потребность в ассигнованиях из бюджета муниципального образования город Мурманск на выполнение работ по капитальному ремонту и ремонту автомобильных дорог определяется как сумма ассигнований на выполнение работ по всем категориям автомобильных дорог.</w:t>
      </w:r>
    </w:p>
    <w:p w:rsidR="006C70BF" w:rsidRPr="000C0AF6" w:rsidRDefault="006C70BF" w:rsidP="006C70BF">
      <w:pPr>
        <w:ind w:firstLine="709"/>
        <w:jc w:val="both"/>
        <w:rPr>
          <w:szCs w:val="28"/>
        </w:rPr>
      </w:pPr>
      <w:r w:rsidRPr="000C0AF6">
        <w:rPr>
          <w:szCs w:val="28"/>
        </w:rPr>
        <w:t>5. Расчетная площадь автомобильных дорог каждой категории, подлежащих капитальному ремонту на год планирования (</w:t>
      </w:r>
      <w:r w:rsidRPr="000C0AF6">
        <w:rPr>
          <w:szCs w:val="28"/>
          <w:lang w:val="en-US"/>
        </w:rPr>
        <w:t>S</w:t>
      </w:r>
      <w:r w:rsidRPr="000C0AF6">
        <w:rPr>
          <w:szCs w:val="28"/>
        </w:rPr>
        <w:t xml:space="preserve"> кап. рем.)</w:t>
      </w:r>
      <w:r w:rsidR="00DF1228">
        <w:rPr>
          <w:szCs w:val="28"/>
        </w:rPr>
        <w:t>,</w:t>
      </w:r>
      <w:r w:rsidRPr="000C0AF6">
        <w:rPr>
          <w:szCs w:val="28"/>
        </w:rPr>
        <w:t xml:space="preserve"> определяется по формуле:</w:t>
      </w:r>
    </w:p>
    <w:p w:rsidR="006C70BF" w:rsidRDefault="006C70BF" w:rsidP="006C70BF">
      <w:pPr>
        <w:ind w:firstLine="709"/>
        <w:jc w:val="both"/>
        <w:rPr>
          <w:szCs w:val="28"/>
        </w:rPr>
      </w:pPr>
      <w:r w:rsidRPr="000C0AF6">
        <w:rPr>
          <w:szCs w:val="28"/>
          <w:lang w:val="en-US"/>
        </w:rPr>
        <w:t>S</w:t>
      </w:r>
      <w:r w:rsidRPr="000C0AF6">
        <w:rPr>
          <w:szCs w:val="28"/>
        </w:rPr>
        <w:t xml:space="preserve"> кап. рем. = </w:t>
      </w:r>
      <w:r w:rsidRPr="000C0AF6">
        <w:rPr>
          <w:szCs w:val="28"/>
          <w:lang w:val="en-US"/>
        </w:rPr>
        <w:t>S</w:t>
      </w:r>
      <w:r w:rsidRPr="000C0AF6">
        <w:rPr>
          <w:szCs w:val="28"/>
        </w:rPr>
        <w:t xml:space="preserve">/Т кап. рем. - </w:t>
      </w:r>
      <w:r w:rsidRPr="000C0AF6">
        <w:rPr>
          <w:szCs w:val="28"/>
          <w:lang w:val="en-US"/>
        </w:rPr>
        <w:t>S</w:t>
      </w:r>
      <w:r w:rsidRPr="000C0AF6">
        <w:rPr>
          <w:szCs w:val="28"/>
        </w:rPr>
        <w:t xml:space="preserve"> рек., где:</w:t>
      </w:r>
    </w:p>
    <w:p w:rsidR="006C70BF" w:rsidRDefault="006C70BF" w:rsidP="006C70BF">
      <w:pPr>
        <w:ind w:firstLine="709"/>
        <w:jc w:val="both"/>
        <w:rPr>
          <w:szCs w:val="28"/>
        </w:rPr>
      </w:pPr>
      <w:r w:rsidRPr="00AF5C5D">
        <w:rPr>
          <w:szCs w:val="28"/>
          <w:lang w:val="en-US"/>
        </w:rPr>
        <w:t>S</w:t>
      </w:r>
      <w:r w:rsidRPr="00AF5C5D">
        <w:rPr>
          <w:szCs w:val="28"/>
        </w:rPr>
        <w:t xml:space="preserve"> – площадь автомобильных</w:t>
      </w:r>
      <w:r w:rsidRPr="000C0AF6">
        <w:rPr>
          <w:szCs w:val="28"/>
        </w:rPr>
        <w:t xml:space="preserve"> дорог каждой категории на 1 января года, предшествующего планируемому периоду, с учетом ввода объектов строительства и реконструкции, предусмотренного в течение года, пред</w:t>
      </w:r>
      <w:r>
        <w:rPr>
          <w:szCs w:val="28"/>
        </w:rPr>
        <w:t>шествующего планируемому (кв.м);</w:t>
      </w:r>
    </w:p>
    <w:p w:rsidR="006C70BF" w:rsidRPr="000C0AF6" w:rsidRDefault="006C70BF" w:rsidP="006C70BF">
      <w:pPr>
        <w:ind w:firstLine="709"/>
        <w:jc w:val="both"/>
        <w:rPr>
          <w:szCs w:val="28"/>
        </w:rPr>
      </w:pPr>
      <w:r w:rsidRPr="000C0AF6">
        <w:rPr>
          <w:szCs w:val="28"/>
        </w:rPr>
        <w:t>Т кап. рем. – нормативный межремонтный срок работ по капитальному ремонту для дорог каждой категории согласно таблице (лет);</w:t>
      </w:r>
    </w:p>
    <w:p w:rsidR="00A24DD5" w:rsidRPr="000C0AF6" w:rsidRDefault="006C70BF" w:rsidP="0066566C">
      <w:pPr>
        <w:ind w:firstLine="709"/>
        <w:jc w:val="both"/>
        <w:rPr>
          <w:szCs w:val="28"/>
        </w:rPr>
      </w:pPr>
      <w:r w:rsidRPr="000C0AF6">
        <w:rPr>
          <w:szCs w:val="28"/>
          <w:lang w:val="en-US"/>
        </w:rPr>
        <w:t>S</w:t>
      </w:r>
      <w:r w:rsidRPr="000C0AF6">
        <w:rPr>
          <w:szCs w:val="28"/>
        </w:rPr>
        <w:t xml:space="preserve"> рек. – площадь автомобильных дорог соответствующей категории, намеченных к реконструкции на год планирования (кв.м/год).</w:t>
      </w:r>
    </w:p>
    <w:p w:rsidR="006C70BF" w:rsidRPr="00AF5C5D" w:rsidRDefault="006C70BF" w:rsidP="006C70BF">
      <w:pPr>
        <w:ind w:firstLine="709"/>
        <w:jc w:val="both"/>
        <w:rPr>
          <w:szCs w:val="28"/>
        </w:rPr>
      </w:pPr>
      <w:r w:rsidRPr="00AF5C5D">
        <w:rPr>
          <w:szCs w:val="28"/>
        </w:rPr>
        <w:t>6. Расчетная площадь автомобильных дорог соответствующей категории, подлежащих ремонту на год планирования (</w:t>
      </w:r>
      <w:r w:rsidRPr="00AF5C5D">
        <w:rPr>
          <w:szCs w:val="28"/>
          <w:lang w:val="en-US"/>
        </w:rPr>
        <w:t>S</w:t>
      </w:r>
      <w:r w:rsidRPr="00AF5C5D">
        <w:rPr>
          <w:szCs w:val="28"/>
        </w:rPr>
        <w:t xml:space="preserve"> рем.), определяется по формуле:</w:t>
      </w:r>
    </w:p>
    <w:p w:rsidR="006C70BF" w:rsidRPr="00AF5C5D" w:rsidRDefault="006C70BF" w:rsidP="006C70BF">
      <w:pPr>
        <w:ind w:firstLine="709"/>
        <w:jc w:val="both"/>
        <w:rPr>
          <w:szCs w:val="28"/>
        </w:rPr>
      </w:pPr>
      <w:r w:rsidRPr="00AF5C5D">
        <w:rPr>
          <w:szCs w:val="28"/>
          <w:lang w:val="en-US"/>
        </w:rPr>
        <w:t xml:space="preserve">S </w:t>
      </w:r>
      <w:r w:rsidRPr="00AF5C5D">
        <w:rPr>
          <w:szCs w:val="28"/>
        </w:rPr>
        <w:t>рем</w:t>
      </w:r>
      <w:r w:rsidRPr="00AF5C5D">
        <w:rPr>
          <w:szCs w:val="28"/>
          <w:lang w:val="en-US"/>
        </w:rPr>
        <w:t>. = S/</w:t>
      </w:r>
      <w:r w:rsidRPr="00AF5C5D">
        <w:rPr>
          <w:szCs w:val="28"/>
        </w:rPr>
        <w:t>Т</w:t>
      </w:r>
      <w:r w:rsidRPr="00AF5C5D">
        <w:rPr>
          <w:szCs w:val="28"/>
          <w:lang w:val="en-US"/>
        </w:rPr>
        <w:t xml:space="preserve"> </w:t>
      </w:r>
      <w:r w:rsidRPr="00AF5C5D">
        <w:rPr>
          <w:szCs w:val="28"/>
        </w:rPr>
        <w:t>рем</w:t>
      </w:r>
      <w:r w:rsidRPr="00AF5C5D">
        <w:rPr>
          <w:szCs w:val="28"/>
          <w:lang w:val="en-US"/>
        </w:rPr>
        <w:t xml:space="preserve">. – (S </w:t>
      </w:r>
      <w:r w:rsidRPr="00AF5C5D">
        <w:rPr>
          <w:szCs w:val="28"/>
        </w:rPr>
        <w:t>рек</w:t>
      </w:r>
      <w:r w:rsidRPr="00AF5C5D">
        <w:rPr>
          <w:szCs w:val="28"/>
          <w:lang w:val="en-US"/>
        </w:rPr>
        <w:t xml:space="preserve">. </w:t>
      </w:r>
      <w:r w:rsidRPr="00AF5C5D">
        <w:rPr>
          <w:szCs w:val="28"/>
        </w:rPr>
        <w:t xml:space="preserve">+ </w:t>
      </w:r>
      <w:r w:rsidRPr="00AF5C5D">
        <w:rPr>
          <w:szCs w:val="28"/>
          <w:lang w:val="en-US"/>
        </w:rPr>
        <w:t>S</w:t>
      </w:r>
      <w:r w:rsidRPr="00AF5C5D">
        <w:rPr>
          <w:szCs w:val="28"/>
        </w:rPr>
        <w:t xml:space="preserve"> кап. рем.), где:</w:t>
      </w:r>
    </w:p>
    <w:p w:rsidR="006C70BF" w:rsidRDefault="006C70BF" w:rsidP="006C70BF">
      <w:pPr>
        <w:ind w:firstLine="709"/>
        <w:jc w:val="both"/>
        <w:rPr>
          <w:szCs w:val="28"/>
        </w:rPr>
      </w:pPr>
      <w:r w:rsidRPr="00AF5C5D">
        <w:rPr>
          <w:szCs w:val="28"/>
          <w:lang w:val="en-US"/>
        </w:rPr>
        <w:lastRenderedPageBreak/>
        <w:t>S</w:t>
      </w:r>
      <w:r w:rsidRPr="00AF5C5D">
        <w:rPr>
          <w:szCs w:val="28"/>
        </w:rPr>
        <w:t xml:space="preserve"> – площадь автомобильных</w:t>
      </w:r>
      <w:r w:rsidRPr="000C0AF6">
        <w:rPr>
          <w:szCs w:val="28"/>
        </w:rPr>
        <w:t xml:space="preserve"> дорог каждой категории на 1 января года, предшествующего планируемому периоду, с учетом ввода объектов строительства и реконструкции, предусмотренного в течение года, пред</w:t>
      </w:r>
      <w:r>
        <w:rPr>
          <w:szCs w:val="28"/>
        </w:rPr>
        <w:t>шествующего планируемому (кв.м);</w:t>
      </w:r>
    </w:p>
    <w:p w:rsidR="006C70BF" w:rsidRPr="000C0AF6" w:rsidRDefault="006C70BF" w:rsidP="006C70BF">
      <w:pPr>
        <w:ind w:firstLine="709"/>
        <w:jc w:val="both"/>
        <w:rPr>
          <w:szCs w:val="28"/>
        </w:rPr>
      </w:pPr>
      <w:r w:rsidRPr="000C0AF6">
        <w:rPr>
          <w:szCs w:val="28"/>
        </w:rPr>
        <w:t>Т рем. – нормативный межремонтный срок работ по ремонту для дорог ка</w:t>
      </w:r>
      <w:r>
        <w:rPr>
          <w:szCs w:val="28"/>
        </w:rPr>
        <w:t>ждой категории согласно таблице (лет);</w:t>
      </w:r>
    </w:p>
    <w:p w:rsidR="006C70BF" w:rsidRPr="000C0AF6" w:rsidRDefault="006C70BF" w:rsidP="006C70BF">
      <w:pPr>
        <w:ind w:firstLine="709"/>
        <w:jc w:val="both"/>
        <w:rPr>
          <w:szCs w:val="28"/>
        </w:rPr>
      </w:pPr>
      <w:r w:rsidRPr="000C0AF6">
        <w:rPr>
          <w:szCs w:val="28"/>
          <w:lang w:val="en-US"/>
        </w:rPr>
        <w:t>S</w:t>
      </w:r>
      <w:r w:rsidRPr="000C0AF6">
        <w:rPr>
          <w:szCs w:val="28"/>
        </w:rPr>
        <w:t xml:space="preserve"> рек. – площадь автомобильных дорог соответствующей категории, намеченных к реконструкции</w:t>
      </w:r>
      <w:r>
        <w:rPr>
          <w:szCs w:val="28"/>
        </w:rPr>
        <w:t xml:space="preserve"> на год планирования (кв.м/год);</w:t>
      </w:r>
    </w:p>
    <w:p w:rsidR="006C70BF" w:rsidRPr="0066566C" w:rsidRDefault="006C70BF" w:rsidP="0066566C">
      <w:pPr>
        <w:ind w:firstLine="709"/>
        <w:jc w:val="both"/>
        <w:rPr>
          <w:szCs w:val="28"/>
        </w:rPr>
      </w:pPr>
      <w:r w:rsidRPr="000C0AF6">
        <w:rPr>
          <w:szCs w:val="28"/>
          <w:lang w:val="en-US"/>
        </w:rPr>
        <w:t>S</w:t>
      </w:r>
      <w:r w:rsidRPr="000C0AF6">
        <w:rPr>
          <w:szCs w:val="28"/>
        </w:rPr>
        <w:t xml:space="preserve"> кап. рем. </w:t>
      </w:r>
      <w:r>
        <w:rPr>
          <w:szCs w:val="28"/>
        </w:rPr>
        <w:t xml:space="preserve">– </w:t>
      </w:r>
      <w:r w:rsidRPr="000C0AF6">
        <w:rPr>
          <w:szCs w:val="28"/>
        </w:rPr>
        <w:t>площадь автомобильных дорог каждой категории, подлежащих капитальному ремонту на год планирования (</w:t>
      </w:r>
      <w:r>
        <w:rPr>
          <w:szCs w:val="28"/>
        </w:rPr>
        <w:t>кв.м</w:t>
      </w:r>
      <w:r w:rsidRPr="000C0AF6">
        <w:rPr>
          <w:szCs w:val="28"/>
        </w:rPr>
        <w:t>)</w:t>
      </w:r>
      <w:r>
        <w:rPr>
          <w:szCs w:val="28"/>
        </w:rPr>
        <w:t>.</w:t>
      </w:r>
    </w:p>
    <w:p w:rsidR="006C70BF" w:rsidRPr="000C0AF6" w:rsidRDefault="006C70BF" w:rsidP="006C70BF">
      <w:pPr>
        <w:jc w:val="center"/>
        <w:rPr>
          <w:szCs w:val="28"/>
        </w:rPr>
      </w:pPr>
      <w:r w:rsidRPr="000C0AF6">
        <w:rPr>
          <w:szCs w:val="28"/>
        </w:rPr>
        <w:t>Нормативные межремонтные сроки</w:t>
      </w:r>
    </w:p>
    <w:p w:rsidR="006C70BF" w:rsidRDefault="006C70BF" w:rsidP="00A24DD5">
      <w:pPr>
        <w:jc w:val="right"/>
        <w:rPr>
          <w:sz w:val="24"/>
          <w:szCs w:val="24"/>
          <w:lang w:val="en-US"/>
        </w:rPr>
      </w:pPr>
      <w:r w:rsidRPr="00B219F4">
        <w:rPr>
          <w:sz w:val="24"/>
          <w:szCs w:val="24"/>
          <w:lang w:val="en-US"/>
        </w:rPr>
        <w:t>(</w:t>
      </w:r>
      <w:r w:rsidRPr="00B219F4">
        <w:rPr>
          <w:sz w:val="24"/>
          <w:szCs w:val="24"/>
        </w:rPr>
        <w:t>лет</w:t>
      </w:r>
      <w:r w:rsidRPr="00B219F4">
        <w:rPr>
          <w:sz w:val="24"/>
          <w:szCs w:val="24"/>
          <w:lang w:val="en-US"/>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6"/>
        <w:gridCol w:w="2362"/>
        <w:gridCol w:w="2362"/>
        <w:gridCol w:w="2504"/>
      </w:tblGrid>
      <w:tr w:rsidR="006D32F8" w:rsidRPr="008F30B4" w:rsidTr="00A24DD5">
        <w:tc>
          <w:tcPr>
            <w:tcW w:w="2406" w:type="dxa"/>
            <w:vMerge w:val="restart"/>
            <w:shd w:val="clear" w:color="auto" w:fill="auto"/>
            <w:vAlign w:val="center"/>
          </w:tcPr>
          <w:p w:rsidR="006D32F8" w:rsidRPr="008F30B4" w:rsidRDefault="000C101D" w:rsidP="000C101D">
            <w:pPr>
              <w:jc w:val="center"/>
              <w:rPr>
                <w:sz w:val="24"/>
                <w:szCs w:val="24"/>
              </w:rPr>
            </w:pPr>
            <w:r>
              <w:rPr>
                <w:sz w:val="24"/>
                <w:szCs w:val="24"/>
              </w:rPr>
              <w:t>Вид</w:t>
            </w:r>
            <w:r w:rsidR="006D32F8">
              <w:rPr>
                <w:sz w:val="24"/>
                <w:szCs w:val="24"/>
              </w:rPr>
              <w:t xml:space="preserve"> </w:t>
            </w:r>
            <w:r>
              <w:rPr>
                <w:sz w:val="24"/>
                <w:szCs w:val="24"/>
              </w:rPr>
              <w:t>работ</w:t>
            </w:r>
          </w:p>
        </w:tc>
        <w:tc>
          <w:tcPr>
            <w:tcW w:w="7228" w:type="dxa"/>
            <w:gridSpan w:val="3"/>
            <w:shd w:val="clear" w:color="auto" w:fill="auto"/>
            <w:vAlign w:val="center"/>
          </w:tcPr>
          <w:p w:rsidR="006D32F8" w:rsidRPr="008F30B4" w:rsidRDefault="006D32F8" w:rsidP="006D32F8">
            <w:pPr>
              <w:spacing w:before="20" w:after="20"/>
              <w:jc w:val="center"/>
              <w:rPr>
                <w:sz w:val="24"/>
                <w:szCs w:val="24"/>
              </w:rPr>
            </w:pPr>
            <w:r>
              <w:rPr>
                <w:sz w:val="24"/>
                <w:szCs w:val="24"/>
              </w:rPr>
              <w:t>Группа/к</w:t>
            </w:r>
            <w:r w:rsidRPr="008F30B4">
              <w:rPr>
                <w:sz w:val="24"/>
                <w:szCs w:val="24"/>
              </w:rPr>
              <w:t>атегория автомобильных дорог общего пользования местного значения муниципального образования город Мурманск</w:t>
            </w:r>
          </w:p>
        </w:tc>
      </w:tr>
      <w:tr w:rsidR="006D32F8" w:rsidRPr="008F30B4" w:rsidTr="00A24DD5">
        <w:tc>
          <w:tcPr>
            <w:tcW w:w="2406" w:type="dxa"/>
            <w:vMerge/>
            <w:shd w:val="clear" w:color="auto" w:fill="auto"/>
            <w:vAlign w:val="center"/>
          </w:tcPr>
          <w:p w:rsidR="006D32F8" w:rsidRPr="008F30B4" w:rsidRDefault="006D32F8" w:rsidP="006D32F8">
            <w:pPr>
              <w:jc w:val="center"/>
              <w:rPr>
                <w:sz w:val="24"/>
                <w:szCs w:val="24"/>
              </w:rPr>
            </w:pPr>
          </w:p>
        </w:tc>
        <w:tc>
          <w:tcPr>
            <w:tcW w:w="2362" w:type="dxa"/>
            <w:shd w:val="clear" w:color="auto" w:fill="auto"/>
            <w:vAlign w:val="center"/>
          </w:tcPr>
          <w:p w:rsidR="006D32F8" w:rsidRPr="00DD60FB" w:rsidRDefault="006D32F8" w:rsidP="006D32F8">
            <w:pPr>
              <w:spacing w:before="20" w:after="20"/>
              <w:jc w:val="center"/>
              <w:rPr>
                <w:color w:val="000000"/>
                <w:sz w:val="24"/>
                <w:szCs w:val="24"/>
              </w:rPr>
            </w:pPr>
            <w:r w:rsidRPr="00DD60FB">
              <w:rPr>
                <w:color w:val="000000"/>
                <w:sz w:val="24"/>
                <w:szCs w:val="24"/>
              </w:rPr>
              <w:t>Группа Г</w:t>
            </w:r>
          </w:p>
        </w:tc>
        <w:tc>
          <w:tcPr>
            <w:tcW w:w="2362" w:type="dxa"/>
            <w:shd w:val="clear" w:color="auto" w:fill="auto"/>
            <w:vAlign w:val="center"/>
          </w:tcPr>
          <w:p w:rsidR="006D32F8" w:rsidRPr="00DD60FB" w:rsidRDefault="006D32F8" w:rsidP="006D32F8">
            <w:pPr>
              <w:spacing w:before="20" w:after="20"/>
              <w:jc w:val="center"/>
              <w:rPr>
                <w:color w:val="000000"/>
                <w:sz w:val="24"/>
                <w:szCs w:val="24"/>
              </w:rPr>
            </w:pPr>
            <w:r w:rsidRPr="00DD60FB">
              <w:rPr>
                <w:color w:val="000000"/>
                <w:sz w:val="24"/>
                <w:szCs w:val="24"/>
              </w:rPr>
              <w:t>Группа Д</w:t>
            </w:r>
          </w:p>
        </w:tc>
        <w:tc>
          <w:tcPr>
            <w:tcW w:w="2504" w:type="dxa"/>
            <w:shd w:val="clear" w:color="auto" w:fill="auto"/>
            <w:vAlign w:val="center"/>
          </w:tcPr>
          <w:p w:rsidR="006D32F8" w:rsidRPr="00DD60FB" w:rsidRDefault="006D32F8" w:rsidP="006D32F8">
            <w:pPr>
              <w:spacing w:before="20" w:after="20"/>
              <w:jc w:val="center"/>
              <w:rPr>
                <w:color w:val="000000"/>
                <w:sz w:val="24"/>
                <w:szCs w:val="24"/>
              </w:rPr>
            </w:pPr>
            <w:r w:rsidRPr="00DD60FB">
              <w:rPr>
                <w:color w:val="000000"/>
                <w:sz w:val="24"/>
                <w:szCs w:val="24"/>
              </w:rPr>
              <w:t>Группа Е</w:t>
            </w:r>
          </w:p>
        </w:tc>
      </w:tr>
      <w:tr w:rsidR="006D32F8" w:rsidRPr="008F30B4" w:rsidTr="00A24DD5">
        <w:tc>
          <w:tcPr>
            <w:tcW w:w="2406" w:type="dxa"/>
            <w:vMerge/>
            <w:shd w:val="clear" w:color="auto" w:fill="auto"/>
            <w:vAlign w:val="center"/>
          </w:tcPr>
          <w:p w:rsidR="006D32F8" w:rsidRPr="008F30B4" w:rsidRDefault="006D32F8" w:rsidP="006D32F8">
            <w:pPr>
              <w:jc w:val="center"/>
              <w:rPr>
                <w:sz w:val="24"/>
                <w:szCs w:val="24"/>
              </w:rPr>
            </w:pPr>
          </w:p>
        </w:tc>
        <w:tc>
          <w:tcPr>
            <w:tcW w:w="2362" w:type="dxa"/>
            <w:shd w:val="clear" w:color="auto" w:fill="auto"/>
            <w:vAlign w:val="center"/>
          </w:tcPr>
          <w:p w:rsidR="006D32F8" w:rsidRPr="00DD60FB" w:rsidRDefault="006D32F8" w:rsidP="006D32F8">
            <w:pPr>
              <w:spacing w:before="20" w:after="20"/>
              <w:jc w:val="center"/>
              <w:rPr>
                <w:color w:val="000000"/>
                <w:sz w:val="24"/>
                <w:szCs w:val="24"/>
              </w:rPr>
            </w:pPr>
            <w:r w:rsidRPr="00DD60FB">
              <w:rPr>
                <w:color w:val="000000"/>
                <w:sz w:val="24"/>
                <w:szCs w:val="24"/>
              </w:rPr>
              <w:t>Магистральные улицы районного значения пешеходно-транспортные, поселковые дороги</w:t>
            </w:r>
          </w:p>
        </w:tc>
        <w:tc>
          <w:tcPr>
            <w:tcW w:w="2362" w:type="dxa"/>
            <w:shd w:val="clear" w:color="auto" w:fill="auto"/>
            <w:vAlign w:val="center"/>
          </w:tcPr>
          <w:p w:rsidR="006D32F8" w:rsidRPr="00DD60FB" w:rsidRDefault="006D32F8" w:rsidP="006D32F8">
            <w:pPr>
              <w:spacing w:before="20" w:after="20"/>
              <w:jc w:val="center"/>
              <w:rPr>
                <w:color w:val="000000"/>
                <w:sz w:val="24"/>
                <w:szCs w:val="24"/>
              </w:rPr>
            </w:pPr>
            <w:r w:rsidRPr="00DD60FB">
              <w:rPr>
                <w:color w:val="000000"/>
                <w:sz w:val="24"/>
                <w:szCs w:val="24"/>
              </w:rPr>
              <w:t>Улицы и дороги местного значения (кроме парковых), главные улицы, улицы в жилой застройке основные</w:t>
            </w:r>
          </w:p>
        </w:tc>
        <w:tc>
          <w:tcPr>
            <w:tcW w:w="2504" w:type="dxa"/>
            <w:shd w:val="clear" w:color="auto" w:fill="auto"/>
            <w:vAlign w:val="center"/>
          </w:tcPr>
          <w:p w:rsidR="006D32F8" w:rsidRPr="00DD60FB" w:rsidRDefault="006D32F8" w:rsidP="006D32F8">
            <w:pPr>
              <w:spacing w:before="20" w:after="20"/>
              <w:jc w:val="center"/>
              <w:rPr>
                <w:color w:val="000000"/>
                <w:sz w:val="24"/>
                <w:szCs w:val="24"/>
              </w:rPr>
            </w:pPr>
            <w:r w:rsidRPr="00DD60FB">
              <w:rPr>
                <w:color w:val="000000"/>
                <w:sz w:val="24"/>
                <w:szCs w:val="24"/>
              </w:rPr>
              <w:t>Улицы в жилой застройке второстепенные, проезды основные, велосипедные дорожки</w:t>
            </w:r>
          </w:p>
        </w:tc>
      </w:tr>
      <w:tr w:rsidR="006D32F8" w:rsidRPr="008F30B4" w:rsidTr="00A24DD5">
        <w:trPr>
          <w:trHeight w:val="516"/>
        </w:trPr>
        <w:tc>
          <w:tcPr>
            <w:tcW w:w="2406" w:type="dxa"/>
            <w:shd w:val="clear" w:color="auto" w:fill="auto"/>
            <w:vAlign w:val="center"/>
          </w:tcPr>
          <w:p w:rsidR="006D32F8" w:rsidRPr="008F30B4" w:rsidRDefault="006D32F8" w:rsidP="00A24DD5">
            <w:pPr>
              <w:spacing w:before="120" w:after="120"/>
              <w:jc w:val="center"/>
              <w:rPr>
                <w:sz w:val="24"/>
                <w:szCs w:val="24"/>
              </w:rPr>
            </w:pPr>
            <w:r w:rsidRPr="008F30B4">
              <w:rPr>
                <w:sz w:val="24"/>
                <w:szCs w:val="24"/>
              </w:rPr>
              <w:t>Капитальный ремонт</w:t>
            </w:r>
          </w:p>
        </w:tc>
        <w:tc>
          <w:tcPr>
            <w:tcW w:w="2362" w:type="dxa"/>
            <w:shd w:val="clear" w:color="auto" w:fill="auto"/>
            <w:vAlign w:val="center"/>
          </w:tcPr>
          <w:p w:rsidR="006D32F8" w:rsidRPr="001776E0" w:rsidRDefault="002655BC" w:rsidP="00A24DD5">
            <w:pPr>
              <w:spacing w:before="120" w:after="120"/>
              <w:jc w:val="center"/>
              <w:rPr>
                <w:sz w:val="24"/>
                <w:szCs w:val="24"/>
              </w:rPr>
            </w:pPr>
            <w:r>
              <w:rPr>
                <w:sz w:val="24"/>
                <w:szCs w:val="24"/>
              </w:rPr>
              <w:t>12</w:t>
            </w:r>
          </w:p>
        </w:tc>
        <w:tc>
          <w:tcPr>
            <w:tcW w:w="2362" w:type="dxa"/>
            <w:shd w:val="clear" w:color="auto" w:fill="auto"/>
            <w:vAlign w:val="center"/>
          </w:tcPr>
          <w:p w:rsidR="006D32F8" w:rsidRPr="001776E0" w:rsidRDefault="002655BC" w:rsidP="00A24DD5">
            <w:pPr>
              <w:spacing w:before="120" w:after="120"/>
              <w:jc w:val="center"/>
              <w:rPr>
                <w:sz w:val="24"/>
                <w:szCs w:val="24"/>
              </w:rPr>
            </w:pPr>
            <w:r>
              <w:rPr>
                <w:sz w:val="24"/>
                <w:szCs w:val="24"/>
              </w:rPr>
              <w:t>12</w:t>
            </w:r>
          </w:p>
        </w:tc>
        <w:tc>
          <w:tcPr>
            <w:tcW w:w="2504" w:type="dxa"/>
            <w:shd w:val="clear" w:color="auto" w:fill="auto"/>
            <w:vAlign w:val="center"/>
          </w:tcPr>
          <w:p w:rsidR="006D32F8" w:rsidRPr="008F30B4" w:rsidRDefault="006D32F8" w:rsidP="00A24DD5">
            <w:pPr>
              <w:spacing w:before="120" w:after="120"/>
              <w:jc w:val="center"/>
              <w:rPr>
                <w:sz w:val="24"/>
                <w:szCs w:val="24"/>
                <w:lang w:val="en-US"/>
              </w:rPr>
            </w:pPr>
            <w:r w:rsidRPr="008F30B4">
              <w:rPr>
                <w:sz w:val="24"/>
                <w:szCs w:val="24"/>
                <w:lang w:val="en-US"/>
              </w:rPr>
              <w:t>10</w:t>
            </w:r>
          </w:p>
        </w:tc>
      </w:tr>
      <w:tr w:rsidR="006D32F8" w:rsidRPr="008F30B4" w:rsidTr="00A24DD5">
        <w:trPr>
          <w:trHeight w:val="516"/>
        </w:trPr>
        <w:tc>
          <w:tcPr>
            <w:tcW w:w="2406" w:type="dxa"/>
            <w:shd w:val="clear" w:color="auto" w:fill="auto"/>
            <w:vAlign w:val="center"/>
          </w:tcPr>
          <w:p w:rsidR="006D32F8" w:rsidRPr="008F30B4" w:rsidRDefault="006D32F8" w:rsidP="00A24DD5">
            <w:pPr>
              <w:spacing w:before="120" w:after="120"/>
              <w:jc w:val="center"/>
              <w:rPr>
                <w:sz w:val="24"/>
                <w:szCs w:val="24"/>
              </w:rPr>
            </w:pPr>
            <w:r w:rsidRPr="008F30B4">
              <w:rPr>
                <w:sz w:val="24"/>
                <w:szCs w:val="24"/>
              </w:rPr>
              <w:t>Ремонт</w:t>
            </w:r>
          </w:p>
        </w:tc>
        <w:tc>
          <w:tcPr>
            <w:tcW w:w="2362" w:type="dxa"/>
            <w:shd w:val="clear" w:color="auto" w:fill="auto"/>
            <w:vAlign w:val="center"/>
          </w:tcPr>
          <w:p w:rsidR="006D32F8" w:rsidRPr="001776E0" w:rsidRDefault="002655BC" w:rsidP="00A24DD5">
            <w:pPr>
              <w:spacing w:before="120" w:after="120"/>
              <w:jc w:val="center"/>
              <w:rPr>
                <w:sz w:val="24"/>
                <w:szCs w:val="24"/>
              </w:rPr>
            </w:pPr>
            <w:r>
              <w:rPr>
                <w:sz w:val="24"/>
                <w:szCs w:val="24"/>
              </w:rPr>
              <w:t>6</w:t>
            </w:r>
          </w:p>
        </w:tc>
        <w:tc>
          <w:tcPr>
            <w:tcW w:w="2362" w:type="dxa"/>
            <w:shd w:val="clear" w:color="auto" w:fill="auto"/>
            <w:vAlign w:val="center"/>
          </w:tcPr>
          <w:p w:rsidR="006D32F8" w:rsidRPr="001776E0" w:rsidRDefault="002655BC" w:rsidP="00A24DD5">
            <w:pPr>
              <w:spacing w:before="120" w:after="120"/>
              <w:jc w:val="center"/>
              <w:rPr>
                <w:sz w:val="24"/>
                <w:szCs w:val="24"/>
              </w:rPr>
            </w:pPr>
            <w:r>
              <w:rPr>
                <w:sz w:val="24"/>
                <w:szCs w:val="24"/>
              </w:rPr>
              <w:t>6</w:t>
            </w:r>
          </w:p>
        </w:tc>
        <w:tc>
          <w:tcPr>
            <w:tcW w:w="2504" w:type="dxa"/>
            <w:shd w:val="clear" w:color="auto" w:fill="auto"/>
            <w:vAlign w:val="center"/>
          </w:tcPr>
          <w:p w:rsidR="006D32F8" w:rsidRPr="008F30B4" w:rsidRDefault="006D32F8" w:rsidP="00A24DD5">
            <w:pPr>
              <w:spacing w:before="120" w:after="120"/>
              <w:jc w:val="center"/>
              <w:rPr>
                <w:sz w:val="24"/>
                <w:szCs w:val="24"/>
                <w:lang w:val="en-US"/>
              </w:rPr>
            </w:pPr>
            <w:r w:rsidRPr="008F30B4">
              <w:rPr>
                <w:sz w:val="24"/>
                <w:szCs w:val="24"/>
                <w:lang w:val="en-US"/>
              </w:rPr>
              <w:t>5</w:t>
            </w:r>
          </w:p>
        </w:tc>
      </w:tr>
    </w:tbl>
    <w:p w:rsidR="006C70BF" w:rsidRPr="0066566C" w:rsidRDefault="006C70BF" w:rsidP="006C70BF">
      <w:pPr>
        <w:ind w:firstLine="851"/>
        <w:jc w:val="both"/>
        <w:rPr>
          <w:sz w:val="22"/>
          <w:szCs w:val="22"/>
        </w:rPr>
      </w:pPr>
    </w:p>
    <w:p w:rsidR="006C70BF" w:rsidRDefault="006C70BF" w:rsidP="006C70BF">
      <w:pPr>
        <w:ind w:firstLine="709"/>
        <w:jc w:val="both"/>
        <w:rPr>
          <w:szCs w:val="28"/>
        </w:rPr>
      </w:pPr>
      <w:r>
        <w:rPr>
          <w:szCs w:val="28"/>
        </w:rPr>
        <w:t>7</w:t>
      </w:r>
      <w:r w:rsidRPr="00B219F4">
        <w:rPr>
          <w:szCs w:val="28"/>
        </w:rPr>
        <w:t>.</w:t>
      </w:r>
      <w:r>
        <w:rPr>
          <w:szCs w:val="28"/>
        </w:rPr>
        <w:t xml:space="preserve"> Суммарная годовая потребность в ассигнованиях из бюджета муниципального образования город Мурманск для выполнения комплекса дорожных работ на автомобильных дорогах определяется как </w:t>
      </w:r>
      <w:r>
        <w:rPr>
          <w:szCs w:val="28"/>
        </w:rPr>
        <w:lastRenderedPageBreak/>
        <w:t>сумма годовой потребности в финансировании всех видов работ по всем категориям автомобильных дорог общего пользования местного значения муниципального образования город Мурманск.</w:t>
      </w:r>
    </w:p>
    <w:p w:rsidR="006C70BF" w:rsidRPr="00E939F8" w:rsidRDefault="006C70BF" w:rsidP="006C70BF">
      <w:pPr>
        <w:autoSpaceDE w:val="0"/>
        <w:autoSpaceDN w:val="0"/>
        <w:adjustRightInd w:val="0"/>
        <w:ind w:firstLine="709"/>
        <w:jc w:val="both"/>
        <w:rPr>
          <w:szCs w:val="28"/>
        </w:rPr>
      </w:pPr>
      <w:r>
        <w:rPr>
          <w:szCs w:val="28"/>
        </w:rPr>
        <w:t>8</w:t>
      </w:r>
      <w:r w:rsidRPr="00E939F8">
        <w:rPr>
          <w:szCs w:val="28"/>
        </w:rPr>
        <w:t>.</w:t>
      </w:r>
      <w:r>
        <w:rPr>
          <w:szCs w:val="28"/>
        </w:rPr>
        <w:t xml:space="preserve"> </w:t>
      </w:r>
      <w:r w:rsidRPr="00E939F8">
        <w:rPr>
          <w:szCs w:val="28"/>
        </w:rPr>
        <w:t>Индекс, учитывающий уровень нормативной потребности, исходя из</w:t>
      </w:r>
      <w:r>
        <w:rPr>
          <w:szCs w:val="28"/>
        </w:rPr>
        <w:t xml:space="preserve"> возможности доходной базы </w:t>
      </w:r>
      <w:r w:rsidRPr="00E939F8">
        <w:rPr>
          <w:szCs w:val="28"/>
        </w:rPr>
        <w:t>бюджета</w:t>
      </w:r>
      <w:r>
        <w:rPr>
          <w:szCs w:val="28"/>
        </w:rPr>
        <w:t xml:space="preserve"> муниципального образования город Мурманск </w:t>
      </w:r>
      <w:r w:rsidRPr="00E939F8">
        <w:rPr>
          <w:szCs w:val="28"/>
        </w:rPr>
        <w:t>(i пер</w:t>
      </w:r>
      <w:r>
        <w:rPr>
          <w:szCs w:val="28"/>
        </w:rPr>
        <w:t xml:space="preserve">.) утверждается постановлением администрации города Мурманска на </w:t>
      </w:r>
      <w:r w:rsidRPr="00E939F8">
        <w:rPr>
          <w:szCs w:val="28"/>
        </w:rPr>
        <w:t>год планирования и плановый период</w:t>
      </w:r>
      <w:r>
        <w:rPr>
          <w:szCs w:val="28"/>
        </w:rPr>
        <w:t>.</w:t>
      </w:r>
    </w:p>
    <w:p w:rsidR="006C70BF" w:rsidRDefault="006C70BF" w:rsidP="006C70BF">
      <w:pPr>
        <w:ind w:firstLine="709"/>
        <w:jc w:val="both"/>
        <w:rPr>
          <w:szCs w:val="28"/>
        </w:rPr>
      </w:pPr>
    </w:p>
    <w:p w:rsidR="006C70BF" w:rsidRPr="00E939F8" w:rsidRDefault="006C70BF" w:rsidP="006C70BF">
      <w:pPr>
        <w:jc w:val="center"/>
        <w:rPr>
          <w:szCs w:val="28"/>
        </w:rPr>
      </w:pPr>
      <w:r>
        <w:rPr>
          <w:szCs w:val="28"/>
        </w:rPr>
        <w:t>____________________</w:t>
      </w:r>
    </w:p>
    <w:p w:rsidR="006C70BF" w:rsidRDefault="006C70BF" w:rsidP="006C70BF">
      <w:pPr>
        <w:pStyle w:val="HTML"/>
        <w:jc w:val="both"/>
        <w:rPr>
          <w:rFonts w:ascii="Times New Roman" w:hAnsi="Times New Roman" w:cs="Times New Roman"/>
          <w:b/>
          <w:sz w:val="28"/>
          <w:szCs w:val="28"/>
        </w:rPr>
      </w:pPr>
    </w:p>
    <w:p w:rsidR="00DF7676" w:rsidRDefault="00AD0663"/>
    <w:sectPr w:rsidR="00DF7676" w:rsidSect="0035133C">
      <w:headerReference w:type="even" r:id="rId6"/>
      <w:headerReference w:type="default" r:id="rId7"/>
      <w:headerReference w:type="first" r:id="rId8"/>
      <w:pgSz w:w="11907" w:h="16840" w:code="9"/>
      <w:pgMar w:top="1134" w:right="567"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663" w:rsidRDefault="00AD0663">
      <w:r>
        <w:separator/>
      </w:r>
    </w:p>
  </w:endnote>
  <w:endnote w:type="continuationSeparator" w:id="0">
    <w:p w:rsidR="00AD0663" w:rsidRDefault="00AD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663" w:rsidRDefault="00AD0663">
      <w:r>
        <w:separator/>
      </w:r>
    </w:p>
  </w:footnote>
  <w:footnote w:type="continuationSeparator" w:id="0">
    <w:p w:rsidR="00AD0663" w:rsidRDefault="00AD0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F8A" w:rsidRDefault="00A24DD5" w:rsidP="00502FB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34F8A" w:rsidRDefault="00AD066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22252"/>
      <w:docPartObj>
        <w:docPartGallery w:val="Page Numbers (Top of Page)"/>
        <w:docPartUnique/>
      </w:docPartObj>
    </w:sdtPr>
    <w:sdtEndPr/>
    <w:sdtContent>
      <w:p w:rsidR="0035133C" w:rsidRDefault="0035133C">
        <w:pPr>
          <w:pStyle w:val="a3"/>
          <w:jc w:val="center"/>
        </w:pPr>
        <w:r>
          <w:fldChar w:fldCharType="begin"/>
        </w:r>
        <w:r>
          <w:instrText>PAGE   \* MERGEFORMAT</w:instrText>
        </w:r>
        <w:r>
          <w:fldChar w:fldCharType="separate"/>
        </w:r>
        <w:r w:rsidR="005D5276">
          <w:rPr>
            <w:noProof/>
          </w:rPr>
          <w:t>3</w:t>
        </w:r>
        <w:r>
          <w:fldChar w:fldCharType="end"/>
        </w:r>
      </w:p>
    </w:sdtContent>
  </w:sdt>
  <w:p w:rsidR="0035133C" w:rsidRDefault="0035133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33C" w:rsidRDefault="0035133C">
    <w:pPr>
      <w:pStyle w:val="a3"/>
      <w:jc w:val="center"/>
    </w:pPr>
  </w:p>
  <w:p w:rsidR="0035133C" w:rsidRDefault="0035133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0BF"/>
    <w:rsid w:val="000B1481"/>
    <w:rsid w:val="000C101D"/>
    <w:rsid w:val="001776E0"/>
    <w:rsid w:val="001E7A06"/>
    <w:rsid w:val="002655BC"/>
    <w:rsid w:val="00267FE9"/>
    <w:rsid w:val="0035133C"/>
    <w:rsid w:val="005D5276"/>
    <w:rsid w:val="00645ACC"/>
    <w:rsid w:val="0066566C"/>
    <w:rsid w:val="006B3663"/>
    <w:rsid w:val="006C70BF"/>
    <w:rsid w:val="006D32F8"/>
    <w:rsid w:val="00896DD5"/>
    <w:rsid w:val="008C77E1"/>
    <w:rsid w:val="00A24DD5"/>
    <w:rsid w:val="00AD0663"/>
    <w:rsid w:val="00B35C03"/>
    <w:rsid w:val="00CC2E62"/>
    <w:rsid w:val="00D01044"/>
    <w:rsid w:val="00D9368A"/>
    <w:rsid w:val="00DB7582"/>
    <w:rsid w:val="00DC3091"/>
    <w:rsid w:val="00DF1228"/>
    <w:rsid w:val="00E11385"/>
    <w:rsid w:val="00E33DF8"/>
    <w:rsid w:val="00ED5C09"/>
    <w:rsid w:val="00FA2880"/>
    <w:rsid w:val="00FA2DD4"/>
    <w:rsid w:val="00FD7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DDB353-AE0F-4666-87C3-E1BA2733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0BF"/>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6C7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rsid w:val="006C70BF"/>
    <w:rPr>
      <w:rFonts w:ascii="Courier New" w:eastAsia="Times New Roman" w:hAnsi="Courier New" w:cs="Courier New"/>
      <w:sz w:val="20"/>
      <w:szCs w:val="20"/>
      <w:lang w:eastAsia="ru-RU"/>
    </w:rPr>
  </w:style>
  <w:style w:type="paragraph" w:styleId="a3">
    <w:name w:val="header"/>
    <w:basedOn w:val="a"/>
    <w:link w:val="a4"/>
    <w:uiPriority w:val="99"/>
    <w:rsid w:val="006C70BF"/>
    <w:pPr>
      <w:tabs>
        <w:tab w:val="center" w:pos="4677"/>
        <w:tab w:val="right" w:pos="9355"/>
      </w:tabs>
    </w:pPr>
  </w:style>
  <w:style w:type="character" w:customStyle="1" w:styleId="a4">
    <w:name w:val="Верхний колонтитул Знак"/>
    <w:basedOn w:val="a0"/>
    <w:link w:val="a3"/>
    <w:uiPriority w:val="99"/>
    <w:rsid w:val="006C70BF"/>
    <w:rPr>
      <w:rFonts w:ascii="Times New Roman" w:eastAsia="Times New Roman" w:hAnsi="Times New Roman" w:cs="Times New Roman"/>
      <w:sz w:val="28"/>
      <w:szCs w:val="20"/>
      <w:lang w:eastAsia="ru-RU"/>
    </w:rPr>
  </w:style>
  <w:style w:type="character" w:styleId="a5">
    <w:name w:val="page number"/>
    <w:basedOn w:val="a0"/>
    <w:rsid w:val="006C70BF"/>
  </w:style>
  <w:style w:type="paragraph" w:styleId="a6">
    <w:name w:val="List Paragraph"/>
    <w:basedOn w:val="a"/>
    <w:uiPriority w:val="34"/>
    <w:qFormat/>
    <w:rsid w:val="006C70BF"/>
    <w:pPr>
      <w:spacing w:after="200" w:line="276" w:lineRule="auto"/>
      <w:ind w:left="720"/>
      <w:contextualSpacing/>
    </w:pPr>
    <w:rPr>
      <w:rFonts w:ascii="Calibri" w:eastAsia="Calibri" w:hAnsi="Calibri"/>
      <w:sz w:val="22"/>
      <w:szCs w:val="22"/>
      <w:lang w:eastAsia="en-US"/>
    </w:rPr>
  </w:style>
  <w:style w:type="paragraph" w:styleId="a7">
    <w:name w:val="Balloon Text"/>
    <w:basedOn w:val="a"/>
    <w:link w:val="a8"/>
    <w:uiPriority w:val="99"/>
    <w:semiHidden/>
    <w:unhideWhenUsed/>
    <w:rsid w:val="000C101D"/>
    <w:rPr>
      <w:rFonts w:ascii="Segoe UI" w:hAnsi="Segoe UI" w:cs="Segoe UI"/>
      <w:sz w:val="18"/>
      <w:szCs w:val="18"/>
    </w:rPr>
  </w:style>
  <w:style w:type="character" w:customStyle="1" w:styleId="a8">
    <w:name w:val="Текст выноски Знак"/>
    <w:basedOn w:val="a0"/>
    <w:link w:val="a7"/>
    <w:uiPriority w:val="99"/>
    <w:semiHidden/>
    <w:rsid w:val="000C101D"/>
    <w:rPr>
      <w:rFonts w:ascii="Segoe UI" w:eastAsia="Times New Roman" w:hAnsi="Segoe UI" w:cs="Segoe UI"/>
      <w:sz w:val="18"/>
      <w:szCs w:val="18"/>
      <w:lang w:eastAsia="ru-RU"/>
    </w:rPr>
  </w:style>
  <w:style w:type="paragraph" w:styleId="a9">
    <w:name w:val="footer"/>
    <w:basedOn w:val="a"/>
    <w:link w:val="aa"/>
    <w:uiPriority w:val="99"/>
    <w:unhideWhenUsed/>
    <w:rsid w:val="0035133C"/>
    <w:pPr>
      <w:tabs>
        <w:tab w:val="center" w:pos="4677"/>
        <w:tab w:val="right" w:pos="9355"/>
      </w:tabs>
    </w:pPr>
  </w:style>
  <w:style w:type="character" w:customStyle="1" w:styleId="aa">
    <w:name w:val="Нижний колонтитул Знак"/>
    <w:basedOn w:val="a0"/>
    <w:link w:val="a9"/>
    <w:uiPriority w:val="99"/>
    <w:rsid w:val="0035133C"/>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1087</Words>
  <Characters>6201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Перунова Лариса Николаевна</dc:creator>
  <cp:keywords/>
  <dc:description/>
  <cp:lastModifiedBy>Жудикова Елена Юрьевна</cp:lastModifiedBy>
  <cp:revision>2</cp:revision>
  <cp:lastPrinted>2019-05-15T10:42:00Z</cp:lastPrinted>
  <dcterms:created xsi:type="dcterms:W3CDTF">2019-06-19T07:56:00Z</dcterms:created>
  <dcterms:modified xsi:type="dcterms:W3CDTF">2019-06-19T07:56:00Z</dcterms:modified>
</cp:coreProperties>
</file>