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506" w:rsidRPr="00344506" w:rsidRDefault="00344506" w:rsidP="0034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44506">
        <w:rPr>
          <w:rFonts w:ascii="Times New Roman" w:hAnsi="Times New Roman"/>
          <w:b/>
          <w:sz w:val="28"/>
          <w:szCs w:val="28"/>
        </w:rPr>
        <w:t>Для предоставления муниципальной услуги необходимы следующие документы:</w:t>
      </w:r>
    </w:p>
    <w:p w:rsidR="00344506" w:rsidRDefault="00344506" w:rsidP="0034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proofErr w:type="gramStart"/>
      <w:r>
        <w:rPr>
          <w:rFonts w:ascii="Times New Roman" w:hAnsi="Times New Roman"/>
          <w:sz w:val="28"/>
          <w:szCs w:val="28"/>
        </w:rPr>
        <w:t>В случае внесения изменений в разрешение на строительство в связи с переходом</w:t>
      </w:r>
      <w:proofErr w:type="gramEnd"/>
      <w:r>
        <w:rPr>
          <w:rFonts w:ascii="Times New Roman" w:hAnsi="Times New Roman"/>
          <w:sz w:val="28"/>
          <w:szCs w:val="28"/>
        </w:rPr>
        <w:t xml:space="preserve"> прав на земельный участок, права пользования недрами, образовании земельного участка необходимы следующие документы:</w:t>
      </w:r>
    </w:p>
    <w:p w:rsidR="00344506" w:rsidRDefault="00344506" w:rsidP="00344506">
      <w:pPr>
        <w:pStyle w:val="ConsPlusNonformat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/>
          <w:sz w:val="28"/>
          <w:szCs w:val="28"/>
        </w:rPr>
        <w:t>аявление о направлении уведомления по форме согласно приложению № 1 к настоящему Регламенту (далее – Заявление);</w:t>
      </w:r>
    </w:p>
    <w:p w:rsidR="00344506" w:rsidRDefault="00344506" w:rsidP="00344506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уведомление по форме согласно приложению № 2 к настоящему Регламенту (далее – Уведомление);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  <w:lang w:eastAsia="ru-RU"/>
        </w:rPr>
        <w:t>правоустанавливающие документы на земельный участок в случае приобретения заявителем права на данный земельный участок;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4) решение об образовании земельного участка в случае образования земельного участка путем объединения земельных участков, в отношении которых или одного из которых выдано разрешение на строительство, либо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  </w:t>
      </w:r>
      <w:proofErr w:type="gramEnd"/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5) градостроительный план земельного участка, на котором планируется осуществить строительство, реконструкцию объекта капитального строительства в случае образования земельных участков путем раздела, перераспределения земельных участков или выдела из земельных участков, в отношении которых выдано разрешение на строительство;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решение о предоставлении права пользования недрами и решения о переоформлении лицензии на право пользования недрами в случае переоформления лицензии на пользование недрами.</w:t>
      </w:r>
    </w:p>
    <w:p w:rsidR="00344506" w:rsidRDefault="00344506" w:rsidP="00344506">
      <w:pPr>
        <w:pStyle w:val="ConsPlusNonformat"/>
        <w:ind w:firstLine="709"/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Уведомление в обязательном порядке должно содержать реквизиты документов, указанных в подпунктах 3), 4), 5), 6) настоящего подпункта. 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</w:t>
      </w:r>
      <w:r>
        <w:rPr>
          <w:rFonts w:ascii="Times New Roman" w:hAnsi="Times New Roman"/>
          <w:sz w:val="28"/>
          <w:szCs w:val="28"/>
        </w:rPr>
        <w:t xml:space="preserve"> случае внесения изменений в разрешение на строительство в связи с изменением</w:t>
      </w:r>
      <w:proofErr w:type="gramEnd"/>
      <w:r>
        <w:rPr>
          <w:rFonts w:ascii="Times New Roman" w:hAnsi="Times New Roman"/>
          <w:sz w:val="28"/>
          <w:szCs w:val="28"/>
        </w:rPr>
        <w:t xml:space="preserve"> технико-экономических показателей объекта капитального строительства необходимы следующие документы: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1) з</w:t>
      </w:r>
      <w:r>
        <w:rPr>
          <w:rFonts w:ascii="Times New Roman" w:hAnsi="Times New Roman"/>
          <w:sz w:val="28"/>
          <w:szCs w:val="28"/>
        </w:rPr>
        <w:t>аявление о внесении изменений в разрешение на строительство               по форме согласно приложению № 3 к настоящему Регламенту                                (далее – Заявление о внесении изменений);</w:t>
      </w:r>
    </w:p>
    <w:p w:rsidR="00344506" w:rsidRP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2) правоустанавливающие документы на земельный участок, в том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числе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соглашение об установлении сервитута, решение об установлении публичного сервитута. 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При наличии соглашения о передаче в случаях, установленных бюджетным </w:t>
      </w:r>
      <w:hyperlink r:id="rId5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Российской Федерации, органом государственной власти (государственным органом), Государственной корпорацией по атомной энергии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Росатом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», Государственной корпорацией по космической деятельности «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Роскосмос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», органом управления государственным внебюджетным фондом или органом местного самоуправления полномочий государственного (муниципального) заказчика, заключенного при осуществлении бюджетных инвестиций, - указанное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соглашение, правоустанавливающие документы на земельный участок правообладателя, с которым заключено это соглашение; </w:t>
      </w:r>
      <w:proofErr w:type="gramEnd"/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3) градостроительный план земельного участка, выданный не ранее чем за три года до дня представления заявления на получение разрешения на строительство, или в случае выдачи разрешения на строительство линейного объекта реквизиты проекта планировки территории и проекта межевания территории (за исключением случаев, при которых для строительства, реконструкции линейного объекта не требуется подготовка документации по планировке территории), реквизиты проекта планировки территории в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случае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выдачи разрешения на строительство линейного объекта, для размещения которого не требуется образование земельного участка;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4) материалы, содержащиеся в проектной документации: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а) пояснительная записка;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б) схема планировочной организации земельного участка, выполненная в соответствии с информацией, указанной в градостроительном плане земельного участка, с обозначением места размещения объекта капитального строительства, подъездов и проходов к нему, границ публичных сервитутов, объектов археологического наследия;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в) схема планировочной организации земельного участка, подтверждающая расположение линейного объекта в пределах красных линий, утвержденных в составе документации по планировке территории применительно к линейным объектам;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г) архитектурные решения;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д) сведения об инженерном оборудовании, сводный план сетей инженерно-технического обеспечения с обозначением мест подключения (технологического присоединения) проектируемого объекта капитального строительства к сетям инженерно-технического обеспечения;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е) проект организации строительства объекта капитального строительства;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ж) проект организации работ по сносу объектов капитального строительства, их частей;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з) перечень мероприятий по обеспечению доступа инвалидов к объектам здравоохранения, образования, культуры, отдыха, спорта и иным объектам социально-культурного и коммунально-бытового назначения, объектам транспорта, торговли, общественного питания, объектам делового, административного, финансового, религиозного назначения, объектам жилищного фонда в случае строительства, реконструкции указанных объектов при условии, что экспертиза проектной документации указанных объектов не проводилась в соответствии со </w:t>
      </w:r>
      <w:hyperlink r:id="rId6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статьей 49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Российской Федерации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(далее – Градостроительный кодекс РФ);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5) положительное заключение экспертизы проектной документации объекта капитального строительства (применительно к отдельным этапам строительства в случае, предусмотренном </w:t>
      </w:r>
      <w:hyperlink r:id="rId7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частью 12.1 статьи 48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</w:t>
      </w:r>
      <w:r>
        <w:rPr>
          <w:rFonts w:ascii="Times New Roman" w:hAnsi="Times New Roman"/>
          <w:sz w:val="28"/>
          <w:szCs w:val="28"/>
        </w:rPr>
        <w:t xml:space="preserve"> РФ)</w:t>
      </w:r>
      <w:r>
        <w:rPr>
          <w:rFonts w:ascii="Times New Roman" w:hAnsi="Times New Roman"/>
          <w:sz w:val="28"/>
          <w:szCs w:val="28"/>
          <w:lang w:eastAsia="ru-RU"/>
        </w:rPr>
        <w:t xml:space="preserve">, если такая проектная документация подлежит экспертизе в соответствии со </w:t>
      </w:r>
      <w:hyperlink r:id="rId8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статьей 49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кодекса </w:t>
      </w:r>
      <w:r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  <w:lang w:eastAsia="ru-RU"/>
        </w:rPr>
        <w:t xml:space="preserve">, положительное заключение государственной экспертизы проектной документации в случаях, предусмотренных </w:t>
      </w:r>
      <w:hyperlink r:id="rId9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частью 3.4 статьи 49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Градостроительного кодекса </w:t>
      </w:r>
      <w:r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  <w:lang w:eastAsia="ru-RU"/>
        </w:rPr>
        <w:t>, положительное заключение государственной экологической экспертизы проектной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документации в случаях, предусмотренных Градостроительным кодексом </w:t>
      </w:r>
      <w:r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  <w:lang w:eastAsia="ru-RU"/>
        </w:rPr>
        <w:t xml:space="preserve">;  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6) разрешение на отклонение от предельных параметров разрешенного строительства, реконструкции (в случае, если застройщику было предоставлено такое разрешение);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7) согласие всех правообладателей объекта капитального строительства в случае реконструкции такого объекта, за исключением указанных в </w:t>
      </w:r>
      <w:hyperlink r:id="rId10" w:anchor="Par30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пункте 6.2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части 7 статьи 51 Градостроительного кодекса </w:t>
      </w:r>
      <w:r>
        <w:rPr>
          <w:rFonts w:ascii="Times New Roman" w:hAnsi="Times New Roman"/>
          <w:sz w:val="28"/>
          <w:szCs w:val="28"/>
        </w:rPr>
        <w:t>РФ</w:t>
      </w:r>
      <w:r>
        <w:rPr>
          <w:rFonts w:ascii="Times New Roman" w:hAnsi="Times New Roman"/>
          <w:sz w:val="28"/>
          <w:szCs w:val="28"/>
          <w:lang w:eastAsia="ru-RU"/>
        </w:rPr>
        <w:t xml:space="preserve"> случаев реконструкции многоквартирного дома;</w:t>
      </w:r>
      <w:r>
        <w:rPr>
          <w:rFonts w:ascii="Times New Roman" w:hAnsi="Times New Roman"/>
          <w:color w:val="FF0000"/>
          <w:sz w:val="28"/>
          <w:szCs w:val="28"/>
          <w:lang w:eastAsia="ru-RU"/>
        </w:rPr>
        <w:t xml:space="preserve"> 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>8) с</w:t>
      </w:r>
      <w:r>
        <w:rPr>
          <w:rFonts w:ascii="Times New Roman" w:hAnsi="Times New Roman"/>
          <w:sz w:val="28"/>
          <w:szCs w:val="28"/>
        </w:rPr>
        <w:t>оглашение о проведении реконструкции, определяющее, в том числе, условия и порядок возмещения ущерба, причиненного указанному объекту при осуществлении реконструкции, в случае проведения реконструкции государственным (муниципальным) заказчиком, являющимся органом государственной власти (государственным органом), Государственной корпорацией по атомной энергии «</w:t>
      </w:r>
      <w:proofErr w:type="spellStart"/>
      <w:r>
        <w:rPr>
          <w:rFonts w:ascii="Times New Roman" w:hAnsi="Times New Roman"/>
          <w:sz w:val="28"/>
          <w:szCs w:val="28"/>
        </w:rPr>
        <w:t>Росатом</w:t>
      </w:r>
      <w:proofErr w:type="spellEnd"/>
      <w:r>
        <w:rPr>
          <w:rFonts w:ascii="Times New Roman" w:hAnsi="Times New Roman"/>
          <w:sz w:val="28"/>
          <w:szCs w:val="28"/>
        </w:rPr>
        <w:t>», Государственной корпорацией по космической деятельности «</w:t>
      </w:r>
      <w:proofErr w:type="spellStart"/>
      <w:r>
        <w:rPr>
          <w:rFonts w:ascii="Times New Roman" w:hAnsi="Times New Roman"/>
          <w:sz w:val="28"/>
          <w:szCs w:val="28"/>
        </w:rPr>
        <w:t>Роскосмос</w:t>
      </w:r>
      <w:proofErr w:type="spellEnd"/>
      <w:r>
        <w:rPr>
          <w:rFonts w:ascii="Times New Roman" w:hAnsi="Times New Roman"/>
          <w:sz w:val="28"/>
          <w:szCs w:val="28"/>
        </w:rPr>
        <w:t>», органом управления государственным внебюджетным фондом или органом местного самоуправления, на объекте  капитального строительства государственной (муниципальной</w:t>
      </w:r>
      <w:proofErr w:type="gramEnd"/>
      <w:r>
        <w:rPr>
          <w:rFonts w:ascii="Times New Roman" w:hAnsi="Times New Roman"/>
          <w:sz w:val="28"/>
          <w:szCs w:val="28"/>
        </w:rPr>
        <w:t xml:space="preserve">) собственности, </w:t>
      </w:r>
      <w:proofErr w:type="gramStart"/>
      <w:r>
        <w:rPr>
          <w:rFonts w:ascii="Times New Roman" w:hAnsi="Times New Roman"/>
          <w:sz w:val="28"/>
          <w:szCs w:val="28"/>
        </w:rPr>
        <w:t>правообладателем</w:t>
      </w:r>
      <w:proofErr w:type="gramEnd"/>
      <w:r>
        <w:rPr>
          <w:rFonts w:ascii="Times New Roman" w:hAnsi="Times New Roman"/>
          <w:sz w:val="28"/>
          <w:szCs w:val="28"/>
        </w:rPr>
        <w:t xml:space="preserve"> которого является государственное (муниципальное) унитарное предприятие, государственное (муниципальное) бюджетное или автономное учреждение, в отношении которого указанный орган осуществляет соответственно функции и полномочия учредителя или права собственника имущества;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9) решение общего собрания собственников помещений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-мест в многоквартирном доме, принятое в соответствии с жилищным </w:t>
      </w:r>
      <w:hyperlink r:id="rId11" w:history="1">
        <w:r>
          <w:rPr>
            <w:rStyle w:val="a3"/>
            <w:rFonts w:ascii="Times New Roman" w:hAnsi="Times New Roman"/>
            <w:color w:val="auto"/>
            <w:sz w:val="28"/>
            <w:szCs w:val="28"/>
            <w:u w:val="none"/>
            <w:lang w:eastAsia="ru-RU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  <w:lang w:eastAsia="ru-RU"/>
        </w:rPr>
        <w:t xml:space="preserve"> в случае реконструкции многоквартирного дома, или, если в результате такой реконструкции произойдет уменьшение размера общего имущества в многоквартирном доме, согласие всех собственников помещений и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машино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>-мест в многоквартирном доме;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10) копия свидетельства об аккредитации юридического лица, выдавшего положительное заключение негосударственной экспертизы проектной документации, в случае если представлено заключение негосударственной экспертизы проектной документации;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11) документы, предусмотренные законодательством Российской Федерации об объектах культурного наследия,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объекта;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12) копия решения об установлении или изменении зоны с особыми условиями использования территории в случае строительства объекта капитального строительства, в связи с размещением которого в соответствии с законодательством Российской Федерации подлежит установлению зона с </w:t>
      </w:r>
      <w:r>
        <w:rPr>
          <w:rFonts w:ascii="Times New Roman" w:hAnsi="Times New Roman"/>
          <w:sz w:val="28"/>
          <w:szCs w:val="28"/>
          <w:lang w:eastAsia="ru-RU"/>
        </w:rPr>
        <w:lastRenderedPageBreak/>
        <w:t>особыми условиями использования территории, или в случае реконструкции объекта капитального строительства, в результате которой в отношении реконструированного объекта подлежит установлению зона с особыми условиями использования территории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или ранее установленная зона с особыми условиями использования территории подлежит изменению.</w:t>
      </w:r>
    </w:p>
    <w:p w:rsidR="00344506" w:rsidRDefault="00344506" w:rsidP="00344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44506" w:rsidRDefault="00344506" w:rsidP="00344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>3. В случае подачи заявления о продлении срока действия разрешения на строительство необходимы следующие документы: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1) </w:t>
      </w:r>
      <w:r>
        <w:rPr>
          <w:rFonts w:ascii="Times New Roman" w:hAnsi="Times New Roman"/>
          <w:sz w:val="28"/>
          <w:szCs w:val="28"/>
        </w:rPr>
        <w:t>заявление по форме согласно приложению № 4 к настоящему Регламенту (далее – Заявление о продлении срока)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344506" w:rsidRDefault="00344506" w:rsidP="00344506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lang w:eastAsia="ru-RU"/>
        </w:rPr>
        <w:t>правоустанавливающие документы на земельный участок, в случае приобретения заявителем права на данный земельный участок.</w:t>
      </w:r>
    </w:p>
    <w:p w:rsidR="00344506" w:rsidRDefault="00344506" w:rsidP="0034450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Заявление о продлении срока </w:t>
      </w:r>
      <w:r>
        <w:rPr>
          <w:rFonts w:ascii="Times New Roman" w:hAnsi="Times New Roman"/>
          <w:sz w:val="28"/>
          <w:szCs w:val="28"/>
          <w:lang w:eastAsia="ru-RU"/>
        </w:rPr>
        <w:t>подается заявителем не менее чем за десять рабочих дней до истечения срока действия разрешения на строительство.</w:t>
      </w:r>
    </w:p>
    <w:p w:rsidR="0090475E" w:rsidRDefault="0090475E"/>
    <w:sectPr w:rsidR="009047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0362"/>
    <w:rsid w:val="00150362"/>
    <w:rsid w:val="00344506"/>
    <w:rsid w:val="009047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45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4450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450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34450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34450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03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9099834AB2E4A50755AE36F27E818B012326AEC14E00AEA1B1B1EFB4E9206FDB6B4590B5D756B1FzEH1N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D9099834AB2E4A50755AE36F27E818B012326AEC14E00AEA1B1B1EFB4E9206FDB6B4590E59z7HCN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9099834AB2E4A50755AE36F27E818B012326AEC14E00AEA1B1B1EFB4E9206FDB6B4590B5D756B1FzEH1N" TargetMode="External"/><Relationship Id="rId11" Type="http://schemas.openxmlformats.org/officeDocument/2006/relationships/hyperlink" Target="consultantplus://offline/ref=D9099834AB2E4A50755AE36F27E818B012326DEF15E80AEA1B1B1EFB4E9206FDB6B4590B5D746814zEH5N" TargetMode="External"/><Relationship Id="rId5" Type="http://schemas.openxmlformats.org/officeDocument/2006/relationships/hyperlink" Target="consultantplus://offline/ref=D9099834AB2E4A50755AE36F27E818B012326AE819EA0AEA1B1B1EFB4E9206FDB6B459095476z6H3N" TargetMode="External"/><Relationship Id="rId10" Type="http://schemas.openxmlformats.org/officeDocument/2006/relationships/hyperlink" Target="file:///P:\!&#1041;&#1091;&#1073;&#1083;&#1077;&#1074;&#1072;\&#1040;&#1044;&#1052;&#1048;&#1053;&#1048;&#1057;&#1058;&#1056;&#1040;&#1058;&#1048;&#1042;&#1053;&#1067;&#1045;%20&#1056;&#1045;&#1043;&#1051;&#1040;&#1052;&#1045;&#1053;&#1058;&#1067;\7.%20&#1056;&#1077;&#1075;&#1083;&#1072;&#1084;&#1077;&#1085;&#1090;%20%20&#1042;&#1085;&#1077;&#1089;&#1077;&#1085;&#1080;&#1077;%20&#1080;&#1079;&#1084;&#1077;&#1085;&#1077;&#1085;&#1080;&#1081;%20&#1074;%20&#1088;&#1072;&#1079;&#1088;&#1077;&#1096;&#1077;&#1085;&#1080;&#1077;%20&#1085;&#1072;%20&#1089;&#1090;&#1088;&#1086;&#1080;&#1090;&#1077;&#1083;&#1100;&#1089;&#1090;&#1074;&#1086;\&#1043;&#1091;&#1073;&#1080;&#1085;&#1089;&#1082;&#1086;&#1084;&#1091;%20&#1076;&#1083;&#1103;%20&#1088;&#1072;&#1079;&#1084;&#1077;&#1097;&#1077;&#1085;&#1080;&#1103;%20&#1085;&#1072;%20&#1089;&#1072;&#1081;&#1090;\1.%20&#1055;&#1088;&#1080;&#1083;&#1086;&#1078;&#1077;&#1085;&#1080;&#1077;%20&#1082;%20&#1055;&#1040;&#1043;&#1052;%201061.do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D9099834AB2E4A50755AE36F27E818B012326AEC14E00AEA1B1B1EFB4E9206FDB6B4590F5Dz7H4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1498</Words>
  <Characters>8540</Characters>
  <Application>Microsoft Office Word</Application>
  <DocSecurity>0</DocSecurity>
  <Lines>71</Lines>
  <Paragraphs>20</Paragraphs>
  <ScaleCrop>false</ScaleCrop>
  <Company>Комитет градостроительства и территориального развит</Company>
  <LinksUpToDate>false</LinksUpToDate>
  <CharactersWithSpaces>10018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Бублева Ирина Олеговна</dc:creator>
  <cp:keywords/>
  <dc:description/>
  <cp:lastModifiedBy>Бублева Ирина Олеговна</cp:lastModifiedBy>
  <cp:revision>2</cp:revision>
  <dcterms:created xsi:type="dcterms:W3CDTF">2019-03-28T10:02:00Z</dcterms:created>
  <dcterms:modified xsi:type="dcterms:W3CDTF">2019-03-28T10:03:00Z</dcterms:modified>
</cp:coreProperties>
</file>