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2E" w:rsidRDefault="00CA5C2E" w:rsidP="00CA5C2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A5C2E" w:rsidRDefault="00CA5C2E" w:rsidP="00CA5C2E">
      <w:pPr>
        <w:pStyle w:val="ConsPlusTitle"/>
        <w:jc w:val="center"/>
      </w:pPr>
    </w:p>
    <w:p w:rsidR="00CA5C2E" w:rsidRDefault="00CA5C2E" w:rsidP="00CA5C2E">
      <w:pPr>
        <w:pStyle w:val="ConsPlusTitle"/>
        <w:jc w:val="center"/>
      </w:pPr>
      <w:r>
        <w:t>ПИСЬМО</w:t>
      </w:r>
    </w:p>
    <w:p w:rsidR="00CA5C2E" w:rsidRDefault="00CA5C2E" w:rsidP="00CA5C2E">
      <w:pPr>
        <w:pStyle w:val="ConsPlusTitle"/>
        <w:jc w:val="center"/>
      </w:pPr>
      <w:r>
        <w:t>от 21 марта 2016 г. № 18-2/10/П-1526</w:t>
      </w:r>
    </w:p>
    <w:p w:rsidR="00CA5C2E" w:rsidRDefault="00CA5C2E" w:rsidP="00CA5C2E">
      <w:pPr>
        <w:pStyle w:val="ConsPlusTitle"/>
        <w:jc w:val="center"/>
      </w:pPr>
    </w:p>
    <w:p w:rsidR="00CA5C2E" w:rsidRDefault="00CA5C2E" w:rsidP="00CA5C2E">
      <w:pPr>
        <w:pStyle w:val="ConsPlusTitle"/>
        <w:jc w:val="center"/>
      </w:pPr>
      <w:r>
        <w:t>О КРИТЕРИЯХ</w:t>
      </w:r>
    </w:p>
    <w:p w:rsidR="00CA5C2E" w:rsidRDefault="00CA5C2E" w:rsidP="00CA5C2E">
      <w:pPr>
        <w:pStyle w:val="ConsPlusTitle"/>
        <w:jc w:val="center"/>
      </w:pPr>
      <w:r>
        <w:t>ПРИВЛЕЧЕНИЯ К ОТВЕТСТВЕННОСТИ</w:t>
      </w:r>
    </w:p>
    <w:p w:rsidR="00CA5C2E" w:rsidRDefault="00CA5C2E" w:rsidP="00CA5C2E">
      <w:pPr>
        <w:pStyle w:val="ConsPlusTitle"/>
        <w:jc w:val="center"/>
      </w:pPr>
      <w:r>
        <w:t>ЗА КОРРУПЦИОННЫЕ ПРАВОНАРУШЕНИЯ</w:t>
      </w:r>
    </w:p>
    <w:p w:rsidR="00CA5C2E" w:rsidRDefault="00CA5C2E" w:rsidP="00CA5C2E">
      <w:pPr>
        <w:pStyle w:val="ConsPlusNormal"/>
        <w:jc w:val="both"/>
      </w:pPr>
    </w:p>
    <w:p w:rsidR="00CA5C2E" w:rsidRDefault="00CA5C2E" w:rsidP="00CA5C2E">
      <w:pPr>
        <w:pStyle w:val="ConsPlusNormal"/>
        <w:ind w:firstLine="540"/>
        <w:jc w:val="both"/>
      </w:pPr>
      <w:proofErr w:type="gramStart"/>
      <w:r>
        <w:t>В соответствии с подпунктом «б» пункта 6 перечня поручений Президента Российской Федерации от 14 ноября 2013 г. № Пр-2689 по итогам заседания Совета при Президенте Российской Федерации по противодействию коррупции 30 октября 2013 г. и подпунктом «а» пункта 2 раздела 1 протокола заседания президиума Совета при Президенте Российской Федерации по противодействию коррупции от 12 ноября 2014 г. № 45 Министерством труда и</w:t>
      </w:r>
      <w:proofErr w:type="gramEnd"/>
      <w:r>
        <w:t xml:space="preserve"> социальной защиты Российской Федерации проведена работа по определению критериев привлечения к ответственности государственных (муниципальных) служащих за совершение коррупционных правонарушений.</w:t>
      </w:r>
    </w:p>
    <w:p w:rsidR="00CA5C2E" w:rsidRPr="00572A01" w:rsidRDefault="00CA5C2E" w:rsidP="00CA5C2E">
      <w:pPr>
        <w:pStyle w:val="ConsPlusNormal"/>
        <w:ind w:firstLine="540"/>
        <w:jc w:val="both"/>
      </w:pPr>
      <w:proofErr w:type="gramStart"/>
      <w:r w:rsidRPr="00572A01">
        <w:t>На основе предложений федеральных государственных органов и высших органов исполнительной власти субъектов Российской Федерации, поступивших в соответствии с пис</w:t>
      </w:r>
      <w:r w:rsidRPr="00572A01">
        <w:t>ь</w:t>
      </w:r>
      <w:r w:rsidRPr="00572A01">
        <w:t>мом Минтруда России от 13 ноября 2015 г. № 18-2/10/П-7073, судебной практики по рассмотрению дел о привлечении к ответственности за совершение коррупционных правонарушений подготовлен Обзор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</w:t>
      </w:r>
      <w:proofErr w:type="gramEnd"/>
      <w:r w:rsidRPr="00572A01">
        <w:t xml:space="preserve"> об урегулировании конфликта интересов и неисполнение обязанностей, установленных в целях противодействия коррупции (прилагается).</w:t>
      </w:r>
    </w:p>
    <w:p w:rsidR="00CA5C2E" w:rsidRDefault="00CA5C2E" w:rsidP="00CA5C2E">
      <w:pPr>
        <w:pStyle w:val="ConsPlusNormal"/>
        <w:ind w:firstLine="540"/>
        <w:jc w:val="both"/>
      </w:pPr>
      <w:r>
        <w:t xml:space="preserve">В этой связи подразделениям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рекомендуется использовать указанный </w:t>
      </w:r>
      <w:r w:rsidRPr="00572A01">
        <w:t>Обзор</w:t>
      </w:r>
      <w:r>
        <w:t xml:space="preserve"> в своей деятельности.</w:t>
      </w:r>
    </w:p>
    <w:p w:rsidR="00CA5C2E" w:rsidRPr="00CA5C2E" w:rsidRDefault="00CA5C2E" w:rsidP="00CA5C2E">
      <w:pPr>
        <w:rPr>
          <w:rFonts w:ascii="Times New Roman" w:hAnsi="Times New Roman" w:cs="Times New Roman"/>
          <w:sz w:val="28"/>
          <w:szCs w:val="28"/>
        </w:rPr>
      </w:pPr>
    </w:p>
    <w:p w:rsidR="00CA5C2E" w:rsidRDefault="00CA5C2E">
      <w:pPr>
        <w:widowControl/>
        <w:autoSpaceDE/>
        <w:autoSpaceDN/>
        <w:adjustRightInd/>
        <w:spacing w:after="200" w:line="276" w:lineRule="auto"/>
        <w:rPr>
          <w:rStyle w:val="FontStyle29"/>
          <w:b w:val="0"/>
        </w:rPr>
      </w:pPr>
      <w:r>
        <w:rPr>
          <w:rStyle w:val="FontStyle29"/>
          <w:b w:val="0"/>
        </w:rPr>
        <w:br w:type="page"/>
      </w:r>
    </w:p>
    <w:p w:rsidR="00FD10CC" w:rsidRDefault="00FE47E9" w:rsidP="002A234B">
      <w:pPr>
        <w:pStyle w:val="Style14"/>
        <w:widowControl/>
        <w:spacing w:line="240" w:lineRule="auto"/>
        <w:ind w:left="5954"/>
        <w:rPr>
          <w:rStyle w:val="FontStyle29"/>
          <w:b w:val="0"/>
        </w:rPr>
      </w:pPr>
      <w:proofErr w:type="gramStart"/>
      <w:r w:rsidRPr="00FE47E9">
        <w:rPr>
          <w:rStyle w:val="FontStyle29"/>
          <w:b w:val="0"/>
        </w:rPr>
        <w:lastRenderedPageBreak/>
        <w:t>Подготовлен</w:t>
      </w:r>
      <w:proofErr w:type="gramEnd"/>
      <w:r w:rsidRPr="00FE47E9">
        <w:rPr>
          <w:rStyle w:val="FontStyle29"/>
          <w:b w:val="0"/>
        </w:rPr>
        <w:t xml:space="preserve"> Министерством труда и социальной защиты Российской Федерации </w:t>
      </w:r>
    </w:p>
    <w:p w:rsidR="00BE6A50" w:rsidRPr="00FE47E9" w:rsidRDefault="00BE6A50" w:rsidP="002A234B">
      <w:pPr>
        <w:pStyle w:val="Style14"/>
        <w:widowControl/>
        <w:spacing w:line="240" w:lineRule="auto"/>
        <w:ind w:left="5954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2A234B">
      <w:pPr>
        <w:pStyle w:val="Style14"/>
        <w:widowControl/>
        <w:spacing w:line="240" w:lineRule="auto"/>
        <w:rPr>
          <w:rStyle w:val="FontStyle29"/>
        </w:rPr>
      </w:pPr>
    </w:p>
    <w:p w:rsidR="001236F5" w:rsidRPr="00FD10CC" w:rsidRDefault="00736160" w:rsidP="002A234B">
      <w:pPr>
        <w:pStyle w:val="Style14"/>
        <w:widowControl/>
        <w:spacing w:line="240" w:lineRule="auto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2A234B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2A234B">
      <w:pPr>
        <w:pStyle w:val="Style16"/>
        <w:widowControl/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</w:t>
      </w:r>
      <w:r w:rsidR="002A234B">
        <w:rPr>
          <w:rStyle w:val="FontStyle33"/>
          <w:bCs/>
        </w:rPr>
        <w:t xml:space="preserve"> 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2A234B">
      <w:pPr>
        <w:pStyle w:val="Style16"/>
        <w:widowControl/>
        <w:spacing w:line="240" w:lineRule="auto"/>
        <w:ind w:right="29"/>
        <w:rPr>
          <w:rStyle w:val="FontStyle29"/>
        </w:rPr>
      </w:pPr>
      <w:r>
        <w:rPr>
          <w:rStyle w:val="FontStyle33"/>
        </w:rPr>
        <w:t>2.</w:t>
      </w:r>
      <w:r w:rsidR="002A234B">
        <w:rPr>
          <w:rStyle w:val="FontStyle33"/>
        </w:rPr>
        <w:t xml:space="preserve"> 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препятствуют представлению сведений о доходах, </w:t>
      </w:r>
      <w:proofErr w:type="gramStart"/>
      <w:r w:rsidRPr="00FD10CC">
        <w:rPr>
          <w:rStyle w:val="FontStyle33"/>
        </w:rPr>
        <w:t>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2A234B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содержание</w:t>
      </w:r>
      <w:r w:rsidR="00914FBD" w:rsidRPr="00FD10CC">
        <w:rPr>
          <w:rStyle w:val="FontStyle33"/>
        </w:rPr>
        <w:t xml:space="preserve"> </w:t>
      </w:r>
      <w:r w:rsidR="00914FBD" w:rsidRPr="00FD10CC">
        <w:rPr>
          <w:rStyle w:val="FontStyle33"/>
        </w:rPr>
        <w:lastRenderedPageBreak/>
        <w:t>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</w:t>
      </w:r>
      <w:proofErr w:type="spellStart"/>
      <w:r w:rsidRPr="00FD10CC">
        <w:rPr>
          <w:rStyle w:val="FontStyle33"/>
        </w:rPr>
        <w:t>пр-т</w:t>
      </w:r>
      <w:proofErr w:type="spellEnd"/>
      <w:r w:rsidRPr="00FD10CC">
        <w:rPr>
          <w:rStyle w:val="FontStyle33"/>
        </w:rPr>
        <w:t xml:space="preserve">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</w:t>
      </w:r>
      <w:r w:rsidR="002A234B">
        <w:rPr>
          <w:rStyle w:val="FontStyle33"/>
        </w:rPr>
        <w:t>.</w:t>
      </w:r>
    </w:p>
    <w:p w:rsidR="001236F5" w:rsidRPr="00FD10CC" w:rsidRDefault="001236F5" w:rsidP="002A234B">
      <w:pPr>
        <w:pStyle w:val="Style16"/>
        <w:widowControl/>
        <w:tabs>
          <w:tab w:val="left" w:pos="3830"/>
          <w:tab w:val="left" w:pos="6106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г)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 w:rsidRPr="0080381F">
        <w:rPr>
          <w:rStyle w:val="FontStyle33"/>
        </w:rPr>
        <w:t>3.</w:t>
      </w:r>
      <w:r w:rsidR="002A234B">
        <w:rPr>
          <w:rStyle w:val="FontStyle33"/>
        </w:rPr>
        <w:t xml:space="preserve"> 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2A234B">
      <w:pPr>
        <w:pStyle w:val="Style16"/>
        <w:widowControl/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</w:t>
      </w:r>
      <w:r w:rsidR="002A234B">
        <w:rPr>
          <w:rStyle w:val="FontStyle33"/>
        </w:rPr>
        <w:t xml:space="preserve"> 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2A234B">
      <w:pPr>
        <w:pStyle w:val="Style16"/>
        <w:widowControl/>
        <w:spacing w:line="240" w:lineRule="auto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замечание;</w:t>
      </w:r>
    </w:p>
    <w:p w:rsidR="001236F5" w:rsidRPr="00FD10CC" w:rsidRDefault="001236F5" w:rsidP="002A234B">
      <w:pPr>
        <w:pStyle w:val="Style16"/>
        <w:widowControl/>
        <w:spacing w:line="240" w:lineRule="auto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выговор;</w:t>
      </w:r>
    </w:p>
    <w:p w:rsidR="001236F5" w:rsidRPr="00FD10CC" w:rsidRDefault="001236F5" w:rsidP="002A234B">
      <w:pPr>
        <w:pStyle w:val="Style16"/>
        <w:widowControl/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в)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строгий выговор (для государственных служащих,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замещающих должности военной и правоохранительной службы);</w:t>
      </w:r>
    </w:p>
    <w:p w:rsidR="001236F5" w:rsidRPr="00FD10CC" w:rsidRDefault="001236F5" w:rsidP="002A234B">
      <w:pPr>
        <w:pStyle w:val="Style16"/>
        <w:widowControl/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г)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предупреждение о неполном служебном (должностном)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соответствии;</w:t>
      </w:r>
    </w:p>
    <w:p w:rsidR="001236F5" w:rsidRPr="00FD10CC" w:rsidRDefault="001236F5" w:rsidP="002A234B">
      <w:pPr>
        <w:pStyle w:val="Style16"/>
        <w:widowControl/>
        <w:spacing w:line="240" w:lineRule="auto"/>
        <w:ind w:right="43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увольнение с государственной (муниципальной) службы в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связи с утратой доверия.</w:t>
      </w:r>
    </w:p>
    <w:p w:rsidR="001236F5" w:rsidRPr="00FD10CC" w:rsidRDefault="003234EE" w:rsidP="002A234B">
      <w:pPr>
        <w:pStyle w:val="Style16"/>
        <w:widowControl/>
        <w:spacing w:line="240" w:lineRule="auto"/>
        <w:ind w:right="34"/>
        <w:rPr>
          <w:rStyle w:val="FontStyle29"/>
        </w:rPr>
      </w:pPr>
      <w:r>
        <w:rPr>
          <w:rStyle w:val="FontStyle33"/>
        </w:rPr>
        <w:lastRenderedPageBreak/>
        <w:t>5.</w:t>
      </w:r>
      <w:r w:rsidR="002A234B">
        <w:rPr>
          <w:rStyle w:val="FontStyle33"/>
        </w:rPr>
        <w:t xml:space="preserve"> 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2A234B">
      <w:pPr>
        <w:pStyle w:val="Style16"/>
        <w:widowControl/>
        <w:spacing w:line="240" w:lineRule="auto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характер и тяжесть совершенного нарушения;</w:t>
      </w:r>
    </w:p>
    <w:p w:rsidR="001236F5" w:rsidRPr="00FD10CC" w:rsidRDefault="001236F5" w:rsidP="002A234B">
      <w:pPr>
        <w:pStyle w:val="Style16"/>
        <w:widowControl/>
        <w:spacing w:line="240" w:lineRule="auto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обстоятельства, при которых совершено нарушение;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г)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2A234B">
      <w:pPr>
        <w:pStyle w:val="Style16"/>
        <w:widowControl/>
        <w:spacing w:line="240" w:lineRule="auto"/>
        <w:ind w:right="19"/>
        <w:rPr>
          <w:rStyle w:val="FontStyle33"/>
        </w:rPr>
      </w:pPr>
      <w:r>
        <w:rPr>
          <w:rStyle w:val="FontStyle33"/>
        </w:rPr>
        <w:t>6.</w:t>
      </w:r>
      <w:r w:rsidR="002A234B"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>в разделе</w:t>
      </w:r>
      <w:r w:rsidR="002A234B">
        <w:rPr>
          <w:rStyle w:val="FontStyle33"/>
        </w:rPr>
        <w:t xml:space="preserve"> </w:t>
      </w:r>
      <w:r w:rsidR="00022196" w:rsidRPr="00FD10CC">
        <w:rPr>
          <w:rStyle w:val="FontStyle33"/>
        </w:rPr>
        <w:t xml:space="preserve">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2A234B">
      <w:pPr>
        <w:pStyle w:val="Style16"/>
        <w:widowControl/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2A234B">
      <w:pPr>
        <w:pStyle w:val="Style16"/>
        <w:widowControl/>
        <w:spacing w:line="240" w:lineRule="auto"/>
        <w:ind w:right="38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2A234B">
      <w:pPr>
        <w:pStyle w:val="Style16"/>
        <w:widowControl/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2A234B">
      <w:pPr>
        <w:pStyle w:val="Style16"/>
        <w:widowControl/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="002A234B">
        <w:rPr>
          <w:rStyle w:val="FontStyle33"/>
        </w:rPr>
        <w:t xml:space="preserve"> </w:t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2A234B">
        <w:rPr>
          <w:rStyle w:val="FontStyle33"/>
        </w:rPr>
        <w:t xml:space="preserve">рия, представлен в приложении № </w:t>
      </w:r>
      <w:r w:rsidR="00C21691">
        <w:rPr>
          <w:rStyle w:val="FontStyle33"/>
        </w:rPr>
        <w:t>1</w:t>
      </w:r>
      <w:r w:rsidR="001236F5" w:rsidRPr="00FD10CC">
        <w:rPr>
          <w:rStyle w:val="FontStyle33"/>
        </w:rPr>
        <w:t>.</w:t>
      </w:r>
    </w:p>
    <w:p w:rsidR="001236F5" w:rsidRPr="00FD10CC" w:rsidRDefault="009B4CC1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</w:t>
      </w:r>
      <w:r w:rsidR="002A234B"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2A234B">
      <w:pPr>
        <w:pStyle w:val="Style16"/>
        <w:widowControl/>
        <w:spacing w:line="240" w:lineRule="auto"/>
        <w:rPr>
          <w:rStyle w:val="FontStyle33"/>
        </w:rPr>
      </w:pPr>
      <w:r w:rsidRPr="008A7768">
        <w:rPr>
          <w:rStyle w:val="FontStyle33"/>
        </w:rPr>
        <w:t>8.</w:t>
      </w:r>
      <w:r w:rsidR="002A234B">
        <w:rPr>
          <w:rStyle w:val="FontStyle33"/>
        </w:rPr>
        <w:t xml:space="preserve"> 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</w:t>
      </w:r>
      <w:r w:rsidR="001236F5" w:rsidRPr="008A7768">
        <w:rPr>
          <w:rStyle w:val="FontStyle33"/>
        </w:rPr>
        <w:lastRenderedPageBreak/>
        <w:t xml:space="preserve">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2A234B" w:rsidP="002A234B">
      <w:pPr>
        <w:pStyle w:val="Style16"/>
        <w:widowControl/>
        <w:spacing w:line="240" w:lineRule="auto"/>
        <w:rPr>
          <w:rStyle w:val="FontStyle33"/>
        </w:rPr>
      </w:pPr>
      <w:r>
        <w:rPr>
          <w:rStyle w:val="FontStyle33"/>
        </w:rPr>
        <w:t xml:space="preserve">9. 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2A234B">
      <w:pPr>
        <w:pStyle w:val="Style16"/>
        <w:widowControl/>
        <w:spacing w:line="240" w:lineRule="auto"/>
        <w:rPr>
          <w:rStyle w:val="FontStyle33"/>
        </w:rPr>
      </w:pPr>
      <w:r>
        <w:rPr>
          <w:rStyle w:val="FontStyle33"/>
        </w:rPr>
        <w:t>10.</w:t>
      </w:r>
      <w:r w:rsidR="002A234B">
        <w:rPr>
          <w:rStyle w:val="FontStyle33"/>
        </w:rPr>
        <w:t xml:space="preserve"> 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2A234B">
      <w:pPr>
        <w:pStyle w:val="Style16"/>
        <w:widowControl/>
        <w:spacing w:line="240" w:lineRule="auto"/>
        <w:rPr>
          <w:rStyle w:val="FontStyle33"/>
        </w:rPr>
      </w:pPr>
      <w:r>
        <w:rPr>
          <w:rStyle w:val="FontStyle33"/>
        </w:rPr>
        <w:t>11.</w:t>
      </w:r>
      <w:r w:rsidR="002A234B">
        <w:rPr>
          <w:rStyle w:val="FontStyle33"/>
        </w:rPr>
        <w:t xml:space="preserve"> 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2A234B">
      <w:pPr>
        <w:pStyle w:val="Style16"/>
        <w:widowControl/>
        <w:spacing w:line="240" w:lineRule="auto"/>
        <w:rPr>
          <w:rStyle w:val="FontStyle29"/>
          <w:b w:val="0"/>
          <w:bCs w:val="0"/>
        </w:rPr>
      </w:pPr>
      <w:r>
        <w:rPr>
          <w:rStyle w:val="FontStyle33"/>
        </w:rPr>
        <w:t>12.</w:t>
      </w:r>
      <w:r w:rsidR="002A234B">
        <w:rPr>
          <w:rStyle w:val="FontStyle33"/>
        </w:rPr>
        <w:t xml:space="preserve"> 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1065;</w:t>
      </w:r>
    </w:p>
    <w:p w:rsidR="00FD10CC" w:rsidRPr="00FD10CC" w:rsidRDefault="00FD10CC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г)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2A234B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13.</w:t>
      </w:r>
      <w:r w:rsidR="002A234B">
        <w:rPr>
          <w:rStyle w:val="FontStyle33"/>
        </w:rPr>
        <w:t xml:space="preserve"> 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2A234B">
      <w:pPr>
        <w:pStyle w:val="Style16"/>
        <w:widowControl/>
        <w:tabs>
          <w:tab w:val="left" w:pos="1162"/>
        </w:tabs>
        <w:spacing w:line="240" w:lineRule="auto"/>
        <w:ind w:right="5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</w:t>
      </w:r>
      <w:r w:rsidR="002A234B">
        <w:rPr>
          <w:rStyle w:val="FontStyle33"/>
        </w:rPr>
        <w:t xml:space="preserve"> </w:t>
      </w:r>
      <w:r w:rsidRPr="00621381">
        <w:rPr>
          <w:rStyle w:val="FontStyle33"/>
        </w:rPr>
        <w:t>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2A234B">
      <w:pPr>
        <w:pStyle w:val="Style16"/>
        <w:widowControl/>
        <w:tabs>
          <w:tab w:val="left" w:pos="1166"/>
        </w:tabs>
        <w:spacing w:line="240" w:lineRule="auto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</w:t>
      </w:r>
      <w:r w:rsidR="002A234B">
        <w:rPr>
          <w:rStyle w:val="FontStyle33"/>
        </w:rPr>
        <w:t xml:space="preserve"> </w:t>
      </w:r>
      <w:r w:rsidRPr="00621381">
        <w:rPr>
          <w:rStyle w:val="FontStyle33"/>
        </w:rPr>
        <w:t>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2A234B">
      <w:pPr>
        <w:pStyle w:val="Style16"/>
        <w:widowControl/>
        <w:tabs>
          <w:tab w:val="left" w:pos="1166"/>
        </w:tabs>
        <w:spacing w:line="240" w:lineRule="auto"/>
        <w:ind w:right="14"/>
        <w:rPr>
          <w:rStyle w:val="FontStyle29"/>
        </w:rPr>
      </w:pPr>
      <w:r>
        <w:rPr>
          <w:rStyle w:val="FontStyle33"/>
        </w:rPr>
        <w:lastRenderedPageBreak/>
        <w:t>16</w:t>
      </w:r>
      <w:r w:rsidR="00ED2425">
        <w:rPr>
          <w:rStyle w:val="FontStyle33"/>
        </w:rPr>
        <w:t>.</w:t>
      </w:r>
      <w:r w:rsidR="002A234B">
        <w:rPr>
          <w:rStyle w:val="FontStyle33"/>
        </w:rPr>
        <w:t xml:space="preserve"> 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2A234B">
      <w:pPr>
        <w:pStyle w:val="Style16"/>
        <w:widowControl/>
        <w:tabs>
          <w:tab w:val="left" w:pos="1056"/>
        </w:tabs>
        <w:spacing w:line="240" w:lineRule="auto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наличие неснятого дисциплинарного взыскания;</w:t>
      </w:r>
    </w:p>
    <w:p w:rsidR="008B6B71" w:rsidRPr="00FD10CC" w:rsidRDefault="00914FBD" w:rsidP="002A234B">
      <w:pPr>
        <w:pStyle w:val="Style16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>г)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2A234B">
      <w:pPr>
        <w:pStyle w:val="Style16"/>
        <w:widowControl/>
        <w:spacing w:line="240" w:lineRule="auto"/>
        <w:ind w:right="10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2A234B" w:rsidP="002A234B">
      <w:pPr>
        <w:pStyle w:val="Style16"/>
        <w:widowControl/>
        <w:spacing w:line="240" w:lineRule="auto"/>
        <w:rPr>
          <w:rStyle w:val="FontStyle33"/>
          <w:bCs/>
        </w:rPr>
      </w:pPr>
      <w:r>
        <w:rPr>
          <w:rStyle w:val="FontStyle33"/>
        </w:rPr>
        <w:t xml:space="preserve">18. 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 w:rsidR="00621381"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 w:rsidR="00621381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2A234B">
      <w:pPr>
        <w:pStyle w:val="Style14"/>
        <w:widowControl/>
        <w:spacing w:line="240" w:lineRule="auto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2A234B">
      <w:pPr>
        <w:pStyle w:val="Style14"/>
        <w:widowControl/>
        <w:spacing w:line="240" w:lineRule="auto"/>
        <w:rPr>
          <w:rStyle w:val="FontStyle29"/>
        </w:rPr>
      </w:pPr>
    </w:p>
    <w:p w:rsidR="001236F5" w:rsidRPr="00FD10CC" w:rsidRDefault="001236F5" w:rsidP="002A234B">
      <w:pPr>
        <w:pStyle w:val="Style16"/>
        <w:widowControl/>
        <w:numPr>
          <w:ilvl w:val="0"/>
          <w:numId w:val="11"/>
        </w:numPr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2A234B">
      <w:pPr>
        <w:pStyle w:val="Style16"/>
        <w:widowControl/>
        <w:numPr>
          <w:ilvl w:val="0"/>
          <w:numId w:val="11"/>
        </w:numPr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2A234B">
      <w:pPr>
        <w:pStyle w:val="Style16"/>
        <w:widowControl/>
        <w:numPr>
          <w:ilvl w:val="0"/>
          <w:numId w:val="11"/>
        </w:numPr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2A234B">
      <w:pPr>
        <w:pStyle w:val="Style16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2A234B">
      <w:pPr>
        <w:pStyle w:val="Style16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 xml:space="preserve">2 Справки,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2A234B">
      <w:pPr>
        <w:pStyle w:val="Style16"/>
        <w:widowControl/>
        <w:numPr>
          <w:ilvl w:val="0"/>
          <w:numId w:val="12"/>
        </w:numPr>
        <w:spacing w:line="240" w:lineRule="auto"/>
        <w:ind w:right="53" w:firstLine="710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2A234B">
      <w:pPr>
        <w:pStyle w:val="Style16"/>
        <w:widowControl/>
        <w:numPr>
          <w:ilvl w:val="0"/>
          <w:numId w:val="12"/>
        </w:numPr>
        <w:spacing w:line="240" w:lineRule="auto"/>
        <w:ind w:right="53" w:firstLine="710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2A234B">
      <w:pPr>
        <w:pStyle w:val="Style16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2A234B">
      <w:pPr>
        <w:pStyle w:val="Style16"/>
        <w:widowControl/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2A234B">
      <w:pPr>
        <w:pStyle w:val="Style16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2A234B">
      <w:pPr>
        <w:pStyle w:val="Style16"/>
        <w:widowControl/>
        <w:spacing w:line="240" w:lineRule="auto"/>
        <w:ind w:right="24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2A234B">
      <w:pPr>
        <w:pStyle w:val="Style16"/>
        <w:widowControl/>
        <w:spacing w:line="240" w:lineRule="auto"/>
        <w:ind w:right="19" w:firstLine="710"/>
        <w:rPr>
          <w:rStyle w:val="FontStyle33"/>
        </w:rPr>
      </w:pPr>
      <w:proofErr w:type="spellStart"/>
      <w:r w:rsidRPr="00FD10CC">
        <w:rPr>
          <w:rStyle w:val="FontStyle33"/>
        </w:rPr>
        <w:lastRenderedPageBreak/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объектов 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2A234B">
      <w:pPr>
        <w:pStyle w:val="Style16"/>
        <w:widowControl/>
        <w:numPr>
          <w:ilvl w:val="0"/>
          <w:numId w:val="13"/>
        </w:numPr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2A234B">
      <w:pPr>
        <w:pStyle w:val="Style16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2A234B">
      <w:pPr>
        <w:pStyle w:val="Style16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организациях,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2A234B">
      <w:pPr>
        <w:pStyle w:val="Style16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2A234B">
        <w:rPr>
          <w:rStyle w:val="FontStyle33"/>
        </w:rPr>
        <w:t xml:space="preserve"> </w:t>
      </w:r>
      <w:r w:rsidR="00621381">
        <w:rPr>
          <w:rStyle w:val="FontStyle33"/>
        </w:rPr>
        <w:t>г. №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2A234B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2A234B">
      <w:pPr>
        <w:pStyle w:val="Style10"/>
        <w:widowControl/>
        <w:spacing w:line="240" w:lineRule="auto"/>
        <w:ind w:firstLine="71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2A234B" w:rsidRDefault="001236F5" w:rsidP="002A234B">
      <w:pPr>
        <w:pStyle w:val="Style16"/>
        <w:widowControl/>
        <w:numPr>
          <w:ilvl w:val="0"/>
          <w:numId w:val="14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1236F5" w:rsidP="002A234B">
      <w:pPr>
        <w:pStyle w:val="Style16"/>
        <w:widowControl/>
        <w:numPr>
          <w:ilvl w:val="0"/>
          <w:numId w:val="14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2A234B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2A234B">
      <w:pPr>
        <w:pStyle w:val="Style16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2A234B">
      <w:pPr>
        <w:pStyle w:val="Style16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2A234B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2A234B">
      <w:pPr>
        <w:pStyle w:val="Style14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2A234B">
      <w:pPr>
        <w:pStyle w:val="Style14"/>
        <w:widowControl/>
        <w:spacing w:line="240" w:lineRule="auto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2A234B">
      <w:pPr>
        <w:pStyle w:val="Style14"/>
        <w:widowControl/>
        <w:spacing w:line="240" w:lineRule="auto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2A234B">
      <w:pPr>
        <w:pStyle w:val="Style14"/>
        <w:widowControl/>
        <w:spacing w:line="240" w:lineRule="auto"/>
        <w:rPr>
          <w:rStyle w:val="FontStyle29"/>
        </w:rPr>
      </w:pPr>
    </w:p>
    <w:p w:rsidR="001236F5" w:rsidRPr="00FC46AA" w:rsidRDefault="001236F5" w:rsidP="002A234B">
      <w:pPr>
        <w:pStyle w:val="Style16"/>
        <w:widowControl/>
        <w:numPr>
          <w:ilvl w:val="0"/>
          <w:numId w:val="16"/>
        </w:numPr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2A234B">
      <w:pPr>
        <w:pStyle w:val="Style16"/>
        <w:widowControl/>
        <w:numPr>
          <w:ilvl w:val="0"/>
          <w:numId w:val="16"/>
        </w:numPr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2A234B">
      <w:pPr>
        <w:pStyle w:val="Style16"/>
        <w:widowControl/>
        <w:numPr>
          <w:ilvl w:val="0"/>
          <w:numId w:val="16"/>
        </w:numPr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2A234B">
      <w:pPr>
        <w:pStyle w:val="Style16"/>
        <w:widowControl/>
        <w:numPr>
          <w:ilvl w:val="0"/>
          <w:numId w:val="16"/>
        </w:numPr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</w:t>
      </w:r>
      <w:proofErr w:type="spellStart"/>
      <w:r w:rsidR="00FD10CC" w:rsidRPr="00FD10CC">
        <w:rPr>
          <w:rStyle w:val="FontStyle33"/>
        </w:rPr>
        <w:t>эконом-класса</w:t>
      </w:r>
      <w:proofErr w:type="spellEnd"/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2A234B">
      <w:pPr>
        <w:pStyle w:val="Style16"/>
        <w:widowControl/>
        <w:numPr>
          <w:ilvl w:val="0"/>
          <w:numId w:val="16"/>
        </w:numPr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2A234B">
      <w:pPr>
        <w:pStyle w:val="Style6"/>
        <w:widowControl/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</w:t>
      </w:r>
      <w:r w:rsidR="002A234B">
        <w:rPr>
          <w:rStyle w:val="FontStyle33"/>
        </w:rPr>
        <w:t xml:space="preserve"> </w:t>
      </w:r>
      <w:r w:rsidRPr="00FD10CC">
        <w:rPr>
          <w:rStyle w:val="FontStyle33"/>
        </w:rPr>
        <w:t>3</w:t>
      </w:r>
    </w:p>
    <w:p w:rsidR="001236F5" w:rsidRPr="00FD10CC" w:rsidRDefault="001236F5" w:rsidP="002A234B">
      <w:pPr>
        <w:pStyle w:val="Style14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2A234B">
      <w:pPr>
        <w:pStyle w:val="Style14"/>
        <w:widowControl/>
        <w:spacing w:line="240" w:lineRule="auto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2A234B">
      <w:pPr>
        <w:pStyle w:val="Style14"/>
        <w:widowControl/>
        <w:spacing w:line="240" w:lineRule="auto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2A234B">
      <w:pPr>
        <w:pStyle w:val="Style14"/>
        <w:widowControl/>
        <w:spacing w:line="240" w:lineRule="auto"/>
        <w:rPr>
          <w:rStyle w:val="FontStyle29"/>
        </w:rPr>
      </w:pPr>
    </w:p>
    <w:p w:rsidR="001236F5" w:rsidRPr="006F1D85" w:rsidRDefault="009F2229" w:rsidP="002A234B">
      <w:pPr>
        <w:pStyle w:val="Style16"/>
        <w:widowControl/>
        <w:numPr>
          <w:ilvl w:val="0"/>
          <w:numId w:val="17"/>
        </w:numPr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2A234B">
        <w:rPr>
          <w:rStyle w:val="FontStyle33"/>
        </w:rPr>
        <w:t xml:space="preserve">000 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2A234B">
      <w:pPr>
        <w:pStyle w:val="Style16"/>
        <w:widowControl/>
        <w:numPr>
          <w:ilvl w:val="0"/>
          <w:numId w:val="17"/>
        </w:numPr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2A234B">
      <w:pPr>
        <w:pStyle w:val="Style16"/>
        <w:widowControl/>
        <w:numPr>
          <w:ilvl w:val="0"/>
          <w:numId w:val="17"/>
        </w:numPr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2A234B">
      <w:pPr>
        <w:pStyle w:val="Style16"/>
        <w:widowControl/>
        <w:numPr>
          <w:ilvl w:val="0"/>
          <w:numId w:val="17"/>
        </w:numPr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2A234B">
      <w:pPr>
        <w:pStyle w:val="Style16"/>
        <w:widowControl/>
        <w:numPr>
          <w:ilvl w:val="0"/>
          <w:numId w:val="17"/>
        </w:numPr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2A234B">
      <w:pPr>
        <w:pStyle w:val="Style16"/>
        <w:widowControl/>
        <w:numPr>
          <w:ilvl w:val="0"/>
          <w:numId w:val="18"/>
        </w:numPr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2A234B">
      <w:pPr>
        <w:pStyle w:val="Style16"/>
        <w:widowControl/>
        <w:numPr>
          <w:ilvl w:val="0"/>
          <w:numId w:val="18"/>
        </w:numPr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Не указаны сведения о транспортных средствах, рыночная стоимость которых не превышает 100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2A234B" w:rsidRDefault="001236F5" w:rsidP="002A234B">
      <w:pPr>
        <w:pStyle w:val="Style16"/>
        <w:widowControl/>
        <w:numPr>
          <w:ilvl w:val="0"/>
          <w:numId w:val="18"/>
        </w:numPr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1236F5" w:rsidP="002A234B">
      <w:pPr>
        <w:pStyle w:val="Style16"/>
        <w:widowControl/>
        <w:numPr>
          <w:ilvl w:val="0"/>
          <w:numId w:val="18"/>
        </w:numPr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1000</w:t>
      </w:r>
      <w:r w:rsidR="00863FE9" w:rsidRPr="00FD10CC">
        <w:rPr>
          <w:rStyle w:val="FontStyle33"/>
        </w:rPr>
        <w:t xml:space="preserve"> </w:t>
      </w:r>
      <w:r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2A234B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</w:t>
      </w:r>
      <w:r w:rsidRPr="0033299F">
        <w:rPr>
          <w:rStyle w:val="FontStyle33"/>
        </w:rPr>
        <w:lastRenderedPageBreak/>
        <w:t>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2A234B">
      <w:headerReference w:type="even" r:id="rId8"/>
      <w:headerReference w:type="default" r:id="rId9"/>
      <w:type w:val="continuous"/>
      <w:pgSz w:w="11905" w:h="16837"/>
      <w:pgMar w:top="1134" w:right="851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AC" w:rsidRDefault="00704FAC">
      <w:r>
        <w:separator/>
      </w:r>
    </w:p>
  </w:endnote>
  <w:endnote w:type="continuationSeparator" w:id="0">
    <w:p w:rsidR="00704FAC" w:rsidRDefault="00704FAC" w:rsidP="0012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AC" w:rsidRDefault="00704FAC">
      <w:r>
        <w:separator/>
      </w:r>
    </w:p>
  </w:footnote>
  <w:footnote w:type="continuationSeparator" w:id="0">
    <w:p w:rsidR="00704FAC" w:rsidRDefault="00704FAC" w:rsidP="00123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D2" w:rsidRDefault="00DE7CD2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050753"/>
      <w:docPartObj>
        <w:docPartGallery w:val="Page Numbers (Top of Page)"/>
        <w:docPartUnique/>
      </w:docPartObj>
    </w:sdtPr>
    <w:sdtContent>
      <w:p w:rsidR="00DE7CD2" w:rsidRDefault="00C7310C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E7CD2"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5C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C132C"/>
    <w:rsid w:val="000022DE"/>
    <w:rsid w:val="00022196"/>
    <w:rsid w:val="00033099"/>
    <w:rsid w:val="00044D4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A234B"/>
    <w:rsid w:val="002B09B9"/>
    <w:rsid w:val="003234EE"/>
    <w:rsid w:val="0033299F"/>
    <w:rsid w:val="00352DEA"/>
    <w:rsid w:val="00371EB9"/>
    <w:rsid w:val="00375B5E"/>
    <w:rsid w:val="00395416"/>
    <w:rsid w:val="003A3C6B"/>
    <w:rsid w:val="003C3BE2"/>
    <w:rsid w:val="0042005F"/>
    <w:rsid w:val="0045419C"/>
    <w:rsid w:val="00471693"/>
    <w:rsid w:val="004A2BC1"/>
    <w:rsid w:val="004E5F8F"/>
    <w:rsid w:val="004E659A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04FAC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7310C"/>
    <w:rsid w:val="00C820BF"/>
    <w:rsid w:val="00CA5C2E"/>
    <w:rsid w:val="00CA7C23"/>
    <w:rsid w:val="00CB6A7F"/>
    <w:rsid w:val="00CC71EB"/>
    <w:rsid w:val="00CD045F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5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CDF90-BE6B-4DC3-ACDF-BA478661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YYY</cp:lastModifiedBy>
  <cp:revision>4</cp:revision>
  <cp:lastPrinted>2016-04-08T12:03:00Z</cp:lastPrinted>
  <dcterms:created xsi:type="dcterms:W3CDTF">2016-04-08T12:04:00Z</dcterms:created>
  <dcterms:modified xsi:type="dcterms:W3CDTF">2016-04-27T08:59:00Z</dcterms:modified>
</cp:coreProperties>
</file>