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proofErr w:type="gramStart"/>
      <w:r w:rsidRPr="00451559">
        <w:rPr>
          <w:rFonts w:eastAsia="Times New Roman"/>
          <w:b/>
          <w:color w:val="000000"/>
          <w:sz w:val="32"/>
          <w:szCs w:val="28"/>
          <w:lang w:eastAsia="ru-RU"/>
        </w:rPr>
        <w:t>П</w:t>
      </w:r>
      <w:proofErr w:type="gramEnd"/>
      <w:r w:rsidRPr="00451559">
        <w:rPr>
          <w:rFonts w:eastAsia="Times New Roman"/>
          <w:b/>
          <w:color w:val="000000"/>
          <w:sz w:val="32"/>
          <w:szCs w:val="28"/>
          <w:lang w:eastAsia="ru-RU"/>
        </w:rPr>
        <w:t xml:space="preserve">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336819"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 xml:space="preserve">    </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 xml:space="preserve">    </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 xml:space="preserve">    </w:t>
      </w:r>
      <w:r w:rsidR="00476DDC" w:rsidRPr="00451559">
        <w:rPr>
          <w:rFonts w:eastAsia="Times New Roman"/>
          <w:szCs w:val="20"/>
          <w:lang w:eastAsia="ru-RU"/>
        </w:rPr>
        <w:t xml:space="preserve">                                                                                         </w:t>
      </w:r>
      <w:r>
        <w:rPr>
          <w:rFonts w:eastAsia="Times New Roman"/>
          <w:szCs w:val="20"/>
          <w:lang w:eastAsia="ru-RU"/>
        </w:rPr>
        <w:t xml:space="preserve">    </w:t>
      </w:r>
      <w:r w:rsidR="00476DDC" w:rsidRPr="00451559">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t xml:space="preserve">       </w:t>
      </w:r>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AF3BF2B6E8824DD7BC0B8EF0179098AC"/>
        </w:placeholder>
      </w:sdtPr>
      <w:sdtEndPr>
        <w:rPr>
          <w:rFonts w:ascii="Calibri" w:eastAsia="Times New Roman" w:hAnsi="Calibri" w:cs="Calibri"/>
          <w:sz w:val="22"/>
          <w:szCs w:val="20"/>
          <w:lang w:eastAsia="ru-RU"/>
        </w:rPr>
      </w:sdtEndPr>
      <w:sdtContent>
        <w:p w:rsidR="00476DDC" w:rsidRPr="00C469E6" w:rsidRDefault="0067679B" w:rsidP="0067679B">
          <w:pPr>
            <w:pStyle w:val="ConsPlusTitle"/>
            <w:jc w:val="center"/>
            <w:rPr>
              <w:b w:val="0"/>
              <w:szCs w:val="28"/>
            </w:rPr>
          </w:pPr>
          <w:r>
            <w:rPr>
              <w:rFonts w:ascii="Times New Roman" w:hAnsi="Times New Roman" w:cs="Times New Roman"/>
              <w:sz w:val="28"/>
              <w:szCs w:val="28"/>
            </w:rPr>
            <w:t>О прогнозе социально-экономического развития муниципального образования город Мурманск на среднесрочный период 202</w:t>
          </w:r>
          <w:r w:rsidR="00336819">
            <w:rPr>
              <w:rFonts w:ascii="Times New Roman" w:hAnsi="Times New Roman" w:cs="Times New Roman"/>
              <w:sz w:val="28"/>
              <w:szCs w:val="28"/>
            </w:rPr>
            <w:t>2</w:t>
          </w:r>
          <w:r>
            <w:rPr>
              <w:rFonts w:ascii="Times New Roman" w:hAnsi="Times New Roman" w:cs="Times New Roman"/>
              <w:sz w:val="28"/>
              <w:szCs w:val="28"/>
            </w:rPr>
            <w:t>-202</w:t>
          </w:r>
          <w:r w:rsidR="00336819">
            <w:rPr>
              <w:rFonts w:ascii="Times New Roman" w:hAnsi="Times New Roman" w:cs="Times New Roman"/>
              <w:sz w:val="28"/>
              <w:szCs w:val="28"/>
            </w:rPr>
            <w:t>6</w:t>
          </w:r>
          <w:r>
            <w:rPr>
              <w:rFonts w:ascii="Times New Roman" w:hAnsi="Times New Roman" w:cs="Times New Roman"/>
              <w:sz w:val="28"/>
              <w:szCs w:val="28"/>
            </w:rPr>
            <w:t xml:space="preserve"> годов</w:t>
          </w:r>
        </w:p>
      </w:sdtContent>
    </w:sdt>
    <w:p w:rsidR="00476DDC" w:rsidRDefault="00476DDC" w:rsidP="00476DDC">
      <w:pPr>
        <w:spacing w:after="0" w:line="240" w:lineRule="auto"/>
        <w:jc w:val="center"/>
        <w:rPr>
          <w:rFonts w:eastAsia="Times New Roman"/>
          <w:szCs w:val="28"/>
          <w:lang w:eastAsia="ru-RU"/>
        </w:rPr>
      </w:pPr>
    </w:p>
    <w:p w:rsidR="00F55830" w:rsidRDefault="00F55830" w:rsidP="00476DDC">
      <w:pPr>
        <w:spacing w:after="0" w:line="240" w:lineRule="auto"/>
        <w:jc w:val="center"/>
        <w:rPr>
          <w:rFonts w:eastAsia="Times New Roman"/>
          <w:szCs w:val="28"/>
          <w:lang w:eastAsia="ru-RU"/>
        </w:rPr>
      </w:pPr>
    </w:p>
    <w:p w:rsidR="00B5456A" w:rsidRDefault="00A512D5" w:rsidP="00B5456A">
      <w:pPr>
        <w:widowControl w:val="0"/>
        <w:autoSpaceDE w:val="0"/>
        <w:autoSpaceDN w:val="0"/>
        <w:adjustRightInd w:val="0"/>
        <w:spacing w:after="0" w:line="240" w:lineRule="auto"/>
        <w:ind w:firstLine="709"/>
        <w:jc w:val="both"/>
        <w:rPr>
          <w:rFonts w:eastAsia="Times New Roman"/>
          <w:szCs w:val="28"/>
          <w:lang w:eastAsia="ru-RU"/>
        </w:rPr>
      </w:pPr>
      <w:proofErr w:type="gramStart"/>
      <w:r w:rsidRPr="0089746F">
        <w:rPr>
          <w:spacing w:val="4"/>
          <w:szCs w:val="28"/>
        </w:rPr>
        <w:t>В соответствии со статьей 173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Правительства Мурманской области от 04.08.2015 № 331-ПП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w:t>
      </w:r>
      <w:proofErr w:type="gramEnd"/>
      <w:r w:rsidRPr="0089746F">
        <w:rPr>
          <w:spacing w:val="4"/>
          <w:szCs w:val="28"/>
        </w:rPr>
        <w:t xml:space="preserve"> </w:t>
      </w:r>
      <w:proofErr w:type="gramStart"/>
      <w:r w:rsidRPr="0089746F">
        <w:rPr>
          <w:spacing w:val="4"/>
          <w:szCs w:val="28"/>
        </w:rPr>
        <w:t xml:space="preserve">долгосрочный периоды», статьей 46 Устава муниципального образования город Мурманск, решениями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10" w:history="1">
        <w:r w:rsidRPr="0089746F">
          <w:rPr>
            <w:spacing w:val="4"/>
            <w:szCs w:val="28"/>
          </w:rPr>
          <w:t>от 27.03.2015 № 10-135 «Об утверждении положения о стратегическом планировании в городе Мурманске</w:t>
        </w:r>
      </w:hyperlink>
      <w:r w:rsidRPr="0089746F">
        <w:rPr>
          <w:spacing w:val="4"/>
          <w:szCs w:val="28"/>
        </w:rPr>
        <w:t>», постановлением администрации города Мурманска от 10.06.2015 № 1524 «Об утверждении Порядка разработки прогноза социально-экономического развития муниципального образования город</w:t>
      </w:r>
      <w:proofErr w:type="gramEnd"/>
      <w:r w:rsidRPr="0089746F">
        <w:rPr>
          <w:spacing w:val="4"/>
          <w:szCs w:val="28"/>
        </w:rPr>
        <w:t xml:space="preserve"> Мурманск на среднесрочный и долгосрочный периоды», в целях осуществления бюджетного процесса в муниципальном образовании город Мурманск </w:t>
      </w:r>
      <w:proofErr w:type="gramStart"/>
      <w:r w:rsidR="00E86816" w:rsidRPr="006E1296">
        <w:rPr>
          <w:b/>
          <w:szCs w:val="28"/>
        </w:rPr>
        <w:t>п</w:t>
      </w:r>
      <w:proofErr w:type="gramEnd"/>
      <w:r w:rsidR="00E86816" w:rsidRPr="006E1296">
        <w:rPr>
          <w:b/>
          <w:szCs w:val="28"/>
        </w:rPr>
        <w:t xml:space="preserve"> о с т а н о в л я ю</w:t>
      </w:r>
      <w:r w:rsidRPr="0089746F">
        <w:rPr>
          <w:b/>
          <w:spacing w:val="20"/>
          <w:szCs w:val="28"/>
        </w:rPr>
        <w:t>:</w:t>
      </w:r>
      <w:r w:rsidR="00A919EC" w:rsidRPr="00A919EC">
        <w:rPr>
          <w:szCs w:val="28"/>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B5456A" w:rsidRPr="008D2B35" w:rsidRDefault="00B5456A" w:rsidP="00451028">
      <w:pPr>
        <w:spacing w:after="120" w:line="240" w:lineRule="auto"/>
        <w:ind w:firstLine="709"/>
        <w:jc w:val="both"/>
        <w:rPr>
          <w:szCs w:val="28"/>
        </w:rPr>
      </w:pPr>
      <w:r w:rsidRPr="00B86392">
        <w:rPr>
          <w:szCs w:val="28"/>
        </w:rPr>
        <w:t>1.</w:t>
      </w:r>
      <w:r w:rsidR="00071DDC">
        <w:rPr>
          <w:szCs w:val="28"/>
        </w:rPr>
        <w:t> </w:t>
      </w:r>
      <w:r w:rsidR="00376FCE">
        <w:rPr>
          <w:szCs w:val="28"/>
        </w:rPr>
        <w:t>Одобрить</w:t>
      </w:r>
      <w:r w:rsidR="006111C0">
        <w:rPr>
          <w:szCs w:val="28"/>
        </w:rPr>
        <w:t xml:space="preserve"> </w:t>
      </w:r>
      <w:r w:rsidR="00376FCE">
        <w:rPr>
          <w:szCs w:val="28"/>
        </w:rPr>
        <w:t xml:space="preserve">прогноз социально-экономического развития муниципального образования город Мурманск на среднесрочный период </w:t>
      </w:r>
      <w:r w:rsidR="007125AF">
        <w:rPr>
          <w:szCs w:val="28"/>
        </w:rPr>
        <w:br/>
      </w:r>
      <w:r w:rsidR="00376FCE">
        <w:rPr>
          <w:szCs w:val="28"/>
        </w:rPr>
        <w:t>202</w:t>
      </w:r>
      <w:r w:rsidR="00336819">
        <w:rPr>
          <w:szCs w:val="28"/>
        </w:rPr>
        <w:t>2</w:t>
      </w:r>
      <w:r w:rsidR="00376FCE">
        <w:rPr>
          <w:szCs w:val="28"/>
        </w:rPr>
        <w:t>-202</w:t>
      </w:r>
      <w:r w:rsidR="00336819">
        <w:rPr>
          <w:szCs w:val="28"/>
        </w:rPr>
        <w:t>6 годов</w:t>
      </w:r>
      <w:r>
        <w:rPr>
          <w:szCs w:val="28"/>
        </w:rPr>
        <w:t>.</w:t>
      </w:r>
    </w:p>
    <w:p w:rsidR="00B5456A" w:rsidRDefault="0067679B" w:rsidP="00451028">
      <w:pPr>
        <w:spacing w:after="120" w:line="240" w:lineRule="auto"/>
        <w:ind w:firstLine="709"/>
        <w:jc w:val="both"/>
        <w:rPr>
          <w:szCs w:val="28"/>
        </w:rPr>
      </w:pPr>
      <w:r>
        <w:rPr>
          <w:szCs w:val="28"/>
        </w:rPr>
        <w:t>2</w:t>
      </w:r>
      <w:r w:rsidR="00B5456A" w:rsidRPr="00B86392">
        <w:rPr>
          <w:szCs w:val="28"/>
        </w:rPr>
        <w:t>.</w:t>
      </w:r>
      <w:r w:rsidR="00071DDC">
        <w:rPr>
          <w:szCs w:val="28"/>
        </w:rPr>
        <w:t> </w:t>
      </w:r>
      <w:r w:rsidR="00B5456A" w:rsidRPr="00B86392">
        <w:rPr>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00B5456A" w:rsidRPr="00B86392">
        <w:rPr>
          <w:szCs w:val="28"/>
        </w:rPr>
        <w:t>разместить</w:t>
      </w:r>
      <w:proofErr w:type="gramEnd"/>
      <w:r w:rsidR="00B5456A" w:rsidRPr="00B86392">
        <w:rPr>
          <w:szCs w:val="28"/>
        </w:rPr>
        <w:t xml:space="preserve"> настоящее постановление</w:t>
      </w:r>
      <w:r w:rsidR="00B5456A">
        <w:rPr>
          <w:szCs w:val="28"/>
        </w:rPr>
        <w:t xml:space="preserve"> с приложением</w:t>
      </w:r>
      <w:r w:rsidR="00B5456A" w:rsidRPr="00B86392">
        <w:rPr>
          <w:szCs w:val="28"/>
        </w:rPr>
        <w:t xml:space="preserve"> на официальном сайте администрации города Мурманска в сети Интернет.</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t>3</w:t>
      </w:r>
      <w:r w:rsidR="00B5456A" w:rsidRPr="00B86392">
        <w:rPr>
          <w:szCs w:val="28"/>
        </w:rPr>
        <w:t>.</w:t>
      </w:r>
      <w:r w:rsidR="00071DDC">
        <w:rPr>
          <w:szCs w:val="28"/>
        </w:rPr>
        <w:t> </w:t>
      </w:r>
      <w:r w:rsidR="00B5456A" w:rsidRPr="00B86392">
        <w:rPr>
          <w:szCs w:val="28"/>
        </w:rPr>
        <w:t>Редакции газеты «Вечерний Мурманск» (</w:t>
      </w:r>
      <w:proofErr w:type="gramStart"/>
      <w:r w:rsidR="00B5456A" w:rsidRPr="00B86392">
        <w:rPr>
          <w:szCs w:val="28"/>
        </w:rPr>
        <w:t>Хабаров</w:t>
      </w:r>
      <w:proofErr w:type="gramEnd"/>
      <w:r w:rsidR="00B5456A" w:rsidRPr="00B86392">
        <w:rPr>
          <w:szCs w:val="28"/>
        </w:rPr>
        <w:t xml:space="preserve"> В.А.) опубликовать настоящее постановление</w:t>
      </w:r>
      <w:r w:rsidR="00B5456A">
        <w:rPr>
          <w:szCs w:val="28"/>
        </w:rPr>
        <w:t xml:space="preserve"> с приложением</w:t>
      </w:r>
      <w:r w:rsidR="00B5456A" w:rsidRPr="00B86392">
        <w:rPr>
          <w:szCs w:val="28"/>
        </w:rPr>
        <w:t>.</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lastRenderedPageBreak/>
        <w:t>4</w:t>
      </w:r>
      <w:r w:rsidR="00B5456A" w:rsidRPr="00B86392">
        <w:rPr>
          <w:szCs w:val="28"/>
        </w:rPr>
        <w:t>.</w:t>
      </w:r>
      <w:r w:rsidR="00071DDC">
        <w:rPr>
          <w:szCs w:val="28"/>
        </w:rPr>
        <w:t> </w:t>
      </w:r>
      <w:r w:rsidR="00B5456A" w:rsidRPr="00B86392">
        <w:rPr>
          <w:szCs w:val="28"/>
        </w:rPr>
        <w:t>Настоящее постановление вступает в силу со дня официального опубликования.</w:t>
      </w:r>
    </w:p>
    <w:p w:rsidR="00B5456A" w:rsidRDefault="00376FCE" w:rsidP="00B5456A">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00B5456A">
        <w:rPr>
          <w:szCs w:val="28"/>
        </w:rPr>
        <w:t>.</w:t>
      </w:r>
      <w:r w:rsidR="00071DDC">
        <w:rPr>
          <w:szCs w:val="28"/>
        </w:rPr>
        <w:t> </w:t>
      </w:r>
      <w:proofErr w:type="gramStart"/>
      <w:r w:rsidR="00B5456A" w:rsidRPr="00B86392">
        <w:rPr>
          <w:szCs w:val="28"/>
        </w:rPr>
        <w:t>Контроль за</w:t>
      </w:r>
      <w:proofErr w:type="gramEnd"/>
      <w:r w:rsidR="00B5456A" w:rsidRPr="00B86392">
        <w:rPr>
          <w:szCs w:val="28"/>
        </w:rPr>
        <w:t xml:space="preserve"> выполнением настоящего постановления</w:t>
      </w:r>
      <w:r w:rsidR="00B5456A">
        <w:rPr>
          <w:szCs w:val="28"/>
        </w:rPr>
        <w:t xml:space="preserve"> </w:t>
      </w:r>
      <w:r>
        <w:rPr>
          <w:szCs w:val="28"/>
        </w:rPr>
        <w:t>оставляю за собой</w:t>
      </w:r>
      <w:r w:rsidR="00B5456A">
        <w:rPr>
          <w:szCs w:val="28"/>
        </w:rPr>
        <w:t>.</w:t>
      </w:r>
    </w:p>
    <w:p w:rsidR="00B5456A" w:rsidRDefault="00B5456A" w:rsidP="00B5456A">
      <w:pPr>
        <w:spacing w:after="0" w:line="240" w:lineRule="auto"/>
        <w:jc w:val="both"/>
        <w:rPr>
          <w:rFonts w:eastAsia="Times New Roman"/>
          <w:szCs w:val="28"/>
          <w:lang w:eastAsia="ru-RU"/>
        </w:rPr>
      </w:pPr>
    </w:p>
    <w:p w:rsidR="00451028" w:rsidRDefault="00451028" w:rsidP="00B5456A">
      <w:pPr>
        <w:spacing w:after="0" w:line="240" w:lineRule="auto"/>
        <w:jc w:val="both"/>
        <w:rPr>
          <w:rFonts w:eastAsia="Times New Roman"/>
          <w:szCs w:val="28"/>
          <w:lang w:eastAsia="ru-RU"/>
        </w:rPr>
      </w:pPr>
    </w:p>
    <w:p w:rsidR="00376FCE" w:rsidRPr="00FD3B16" w:rsidRDefault="00376FCE"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rsidTr="00B5456A">
        <w:tc>
          <w:tcPr>
            <w:tcW w:w="7479" w:type="dxa"/>
          </w:tcPr>
          <w:p w:rsidR="00163B66" w:rsidRDefault="00163B66" w:rsidP="00A512D5">
            <w:pPr>
              <w:spacing w:after="0" w:line="240" w:lineRule="auto"/>
              <w:jc w:val="both"/>
              <w:rPr>
                <w:b/>
                <w:szCs w:val="28"/>
              </w:rPr>
            </w:pPr>
            <w:r>
              <w:rPr>
                <w:b/>
                <w:szCs w:val="28"/>
              </w:rPr>
              <w:t xml:space="preserve">Временно </w:t>
            </w:r>
            <w:proofErr w:type="gramStart"/>
            <w:r>
              <w:rPr>
                <w:b/>
                <w:szCs w:val="28"/>
              </w:rPr>
              <w:t>исполняющий</w:t>
            </w:r>
            <w:proofErr w:type="gramEnd"/>
            <w:r>
              <w:rPr>
                <w:b/>
                <w:szCs w:val="28"/>
              </w:rPr>
              <w:t xml:space="preserve"> полномочия</w:t>
            </w:r>
          </w:p>
          <w:p w:rsidR="00B5456A" w:rsidRPr="006C0762" w:rsidRDefault="00163B66" w:rsidP="00163B66">
            <w:pPr>
              <w:spacing w:after="0" w:line="240" w:lineRule="auto"/>
              <w:jc w:val="both"/>
              <w:rPr>
                <w:b/>
                <w:szCs w:val="28"/>
              </w:rPr>
            </w:pPr>
            <w:r>
              <w:rPr>
                <w:b/>
                <w:szCs w:val="28"/>
              </w:rPr>
              <w:t>г</w:t>
            </w:r>
            <w:r w:rsidR="00B5456A">
              <w:rPr>
                <w:b/>
                <w:szCs w:val="28"/>
              </w:rPr>
              <w:t>лав</w:t>
            </w:r>
            <w:r>
              <w:rPr>
                <w:b/>
                <w:szCs w:val="28"/>
              </w:rPr>
              <w:t>ы</w:t>
            </w:r>
            <w:r w:rsidR="00B5456A">
              <w:rPr>
                <w:b/>
                <w:szCs w:val="28"/>
              </w:rPr>
              <w:t xml:space="preserve"> администрации</w:t>
            </w:r>
            <w:r>
              <w:rPr>
                <w:b/>
                <w:szCs w:val="28"/>
              </w:rPr>
              <w:t xml:space="preserve"> </w:t>
            </w:r>
            <w:r w:rsidR="00B5456A">
              <w:rPr>
                <w:b/>
                <w:szCs w:val="28"/>
              </w:rPr>
              <w:t>города Мурманска</w:t>
            </w:r>
          </w:p>
        </w:tc>
        <w:tc>
          <w:tcPr>
            <w:tcW w:w="2268" w:type="dxa"/>
          </w:tcPr>
          <w:p w:rsidR="00873E06" w:rsidRDefault="00B5456A" w:rsidP="00D911E8">
            <w:pPr>
              <w:spacing w:after="0" w:line="240" w:lineRule="auto"/>
              <w:rPr>
                <w:b/>
                <w:szCs w:val="28"/>
              </w:rPr>
            </w:pPr>
            <w:r>
              <w:rPr>
                <w:b/>
                <w:szCs w:val="28"/>
              </w:rPr>
              <w:t xml:space="preserve"> </w:t>
            </w:r>
          </w:p>
          <w:p w:rsidR="00B5456A" w:rsidRPr="00B86392" w:rsidRDefault="00D8009D" w:rsidP="00336819">
            <w:pPr>
              <w:spacing w:after="0" w:line="240" w:lineRule="auto"/>
              <w:ind w:right="-108"/>
              <w:rPr>
                <w:b/>
                <w:szCs w:val="28"/>
              </w:rPr>
            </w:pPr>
            <w:r>
              <w:rPr>
                <w:b/>
                <w:szCs w:val="28"/>
              </w:rPr>
              <w:t xml:space="preserve">  </w:t>
            </w:r>
            <w:r w:rsidR="00336819">
              <w:rPr>
                <w:b/>
                <w:szCs w:val="28"/>
              </w:rPr>
              <w:t xml:space="preserve">      В.А. </w:t>
            </w:r>
            <w:proofErr w:type="spellStart"/>
            <w:r w:rsidR="00336819">
              <w:rPr>
                <w:b/>
                <w:szCs w:val="28"/>
              </w:rPr>
              <w:t>Доцник</w:t>
            </w:r>
            <w:proofErr w:type="spellEnd"/>
          </w:p>
        </w:tc>
      </w:tr>
    </w:tbl>
    <w:p w:rsidR="002D2654" w:rsidRDefault="002D2654" w:rsidP="00E86816">
      <w:pPr>
        <w:widowControl w:val="0"/>
        <w:autoSpaceDE w:val="0"/>
        <w:autoSpaceDN w:val="0"/>
        <w:spacing w:after="0" w:line="240" w:lineRule="auto"/>
        <w:rPr>
          <w:rFonts w:eastAsia="Times New Roman"/>
          <w:szCs w:val="28"/>
          <w:lang w:eastAsia="ru-RU"/>
        </w:rPr>
        <w:sectPr w:rsidR="002D2654" w:rsidSect="00E86816">
          <w:headerReference w:type="default" r:id="rId11"/>
          <w:footnotePr>
            <w:numRestart w:val="eachSect"/>
          </w:footnotePr>
          <w:pgSz w:w="11906" w:h="16838"/>
          <w:pgMar w:top="1134" w:right="567" w:bottom="1134" w:left="1701" w:header="709" w:footer="709" w:gutter="0"/>
          <w:cols w:space="708"/>
          <w:titlePg/>
          <w:docGrid w:linePitch="360"/>
        </w:sectPr>
      </w:pPr>
    </w:p>
    <w:tbl>
      <w:tblPr>
        <w:tblStyle w:val="af8"/>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536"/>
      </w:tblGrid>
      <w:tr w:rsidR="00336819" w:rsidTr="00A03CB1">
        <w:tc>
          <w:tcPr>
            <w:tcW w:w="10598" w:type="dxa"/>
          </w:tcPr>
          <w:p w:rsidR="00336819" w:rsidRDefault="00336819" w:rsidP="004300E4">
            <w:pPr>
              <w:spacing w:after="0" w:line="240" w:lineRule="auto"/>
              <w:rPr>
                <w:szCs w:val="28"/>
              </w:rPr>
            </w:pPr>
          </w:p>
        </w:tc>
        <w:tc>
          <w:tcPr>
            <w:tcW w:w="4536" w:type="dxa"/>
          </w:tcPr>
          <w:p w:rsidR="00336819" w:rsidRDefault="00336819" w:rsidP="004300E4">
            <w:pPr>
              <w:spacing w:after="0" w:line="240" w:lineRule="auto"/>
              <w:rPr>
                <w:szCs w:val="28"/>
              </w:rPr>
            </w:pPr>
            <w:r>
              <w:rPr>
                <w:szCs w:val="28"/>
              </w:rPr>
              <w:t xml:space="preserve">Приложение </w:t>
            </w:r>
          </w:p>
          <w:p w:rsidR="00336819" w:rsidRDefault="00336819" w:rsidP="004300E4">
            <w:pPr>
              <w:spacing w:after="0" w:line="240" w:lineRule="auto"/>
              <w:rPr>
                <w:szCs w:val="28"/>
              </w:rPr>
            </w:pPr>
            <w:r>
              <w:rPr>
                <w:szCs w:val="28"/>
              </w:rPr>
              <w:t xml:space="preserve">к постановлению администрации </w:t>
            </w:r>
          </w:p>
          <w:p w:rsidR="00336819" w:rsidRDefault="00336819" w:rsidP="004300E4">
            <w:pPr>
              <w:spacing w:after="0" w:line="240" w:lineRule="auto"/>
              <w:rPr>
                <w:szCs w:val="28"/>
              </w:rPr>
            </w:pPr>
            <w:r>
              <w:rPr>
                <w:szCs w:val="28"/>
              </w:rPr>
              <w:t xml:space="preserve">города Мурманска </w:t>
            </w:r>
          </w:p>
          <w:p w:rsidR="00336819" w:rsidRDefault="00336819" w:rsidP="004300E4">
            <w:pPr>
              <w:spacing w:after="0" w:line="240" w:lineRule="auto"/>
              <w:rPr>
                <w:szCs w:val="28"/>
              </w:rPr>
            </w:pPr>
            <w:r>
              <w:rPr>
                <w:szCs w:val="28"/>
              </w:rPr>
              <w:t>от__________№______</w:t>
            </w:r>
          </w:p>
        </w:tc>
      </w:tr>
    </w:tbl>
    <w:p w:rsidR="004300E4"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rsidR="004300E4" w:rsidRPr="000C404D"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 xml:space="preserve">Прогноз социально-экономического развития муниципального образования город Мурманск </w:t>
      </w:r>
    </w:p>
    <w:p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на среднесрочный период 202</w:t>
      </w:r>
      <w:r w:rsidR="00336819">
        <w:rPr>
          <w:rFonts w:eastAsia="Times New Roman"/>
          <w:bCs/>
          <w:color w:val="000000"/>
          <w:szCs w:val="28"/>
          <w:lang w:eastAsia="ru-RU"/>
        </w:rPr>
        <w:t>2</w:t>
      </w:r>
      <w:r w:rsidRPr="00C965D4">
        <w:rPr>
          <w:rFonts w:eastAsia="Times New Roman"/>
          <w:bCs/>
          <w:color w:val="000000"/>
          <w:szCs w:val="28"/>
          <w:lang w:eastAsia="ru-RU"/>
        </w:rPr>
        <w:t>-202</w:t>
      </w:r>
      <w:r w:rsidR="00336819">
        <w:rPr>
          <w:rFonts w:eastAsia="Times New Roman"/>
          <w:bCs/>
          <w:color w:val="000000"/>
          <w:szCs w:val="28"/>
          <w:lang w:eastAsia="ru-RU"/>
        </w:rPr>
        <w:t>6</w:t>
      </w:r>
      <w:r w:rsidRPr="00C965D4">
        <w:rPr>
          <w:rFonts w:eastAsia="Times New Roman"/>
          <w:bCs/>
          <w:color w:val="000000"/>
          <w:szCs w:val="28"/>
          <w:lang w:eastAsia="ru-RU"/>
        </w:rPr>
        <w:t xml:space="preserve"> годов,</w:t>
      </w:r>
    </w:p>
    <w:p w:rsidR="00336819" w:rsidRPr="00552145" w:rsidRDefault="00336819" w:rsidP="00336819">
      <w:pPr>
        <w:overflowPunct w:val="0"/>
        <w:autoSpaceDE w:val="0"/>
        <w:autoSpaceDN w:val="0"/>
        <w:adjustRightInd w:val="0"/>
        <w:spacing w:after="0" w:line="240" w:lineRule="auto"/>
        <w:ind w:firstLine="600"/>
        <w:rPr>
          <w:rFonts w:eastAsia="Times New Roman"/>
          <w:szCs w:val="28"/>
          <w:lang w:eastAsia="ru-RU"/>
        </w:rPr>
      </w:pPr>
    </w:p>
    <w:tbl>
      <w:tblPr>
        <w:tblW w:w="16018" w:type="dxa"/>
        <w:jc w:val="center"/>
        <w:tblLayout w:type="fixed"/>
        <w:tblCellMar>
          <w:left w:w="0" w:type="dxa"/>
          <w:right w:w="0" w:type="dxa"/>
        </w:tblCellMar>
        <w:tblLook w:val="04A0" w:firstRow="1" w:lastRow="0" w:firstColumn="1" w:lastColumn="0" w:noHBand="0" w:noVBand="1"/>
      </w:tblPr>
      <w:tblGrid>
        <w:gridCol w:w="2000"/>
        <w:gridCol w:w="977"/>
        <w:gridCol w:w="992"/>
        <w:gridCol w:w="993"/>
        <w:gridCol w:w="992"/>
        <w:gridCol w:w="992"/>
        <w:gridCol w:w="851"/>
        <w:gridCol w:w="1007"/>
        <w:gridCol w:w="977"/>
        <w:gridCol w:w="1008"/>
        <w:gridCol w:w="1118"/>
        <w:gridCol w:w="1134"/>
        <w:gridCol w:w="1134"/>
        <w:gridCol w:w="993"/>
        <w:gridCol w:w="850"/>
      </w:tblGrid>
      <w:tr w:rsidR="00336819" w:rsidRPr="00A03CB1" w:rsidTr="007314E4">
        <w:trPr>
          <w:trHeight w:val="285"/>
          <w:tblHeader/>
          <w:jc w:val="center"/>
        </w:trPr>
        <w:tc>
          <w:tcPr>
            <w:tcW w:w="20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336819" w:rsidRDefault="00336819" w:rsidP="007314E4">
            <w:pPr>
              <w:overflowPunct w:val="0"/>
              <w:autoSpaceDE w:val="0"/>
              <w:autoSpaceDN w:val="0"/>
              <w:adjustRightInd w:val="0"/>
              <w:spacing w:after="0" w:line="240" w:lineRule="auto"/>
              <w:jc w:val="center"/>
              <w:rPr>
                <w:rFonts w:eastAsia="Times New Roman"/>
                <w:sz w:val="20"/>
                <w:szCs w:val="20"/>
                <w:lang w:eastAsia="ru-RU"/>
              </w:rPr>
            </w:pPr>
          </w:p>
          <w:p w:rsidR="00336819" w:rsidRPr="00336819" w:rsidRDefault="00336819" w:rsidP="007314E4">
            <w:pPr>
              <w:overflowPunct w:val="0"/>
              <w:autoSpaceDE w:val="0"/>
              <w:autoSpaceDN w:val="0"/>
              <w:adjustRightInd w:val="0"/>
              <w:spacing w:after="0" w:line="240" w:lineRule="auto"/>
              <w:jc w:val="center"/>
              <w:rPr>
                <w:rFonts w:eastAsia="Times New Roman"/>
                <w:sz w:val="20"/>
                <w:szCs w:val="20"/>
                <w:lang w:eastAsia="ru-RU"/>
              </w:rPr>
            </w:pPr>
          </w:p>
          <w:p w:rsidR="00336819" w:rsidRPr="00A03CB1" w:rsidRDefault="00336819" w:rsidP="007314E4">
            <w:pPr>
              <w:overflowPunct w:val="0"/>
              <w:autoSpaceDE w:val="0"/>
              <w:autoSpaceDN w:val="0"/>
              <w:adjustRightInd w:val="0"/>
              <w:spacing w:after="0" w:line="240" w:lineRule="auto"/>
              <w:jc w:val="center"/>
              <w:rPr>
                <w:rFonts w:eastAsia="Arial Unicode MS"/>
                <w:sz w:val="20"/>
                <w:szCs w:val="20"/>
                <w:lang w:eastAsia="ru-RU"/>
              </w:rPr>
            </w:pPr>
            <w:r w:rsidRPr="00A03CB1">
              <w:rPr>
                <w:rFonts w:eastAsia="Times New Roman"/>
                <w:sz w:val="20"/>
                <w:szCs w:val="20"/>
                <w:lang w:eastAsia="ru-RU"/>
              </w:rPr>
              <w:t>Показатели</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p>
          <w:p w:rsidR="00336819" w:rsidRPr="00A03CB1" w:rsidRDefault="00336819" w:rsidP="007314E4">
            <w:pPr>
              <w:overflowPunct w:val="0"/>
              <w:autoSpaceDE w:val="0"/>
              <w:autoSpaceDN w:val="0"/>
              <w:adjustRightInd w:val="0"/>
              <w:spacing w:after="0" w:line="240" w:lineRule="auto"/>
              <w:jc w:val="center"/>
              <w:rPr>
                <w:rFonts w:eastAsia="Arial Unicode MS"/>
                <w:sz w:val="20"/>
                <w:szCs w:val="20"/>
                <w:lang w:eastAsia="ru-RU"/>
              </w:rPr>
            </w:pPr>
            <w:r w:rsidRPr="00A03CB1">
              <w:rPr>
                <w:rFonts w:eastAsia="Times New Roman"/>
                <w:sz w:val="20"/>
                <w:szCs w:val="20"/>
                <w:lang w:eastAsia="ru-RU"/>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Оценка</w:t>
            </w:r>
            <w:r w:rsidRPr="00A03CB1">
              <w:rPr>
                <w:rFonts w:eastAsia="Times New Roman"/>
                <w:sz w:val="20"/>
                <w:szCs w:val="20"/>
                <w:vertAlign w:val="superscript"/>
                <w:lang w:eastAsia="ru-RU"/>
              </w:rPr>
              <w:footnoteReference w:id="1"/>
            </w:r>
          </w:p>
        </w:tc>
        <w:tc>
          <w:tcPr>
            <w:tcW w:w="10064" w:type="dxa"/>
            <w:gridSpan w:val="10"/>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Прогноз</w:t>
            </w:r>
          </w:p>
        </w:tc>
      </w:tr>
      <w:tr w:rsidR="00336819" w:rsidRPr="00A03CB1" w:rsidTr="007314E4">
        <w:trPr>
          <w:trHeight w:val="137"/>
          <w:tblHeader/>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Arial Unicode MS"/>
                <w:sz w:val="20"/>
                <w:szCs w:val="20"/>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Arial Unicode MS"/>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2019 г.</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2020 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2021 г.</w:t>
            </w:r>
          </w:p>
        </w:tc>
        <w:tc>
          <w:tcPr>
            <w:tcW w:w="1843" w:type="dxa"/>
            <w:gridSpan w:val="2"/>
            <w:tcBorders>
              <w:top w:val="single" w:sz="4" w:space="0" w:color="auto"/>
              <w:left w:val="single" w:sz="4" w:space="0" w:color="auto"/>
              <w:bottom w:val="nil"/>
              <w:right w:val="single" w:sz="4" w:space="0" w:color="auto"/>
            </w:tcBorders>
            <w:vAlign w:val="center"/>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2022 г.</w:t>
            </w:r>
          </w:p>
        </w:tc>
        <w:tc>
          <w:tcPr>
            <w:tcW w:w="1984" w:type="dxa"/>
            <w:gridSpan w:val="2"/>
            <w:tcBorders>
              <w:top w:val="single" w:sz="4" w:space="0" w:color="auto"/>
              <w:left w:val="single" w:sz="4" w:space="0" w:color="auto"/>
              <w:bottom w:val="nil"/>
              <w:right w:val="single" w:sz="4" w:space="0" w:color="auto"/>
            </w:tcBorders>
            <w:vAlign w:val="center"/>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2023 г.</w:t>
            </w:r>
          </w:p>
        </w:tc>
        <w:tc>
          <w:tcPr>
            <w:tcW w:w="2126" w:type="dxa"/>
            <w:gridSpan w:val="2"/>
            <w:tcBorders>
              <w:top w:val="single" w:sz="4" w:space="0" w:color="auto"/>
              <w:left w:val="single" w:sz="4" w:space="0" w:color="auto"/>
              <w:bottom w:val="nil"/>
              <w:right w:val="single" w:sz="4" w:space="0" w:color="auto"/>
            </w:tcBorders>
            <w:vAlign w:val="center"/>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2024 г.</w:t>
            </w:r>
          </w:p>
        </w:tc>
        <w:tc>
          <w:tcPr>
            <w:tcW w:w="2268" w:type="dxa"/>
            <w:gridSpan w:val="2"/>
            <w:tcBorders>
              <w:top w:val="single" w:sz="4" w:space="0" w:color="auto"/>
              <w:left w:val="single" w:sz="4" w:space="0" w:color="auto"/>
              <w:bottom w:val="nil"/>
              <w:right w:val="single" w:sz="4" w:space="0" w:color="auto"/>
            </w:tcBorders>
            <w:vAlign w:val="center"/>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2025 г.</w:t>
            </w:r>
          </w:p>
        </w:tc>
        <w:tc>
          <w:tcPr>
            <w:tcW w:w="1843" w:type="dxa"/>
            <w:gridSpan w:val="2"/>
            <w:tcBorders>
              <w:top w:val="single" w:sz="4" w:space="0" w:color="auto"/>
              <w:left w:val="single" w:sz="4" w:space="0" w:color="auto"/>
              <w:bottom w:val="nil"/>
              <w:right w:val="single" w:sz="4" w:space="0" w:color="auto"/>
            </w:tcBorders>
            <w:vAlign w:val="center"/>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2026 г.</w:t>
            </w:r>
          </w:p>
        </w:tc>
      </w:tr>
      <w:tr w:rsidR="00336819" w:rsidRPr="00A03CB1" w:rsidTr="007314E4">
        <w:trPr>
          <w:trHeight w:val="338"/>
          <w:tblHeader/>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Arial Unicode MS"/>
                <w:sz w:val="20"/>
                <w:szCs w:val="20"/>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7314E4">
            <w:pPr>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r w:rsidRPr="00A03CB1">
              <w:rPr>
                <w:rFonts w:eastAsia="Times New Roman"/>
                <w:sz w:val="20"/>
                <w:szCs w:val="20"/>
                <w:vertAlign w:val="superscript"/>
                <w:lang w:eastAsia="ru-RU"/>
              </w:rPr>
              <w:footnoteReference w:id="2"/>
            </w:r>
          </w:p>
        </w:tc>
        <w:tc>
          <w:tcPr>
            <w:tcW w:w="851"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r w:rsidRPr="00A03CB1">
              <w:rPr>
                <w:rFonts w:eastAsia="Times New Roman"/>
                <w:sz w:val="20"/>
                <w:szCs w:val="20"/>
                <w:vertAlign w:val="superscript"/>
                <w:lang w:eastAsia="ru-RU"/>
              </w:rPr>
              <w:footnoteReference w:id="3"/>
            </w:r>
          </w:p>
        </w:tc>
        <w:tc>
          <w:tcPr>
            <w:tcW w:w="1007"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 xml:space="preserve">1-й </w:t>
            </w:r>
            <w:r w:rsidRPr="00A03CB1">
              <w:rPr>
                <w:rFonts w:eastAsia="Times New Roman"/>
                <w:sz w:val="20"/>
                <w:szCs w:val="20"/>
                <w:lang w:eastAsia="ru-RU"/>
              </w:rPr>
              <w:br/>
              <w:t>вариант</w:t>
            </w:r>
          </w:p>
        </w:tc>
        <w:tc>
          <w:tcPr>
            <w:tcW w:w="977"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p>
        </w:tc>
        <w:tc>
          <w:tcPr>
            <w:tcW w:w="1008"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p>
        </w:tc>
        <w:tc>
          <w:tcPr>
            <w:tcW w:w="1118"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 xml:space="preserve">2-й </w:t>
            </w:r>
            <w:r w:rsidRPr="00A03CB1">
              <w:rPr>
                <w:rFonts w:eastAsia="Times New Roman"/>
                <w:sz w:val="20"/>
                <w:szCs w:val="20"/>
                <w:lang w:eastAsia="ru-RU"/>
              </w:rPr>
              <w:br/>
              <w:t>вариант</w:t>
            </w:r>
          </w:p>
        </w:tc>
        <w:tc>
          <w:tcPr>
            <w:tcW w:w="1134"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p>
        </w:tc>
        <w:tc>
          <w:tcPr>
            <w:tcW w:w="1134"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p>
        </w:tc>
        <w:tc>
          <w:tcPr>
            <w:tcW w:w="993"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p>
        </w:tc>
        <w:tc>
          <w:tcPr>
            <w:tcW w:w="850"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2-й</w:t>
            </w:r>
          </w:p>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вариант</w:t>
            </w:r>
          </w:p>
        </w:tc>
      </w:tr>
      <w:tr w:rsidR="00336819" w:rsidRPr="00A03CB1" w:rsidTr="007314E4">
        <w:trPr>
          <w:trHeight w:val="133"/>
          <w:tblHeader/>
          <w:jc w:val="center"/>
        </w:trPr>
        <w:tc>
          <w:tcPr>
            <w:tcW w:w="200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w:t>
            </w:r>
          </w:p>
        </w:tc>
        <w:tc>
          <w:tcPr>
            <w:tcW w:w="977"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2</w:t>
            </w:r>
          </w:p>
        </w:tc>
        <w:tc>
          <w:tcPr>
            <w:tcW w:w="992"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3</w:t>
            </w:r>
          </w:p>
        </w:tc>
        <w:tc>
          <w:tcPr>
            <w:tcW w:w="993"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4</w:t>
            </w:r>
          </w:p>
        </w:tc>
        <w:tc>
          <w:tcPr>
            <w:tcW w:w="992"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5</w:t>
            </w:r>
          </w:p>
        </w:tc>
        <w:tc>
          <w:tcPr>
            <w:tcW w:w="992"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6</w:t>
            </w:r>
          </w:p>
        </w:tc>
        <w:tc>
          <w:tcPr>
            <w:tcW w:w="851"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7</w:t>
            </w:r>
          </w:p>
        </w:tc>
        <w:tc>
          <w:tcPr>
            <w:tcW w:w="1007"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8</w:t>
            </w:r>
          </w:p>
        </w:tc>
        <w:tc>
          <w:tcPr>
            <w:tcW w:w="977"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9</w:t>
            </w:r>
          </w:p>
        </w:tc>
        <w:tc>
          <w:tcPr>
            <w:tcW w:w="1008"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10</w:t>
            </w:r>
          </w:p>
        </w:tc>
        <w:tc>
          <w:tcPr>
            <w:tcW w:w="1118"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11</w:t>
            </w:r>
          </w:p>
        </w:tc>
        <w:tc>
          <w:tcPr>
            <w:tcW w:w="1134"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12</w:t>
            </w:r>
          </w:p>
        </w:tc>
        <w:tc>
          <w:tcPr>
            <w:tcW w:w="1134"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13</w:t>
            </w:r>
          </w:p>
        </w:tc>
        <w:tc>
          <w:tcPr>
            <w:tcW w:w="993"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14</w:t>
            </w:r>
          </w:p>
        </w:tc>
        <w:tc>
          <w:tcPr>
            <w:tcW w:w="850" w:type="dxa"/>
            <w:tcBorders>
              <w:top w:val="single" w:sz="4" w:space="0" w:color="auto"/>
              <w:left w:val="single" w:sz="4" w:space="0" w:color="auto"/>
              <w:bottom w:val="nil"/>
              <w:right w:val="single" w:sz="4" w:space="0" w:color="auto"/>
            </w:tcBorders>
            <w:vAlign w:val="center"/>
            <w:hideMark/>
          </w:tcPr>
          <w:p w:rsidR="00336819" w:rsidRPr="00A03CB1" w:rsidRDefault="00336819" w:rsidP="007314E4">
            <w:pPr>
              <w:overflowPunct w:val="0"/>
              <w:autoSpaceDE w:val="0"/>
              <w:autoSpaceDN w:val="0"/>
              <w:adjustRightInd w:val="0"/>
              <w:spacing w:after="0" w:line="240" w:lineRule="auto"/>
              <w:jc w:val="center"/>
              <w:rPr>
                <w:rFonts w:eastAsia="Times New Roman"/>
                <w:sz w:val="20"/>
                <w:szCs w:val="20"/>
                <w:lang w:eastAsia="ru-RU"/>
              </w:rPr>
            </w:pPr>
            <w:r w:rsidRPr="00A03CB1">
              <w:rPr>
                <w:rFonts w:eastAsia="Times New Roman"/>
                <w:sz w:val="20"/>
                <w:szCs w:val="20"/>
                <w:lang w:eastAsia="ru-RU"/>
              </w:rPr>
              <w:t>15</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overflowPunct w:val="0"/>
              <w:autoSpaceDE w:val="0"/>
              <w:autoSpaceDN w:val="0"/>
              <w:adjustRightInd w:val="0"/>
              <w:spacing w:after="0" w:line="240" w:lineRule="auto"/>
              <w:rPr>
                <w:rFonts w:eastAsia="Arial Unicode MS"/>
                <w:bCs/>
                <w:sz w:val="20"/>
                <w:szCs w:val="20"/>
                <w:lang w:eastAsia="ru-RU"/>
              </w:rPr>
            </w:pPr>
            <w:r w:rsidRPr="00A03CB1">
              <w:rPr>
                <w:rFonts w:eastAsia="Times New Roman"/>
                <w:bCs/>
                <w:sz w:val="20"/>
                <w:szCs w:val="20"/>
                <w:lang w:eastAsia="ru-RU"/>
              </w:rPr>
              <w:t>1. Демографические показатели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Arial Unicode MS"/>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881"/>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r w:rsidRPr="00A03CB1">
              <w:rPr>
                <w:rFonts w:eastAsia="Times New Roman"/>
                <w:bCs/>
                <w:sz w:val="20"/>
                <w:szCs w:val="20"/>
                <w:lang w:eastAsia="ru-RU"/>
              </w:rPr>
              <w:t>Численность населения (среднегодовая) - всего</w:t>
            </w:r>
            <w:r w:rsidRPr="00A03CB1">
              <w:rPr>
                <w:rFonts w:eastAsia="Times New Roman"/>
                <w:b/>
                <w:bCs/>
                <w:sz w:val="20"/>
                <w:szCs w:val="20"/>
                <w:lang w:eastAsia="ru-RU"/>
              </w:rPr>
              <w:t> </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bCs/>
                <w:sz w:val="20"/>
                <w:szCs w:val="20"/>
                <w:lang w:eastAsia="ru-RU"/>
              </w:rPr>
              <w:t>тыс.</w:t>
            </w:r>
          </w:p>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r w:rsidRPr="00A03CB1">
              <w:rPr>
                <w:rFonts w:eastAsia="Times New Roman"/>
                <w:bC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290,16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285,35</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280,62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276,51</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276,55</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272,98</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273,01</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269,83</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269,88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267,00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267,04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264,48</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264,53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r w:rsidRPr="00A03CB1">
              <w:rPr>
                <w:rFonts w:eastAsia="Times New Roman"/>
                <w:bCs/>
                <w:sz w:val="20"/>
                <w:szCs w:val="20"/>
                <w:lang w:eastAsia="ru-RU"/>
              </w:rPr>
              <w:t xml:space="preserve">в % к </w:t>
            </w:r>
            <w:proofErr w:type="spellStart"/>
            <w:proofErr w:type="gramStart"/>
            <w:r w:rsidRPr="00A03CB1">
              <w:rPr>
                <w:rFonts w:eastAsia="Times New Roman"/>
                <w:bCs/>
                <w:sz w:val="20"/>
                <w:szCs w:val="20"/>
                <w:lang w:eastAsia="ru-RU"/>
              </w:rPr>
              <w:t>предыду-щему</w:t>
            </w:r>
            <w:proofErr w:type="spellEnd"/>
            <w:proofErr w:type="gramEnd"/>
            <w:r w:rsidRPr="00A03CB1">
              <w:rPr>
                <w:rFonts w:eastAsia="Times New Roman"/>
                <w:bCs/>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98,72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98,34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98,34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98,54</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98,55</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98,72</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0,99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98,85</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0,99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98,95</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0,99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99,06</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99,07</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Общий коэффициент рождаемости</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8,93</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9,07</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9,38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9,43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9,69</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9,64</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9,99</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10,04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10,34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10,59</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10,64</w:t>
            </w:r>
          </w:p>
        </w:tc>
      </w:tr>
      <w:tr w:rsidR="00336819" w:rsidRPr="00A03CB1" w:rsidTr="00336819">
        <w:trPr>
          <w:trHeight w:val="440"/>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keepNext/>
              <w:overflowPunct w:val="0"/>
              <w:autoSpaceDE w:val="0"/>
              <w:autoSpaceDN w:val="0"/>
              <w:adjustRightInd w:val="0"/>
              <w:spacing w:after="0" w:line="240" w:lineRule="auto"/>
              <w:outlineLvl w:val="4"/>
              <w:rPr>
                <w:rFonts w:eastAsia="Arial Unicode MS"/>
                <w:bCs/>
                <w:sz w:val="20"/>
                <w:szCs w:val="20"/>
                <w:lang w:eastAsia="ru-RU"/>
              </w:rPr>
            </w:pPr>
            <w:r w:rsidRPr="00A03CB1">
              <w:rPr>
                <w:rFonts w:eastAsia="Times New Roman"/>
                <w:sz w:val="20"/>
                <w:szCs w:val="20"/>
                <w:lang w:eastAsia="ru-RU"/>
              </w:rPr>
              <w:t>Общий коэффициент смертности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r w:rsidRPr="00A03CB1">
              <w:rPr>
                <w:rFonts w:eastAsia="Times New Roman"/>
                <w:sz w:val="20"/>
                <w:szCs w:val="20"/>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11,82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lang w:val="en-US"/>
              </w:rPr>
            </w:pPr>
            <w:r w:rsidRPr="00A03CB1">
              <w:rPr>
                <w:color w:val="000000"/>
                <w:sz w:val="20"/>
                <w:szCs w:val="20"/>
              </w:rPr>
              <w:t>14,6</w:t>
            </w:r>
            <w:r w:rsidRPr="00A03CB1">
              <w:rPr>
                <w:color w:val="000000"/>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15,21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13,89</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13,85</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13,37</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13,33</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13,41</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13,36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13,43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13,38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13,43</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13,39</w:t>
            </w:r>
          </w:p>
        </w:tc>
      </w:tr>
      <w:tr w:rsidR="00336819" w:rsidRPr="00A03CB1" w:rsidTr="00336819">
        <w:trPr>
          <w:trHeight w:val="648"/>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r w:rsidRPr="00A03CB1">
              <w:rPr>
                <w:rFonts w:eastAsia="Times New Roman"/>
                <w:sz w:val="20"/>
                <w:szCs w:val="20"/>
                <w:lang w:eastAsia="ru-RU"/>
              </w:rPr>
              <w:t>Коэффициент естественного прироста (убыли)</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Arial Unicode MS"/>
                <w:sz w:val="20"/>
                <w:szCs w:val="20"/>
                <w:lang w:eastAsia="ru-RU"/>
              </w:rPr>
            </w:pPr>
            <w:r w:rsidRPr="00A03CB1">
              <w:rPr>
                <w:rFonts w:eastAsia="Times New Roman"/>
                <w:sz w:val="20"/>
                <w:szCs w:val="20"/>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-2,93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lang w:val="en-US"/>
              </w:rPr>
            </w:pPr>
            <w:r w:rsidRPr="00A03CB1">
              <w:rPr>
                <w:color w:val="000000"/>
                <w:sz w:val="20"/>
                <w:szCs w:val="20"/>
              </w:rPr>
              <w:t>-5,</w:t>
            </w:r>
            <w:r w:rsidRPr="00A03CB1">
              <w:rPr>
                <w:color w:val="000000"/>
                <w:sz w:val="20"/>
                <w:szCs w:val="20"/>
                <w:lang w:val="en-US"/>
              </w:rPr>
              <w:t>64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-6,14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-4,51</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-4,42</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-3,68</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-3,41</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-3,32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-2,84</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-2,75</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Коэффициент миграционного прироста (убыли)</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-12,99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r w:rsidRPr="00A03CB1">
              <w:rPr>
                <w:color w:val="000000"/>
                <w:sz w:val="20"/>
                <w:szCs w:val="20"/>
                <w:lang w:val="en-US"/>
              </w:rPr>
              <w:t>11</w:t>
            </w:r>
            <w:r w:rsidRPr="00A03CB1">
              <w:rPr>
                <w:color w:val="000000"/>
                <w:sz w:val="20"/>
                <w:szCs w:val="20"/>
              </w:rPr>
              <w:t>,90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-9,10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-8,88</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-8,41</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-7,67</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-7,44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-6,89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-6,66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-6,07</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-5,84</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2. Производство товаров и услуг</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36819" w:rsidRPr="00A03CB1" w:rsidRDefault="00336819" w:rsidP="00336819">
            <w:pPr>
              <w:rPr>
                <w:color w:val="000000"/>
                <w:sz w:val="20"/>
                <w:szCs w:val="20"/>
              </w:rPr>
            </w:pPr>
            <w:r w:rsidRPr="00A03CB1">
              <w:rPr>
                <w:color w:val="000000"/>
                <w:sz w:val="20"/>
                <w:szCs w:val="20"/>
              </w:rPr>
              <w:t>116 095,3</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36819" w:rsidRPr="00A03CB1" w:rsidRDefault="00336819" w:rsidP="00336819">
            <w:pPr>
              <w:rPr>
                <w:color w:val="000000"/>
                <w:sz w:val="20"/>
                <w:szCs w:val="20"/>
              </w:rPr>
            </w:pPr>
            <w:r w:rsidRPr="00A03CB1">
              <w:rPr>
                <w:color w:val="000000"/>
                <w:sz w:val="20"/>
                <w:szCs w:val="20"/>
              </w:rPr>
              <w:t>117 864,6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135 283,7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142 882,6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146 265,3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147 926,9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151 681,9</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154 985,1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160 671,2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165 797,2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173 831,7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176 815,4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186 750,9</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Темп роста промышленного производства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114,8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108,1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103,5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103,7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104,8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6819" w:rsidRPr="00A03CB1" w:rsidRDefault="00336819" w:rsidP="00336819">
            <w:pPr>
              <w:rPr>
                <w:color w:val="000000"/>
                <w:sz w:val="20"/>
                <w:szCs w:val="20"/>
              </w:rPr>
            </w:pPr>
            <w:r w:rsidRPr="00A03CB1">
              <w:rPr>
                <w:color w:val="000000"/>
                <w:sz w:val="20"/>
                <w:szCs w:val="20"/>
              </w:rPr>
              <w:t>107,4</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в том числе:</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Раздел C: Обрабатывающие производства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94 399,0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97 483,4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114 085,5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121 397,9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124 535,3</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125 865,6</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129 250,2</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132 318,5</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137 445,6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142 005,0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149 319,5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151 896,1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160 943,1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Темп роста – Раздел C: Обрабатывающие производства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113,6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117,0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106,4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109,2</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103,7</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103,8</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105,1</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819" w:rsidRPr="00A03CB1" w:rsidRDefault="00336819" w:rsidP="00336819">
            <w:pPr>
              <w:rPr>
                <w:color w:val="000000"/>
                <w:sz w:val="20"/>
                <w:szCs w:val="20"/>
              </w:rPr>
            </w:pPr>
            <w:r w:rsidRPr="00A03CB1">
              <w:rPr>
                <w:color w:val="000000"/>
                <w:sz w:val="20"/>
                <w:szCs w:val="20"/>
              </w:rPr>
              <w:t>107,8</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Раздел D: Обеспечение электрической энергией, газом и </w:t>
            </w:r>
            <w:r w:rsidRPr="00A03CB1">
              <w:rPr>
                <w:rFonts w:eastAsia="Times New Roman"/>
                <w:sz w:val="20"/>
                <w:szCs w:val="20"/>
                <w:lang w:eastAsia="ru-RU"/>
              </w:rPr>
              <w:lastRenderedPageBreak/>
              <w:t>паром; кондиционирование воздуха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 xml:space="preserve">млн. рублей в ценах </w:t>
            </w:r>
            <w:proofErr w:type="spellStart"/>
            <w:proofErr w:type="gramStart"/>
            <w:r w:rsidRPr="00A03CB1">
              <w:rPr>
                <w:rFonts w:eastAsia="Times New Roman"/>
                <w:sz w:val="20"/>
                <w:szCs w:val="20"/>
                <w:lang w:eastAsia="ru-RU"/>
              </w:rPr>
              <w:t>соответст-</w:t>
            </w:r>
            <w:r w:rsidRPr="00A03CB1">
              <w:rPr>
                <w:rFonts w:eastAsia="Times New Roman"/>
                <w:sz w:val="20"/>
                <w:szCs w:val="20"/>
                <w:lang w:eastAsia="ru-RU"/>
              </w:rPr>
              <w:lastRenderedPageBreak/>
              <w:t>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lastRenderedPageBreak/>
              <w:t>11 272,5</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10 587,6</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10 785,7</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10 773,7</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10 926,2</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10 935,9</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11 134,8</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11 067,3</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11 324,9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11 671,1</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11 989,3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12 259,4</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12 655,3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Темп роста производства - Раздел D: Обеспечение электрической энергией, газом и паром; кондиционирование воздуха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93,9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99,9</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101,2</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105,6</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Раздел E: Водоснабжение; водоотведение, организация сбора и утилизации отходов, деятельность по ликвидации загрязнений</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4 366,4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5 247,4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5 457,7</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5 681,7</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5 709,2</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5 914,9</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5 960,9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6 157,6</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6 223,7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6 416,7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6 536,8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6 686,7</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6 872,1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Темп роста производства – Раздел E: Водоснабжение; водоотведение, организация сбора и утилизации отходов, деятельность по ликвидации загрязнений</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109,6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120,2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104,1</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104,6</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104,2</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104,5</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104,2</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104,5</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3. Рынок товаров и услуг</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Оборот розничной торговли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w:t>
            </w:r>
            <w:r w:rsidRPr="00A03CB1">
              <w:rPr>
                <w:rFonts w:eastAsia="Times New Roman"/>
                <w:sz w:val="20"/>
                <w:szCs w:val="20"/>
                <w:lang w:eastAsia="ru-RU"/>
              </w:rPr>
              <w:lastRenderedPageBreak/>
              <w:t>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lastRenderedPageBreak/>
              <w:t>41 547,6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55 650,8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57 842,1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61 410,4</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61 535,9</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65 132,5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65 399,9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69 014,3</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69 573,0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72 777,9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74 083,3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76 582,4</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78 653,5</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 xml:space="preserve">Индекс физического объема оборота розничной торговли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128,7</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101,5</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101,3</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101,8</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101,3</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100,6</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101,5</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Объем платных услуг населению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24 731,2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27 081,2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30 620,4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32 151,4</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32 453,5</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33 878,0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34 463,3</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35 697,4</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36 597,7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37 614,4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38 864,2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39 246,5</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40 870,7</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Индекс физического объема платных услуг населению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99,98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107,25</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108,20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102,1</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102,7</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102,6</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103,0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102,6</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103,0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101,3</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Обеспеченность населения торговыми площадями</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roofErr w:type="spellStart"/>
            <w:r w:rsidRPr="00A03CB1">
              <w:rPr>
                <w:rFonts w:eastAsia="Times New Roman"/>
                <w:sz w:val="20"/>
                <w:szCs w:val="20"/>
                <w:lang w:eastAsia="ru-RU"/>
              </w:rPr>
              <w:t>кв</w:t>
            </w:r>
            <w:proofErr w:type="gramStart"/>
            <w:r w:rsidRPr="00A03CB1">
              <w:rPr>
                <w:rFonts w:eastAsia="Times New Roman"/>
                <w:sz w:val="20"/>
                <w:szCs w:val="20"/>
                <w:lang w:eastAsia="ru-RU"/>
              </w:rPr>
              <w:t>.м</w:t>
            </w:r>
            <w:proofErr w:type="spellEnd"/>
            <w:proofErr w:type="gramEnd"/>
            <w:r w:rsidRPr="00A03CB1">
              <w:rPr>
                <w:rFonts w:eastAsia="Times New Roman"/>
                <w:sz w:val="20"/>
                <w:szCs w:val="20"/>
                <w:lang w:eastAsia="ru-RU"/>
              </w:rPr>
              <w:t xml:space="preserve"> на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1 073,9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1 059,4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1 060,0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1 174,5</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1 186,1</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1 195,7</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1 207,5</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1 215,6</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1 227,6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1 234,7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1 244,4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1 250,2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1 260,0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4. Малое и среднее предпринимательство</w:t>
            </w:r>
            <w:r w:rsidRPr="00A03CB1">
              <w:rPr>
                <w:rFonts w:eastAsia="Times New Roman"/>
                <w:sz w:val="20"/>
                <w:szCs w:val="20"/>
                <w:lang w:eastAsia="ru-RU"/>
              </w:rPr>
              <w:footnoteReference w:id="4"/>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Количество малых предприятий – всего по состоянию на конец года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7 258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6 767</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6 774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6 909</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6 977</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7 047</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7 186</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7 188</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7 402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7 332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7 624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7 479</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7 853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28 306*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26 391*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26 418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26 946</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27 210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27 485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28 027</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28 035</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28 867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28 595</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29 733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29 167</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30 625</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Численность индивидуальных предпринимателей - по состоянию на конец года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7 625</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7 214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7 503</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7 578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7 653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7 653</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7 806</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7 730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7 962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7 807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7 970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7 807</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8 049</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Среднесписочная численность работников индивидуальных предпринимателей</w:t>
            </w:r>
            <w:r w:rsidRPr="00A03CB1">
              <w:rPr>
                <w:rStyle w:val="af6"/>
                <w:rFonts w:eastAsia="Times New Roman"/>
                <w:sz w:val="20"/>
                <w:szCs w:val="20"/>
                <w:vertAlign w:val="baseline"/>
                <w:lang w:eastAsia="ru-RU"/>
              </w:rPr>
              <w:footnoteReference w:id="5"/>
            </w:r>
            <w:r w:rsidRPr="00A03CB1">
              <w:rPr>
                <w:rFonts w:eastAsia="Times New Roman"/>
                <w:sz w:val="20"/>
                <w:szCs w:val="20"/>
                <w:lang w:eastAsia="ru-RU"/>
              </w:rPr>
              <w:t xml:space="preserve">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Количество средних предприятий – всего</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Среднесписочная численность работников (без внешних совместителей) по средним предприятиям - всего</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2 486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3 164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3 390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3 390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3 503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3 390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3 503</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3 503</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3 616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3 503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3 616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3 616</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3 729</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5. Инвестиции и строительство</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Объем инвестиций в основной капитал (за исключением бюджетных средств) </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25 137,3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31 026,9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33 645,9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38 173,6</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39 806,5</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42 655,5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43 247,9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44 886,1</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47 613,9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47 567,4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51 536,8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49 346,4</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53 934,0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Объем инвестиций (в основной капитал) за счет всех источников финансирования - всего</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w:t>
            </w:r>
            <w:r w:rsidRPr="00A03CB1">
              <w:rPr>
                <w:rFonts w:eastAsia="Times New Roman"/>
                <w:sz w:val="20"/>
                <w:szCs w:val="20"/>
                <w:lang w:eastAsia="ru-RU"/>
              </w:rPr>
              <w:lastRenderedPageBreak/>
              <w:t>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lastRenderedPageBreak/>
              <w:t>67 304,3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69 842,1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73 753,0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79 073,8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82 005,9</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84 721,5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86 911,5</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87 835,0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91 637,6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91 353,1</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95 332,4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93 800,2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98 398,2</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Объем инвестиций (в основной капитал) за счет субъектов малого и среднего предпринимательства - всего</w:t>
            </w:r>
            <w:r w:rsidRPr="00A03CB1">
              <w:rPr>
                <w:rFonts w:eastAsia="Times New Roman"/>
                <w:sz w:val="20"/>
                <w:szCs w:val="20"/>
                <w:lang w:eastAsia="ru-RU"/>
              </w:rPr>
              <w:footnoteReference w:id="6"/>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p w:rsidR="00336819" w:rsidRPr="00A03CB1" w:rsidRDefault="00336819" w:rsidP="00336819">
            <w:pPr>
              <w:rPr>
                <w:color w:val="000000"/>
                <w:sz w:val="20"/>
                <w:szCs w:val="20"/>
              </w:rPr>
            </w:pPr>
            <w:r w:rsidRPr="00A03CB1">
              <w:rPr>
                <w:color w:val="000000"/>
                <w:sz w:val="20"/>
                <w:szCs w:val="20"/>
              </w:rPr>
              <w:t>-</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Индекс физического объема за счет всех источников финансирования - всего</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 в </w:t>
            </w:r>
            <w:proofErr w:type="spellStart"/>
            <w:r w:rsidRPr="00A03CB1">
              <w:rPr>
                <w:rFonts w:eastAsia="Times New Roman"/>
                <w:sz w:val="20"/>
                <w:szCs w:val="20"/>
                <w:lang w:eastAsia="ru-RU"/>
              </w:rPr>
              <w:t>сопоста-вимых</w:t>
            </w:r>
            <w:proofErr w:type="spellEnd"/>
            <w:r w:rsidRPr="00A03CB1">
              <w:rPr>
                <w:rFonts w:eastAsia="Times New Roman"/>
                <w:sz w:val="20"/>
                <w:szCs w:val="20"/>
                <w:lang w:eastAsia="ru-RU"/>
              </w:rPr>
              <w:t xml:space="preserve"> ценах</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85,7</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100,5</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101,7</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105,6</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101,6</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100,5</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98,3</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Индекс-дефлятор</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106,8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105,4</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105,5</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104,3</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104,3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Инвестиции в основной капитал  по источникам финансирования:</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собственные средства предприятий</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18 071,4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23 998,3</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31 252,4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26 930,0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27 619,2</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28 755,0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29 754,0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31 117,0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32 500,0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32 650,0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34 125,0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33 629,5</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35 660,6</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привлеченные средства: из них:</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49 232,9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45 843,8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42 500,6</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52 143,8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54 386,7</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55 966,5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57 157,5</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56 718,0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59 137,6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58 703,1</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61 207,4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60 170,7</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62 737,6</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бюджетные средства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42 167,0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38 815,2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40 107,1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40 900,2</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42 199,4</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42 066,0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43 663,6</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42 948,9</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44 023,7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43 785,7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43 795,6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44 453,8</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44 464,2</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индекс физического объема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в % к </w:t>
            </w:r>
            <w:proofErr w:type="spellStart"/>
            <w:proofErr w:type="gramStart"/>
            <w:r w:rsidRPr="00A03CB1">
              <w:rPr>
                <w:rFonts w:eastAsia="Times New Roman"/>
                <w:sz w:val="20"/>
                <w:szCs w:val="20"/>
                <w:lang w:eastAsia="ru-RU"/>
              </w:rPr>
              <w:t>предыду-щему</w:t>
            </w:r>
            <w:proofErr w:type="spellEnd"/>
            <w:proofErr w:type="gramEnd"/>
            <w:r w:rsidRPr="00A03CB1">
              <w:rPr>
                <w:rFonts w:eastAsia="Times New Roman"/>
                <w:sz w:val="20"/>
                <w:szCs w:val="20"/>
                <w:lang w:eastAsia="ru-RU"/>
              </w:rPr>
              <w:t xml:space="preserve"> году в </w:t>
            </w:r>
            <w:proofErr w:type="spellStart"/>
            <w:r w:rsidRPr="00A03CB1">
              <w:rPr>
                <w:rFonts w:eastAsia="Times New Roman"/>
                <w:sz w:val="20"/>
                <w:szCs w:val="20"/>
                <w:lang w:eastAsia="ru-RU"/>
              </w:rPr>
              <w:t>сопоста-вимых</w:t>
            </w:r>
            <w:proofErr w:type="spellEnd"/>
            <w:r w:rsidRPr="00A03CB1">
              <w:rPr>
                <w:rFonts w:eastAsia="Times New Roman"/>
                <w:sz w:val="20"/>
                <w:szCs w:val="20"/>
                <w:lang w:eastAsia="ru-RU"/>
              </w:rPr>
              <w:t xml:space="preserve"> ценах</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108,5</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86,2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98,3</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96,8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99,9</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98,1</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96,8</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96,6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94,3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97,3</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97,3</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из них:</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средства федерального бюджета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39 651,6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36 111,8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37 412,9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38 170,8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39 134,6</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39 746,0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40 824,4</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40 939,2</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41 868,0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41 757,8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41 705,4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42 384,2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42 331,0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средства бюджета субъекта Федерации</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roofErr w:type="spellStart"/>
            <w:r w:rsidRPr="00A03CB1">
              <w:rPr>
                <w:rFonts w:eastAsia="Times New Roman"/>
                <w:sz w:val="20"/>
                <w:szCs w:val="20"/>
                <w:lang w:eastAsia="ru-RU"/>
              </w:rPr>
              <w:t>млн</w:t>
            </w:r>
            <w:proofErr w:type="gramStart"/>
            <w:r w:rsidRPr="00A03CB1">
              <w:rPr>
                <w:rFonts w:eastAsia="Times New Roman"/>
                <w:sz w:val="20"/>
                <w:szCs w:val="20"/>
                <w:lang w:eastAsia="ru-RU"/>
              </w:rPr>
              <w:t>.р</w:t>
            </w:r>
            <w:proofErr w:type="gramEnd"/>
            <w:r w:rsidRPr="00A03CB1">
              <w:rPr>
                <w:rFonts w:eastAsia="Times New Roman"/>
                <w:sz w:val="20"/>
                <w:szCs w:val="20"/>
                <w:lang w:eastAsia="ru-RU"/>
              </w:rPr>
              <w:t>ублей</w:t>
            </w:r>
            <w:proofErr w:type="spellEnd"/>
            <w:r w:rsidRPr="00A03CB1">
              <w:rPr>
                <w:rFonts w:eastAsia="Times New Roman"/>
                <w:sz w:val="20"/>
                <w:szCs w:val="20"/>
                <w:lang w:eastAsia="ru-RU"/>
              </w:rPr>
              <w:t xml:space="preserve"> в ценах </w:t>
            </w:r>
            <w:proofErr w:type="spellStart"/>
            <w:r w:rsidRPr="00A03CB1">
              <w:rPr>
                <w:rFonts w:eastAsia="Times New Roman"/>
                <w:sz w:val="20"/>
                <w:szCs w:val="20"/>
                <w:lang w:eastAsia="ru-RU"/>
              </w:rPr>
              <w:t>соответст-вующих</w:t>
            </w:r>
            <w:proofErr w:type="spell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1 683,2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1 512,1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1 286,1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1 966,2</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2 075,2</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1 714,8</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2 024.0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1 777,9</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1 814,7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1 804,6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1 860,1</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1 849,7</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1 906,6</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средства муниципального бюджета</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млн. рублей в ценах </w:t>
            </w:r>
            <w:proofErr w:type="spellStart"/>
            <w:proofErr w:type="gramStart"/>
            <w:r w:rsidRPr="00A03CB1">
              <w:rPr>
                <w:rFonts w:eastAsia="Times New Roman"/>
                <w:sz w:val="20"/>
                <w:szCs w:val="20"/>
                <w:lang w:eastAsia="ru-RU"/>
              </w:rPr>
              <w:t>соответст-вующих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832,2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1 191,3</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1 408,1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763,2</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989,6</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605,2</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815,2</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231,8</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341,0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223,3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230,1</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219,9</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226,6</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t xml:space="preserve">6. Сальдированный финансовый результат (прибыль, убыток) деятельности крупных </w:t>
            </w:r>
            <w:r w:rsidRPr="00A03CB1">
              <w:rPr>
                <w:rFonts w:eastAsia="Times New Roman"/>
                <w:sz w:val="20"/>
                <w:szCs w:val="20"/>
                <w:lang w:eastAsia="ru-RU"/>
              </w:rPr>
              <w:lastRenderedPageBreak/>
              <w:t>и средних предприятий</w:t>
            </w:r>
          </w:p>
        </w:tc>
        <w:tc>
          <w:tcPr>
            <w:tcW w:w="977" w:type="dxa"/>
            <w:tcBorders>
              <w:top w:val="single" w:sz="4" w:space="0" w:color="auto"/>
              <w:left w:val="single" w:sz="4" w:space="0" w:color="auto"/>
              <w:bottom w:val="single" w:sz="4" w:space="0" w:color="auto"/>
              <w:right w:val="single" w:sz="4" w:space="0" w:color="auto"/>
            </w:tcBorders>
            <w:vAlign w:val="center"/>
            <w:hideMark/>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r w:rsidRPr="00A03CB1">
              <w:rPr>
                <w:rFonts w:eastAsia="Times New Roman"/>
                <w:sz w:val="20"/>
                <w:szCs w:val="20"/>
                <w:lang w:eastAsia="ru-RU"/>
              </w:rPr>
              <w:lastRenderedPageBreak/>
              <w:t xml:space="preserve">млн. рублей в ценах </w:t>
            </w:r>
            <w:proofErr w:type="spellStart"/>
            <w:proofErr w:type="gramStart"/>
            <w:r w:rsidRPr="00A03CB1">
              <w:rPr>
                <w:rFonts w:eastAsia="Times New Roman"/>
                <w:sz w:val="20"/>
                <w:szCs w:val="20"/>
                <w:lang w:eastAsia="ru-RU"/>
              </w:rPr>
              <w:t>соответст-</w:t>
            </w:r>
            <w:r w:rsidRPr="00A03CB1">
              <w:rPr>
                <w:rFonts w:eastAsia="Times New Roman"/>
                <w:sz w:val="20"/>
                <w:szCs w:val="20"/>
                <w:lang w:eastAsia="ru-RU"/>
              </w:rPr>
              <w:lastRenderedPageBreak/>
              <w:t>вующих</w:t>
            </w:r>
            <w:proofErr w:type="spellEnd"/>
            <w:proofErr w:type="gramEnd"/>
            <w:r w:rsidRPr="00A03CB1">
              <w:rPr>
                <w:rFonts w:eastAsia="Times New Roman"/>
                <w:sz w:val="20"/>
                <w:szCs w:val="20"/>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lastRenderedPageBreak/>
              <w:t>61 011,0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83 118,5</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80 624,9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83 043,6</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84 656,1</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85 535,0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88 889,0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88 101,0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93 333,4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90 744,0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98 000,1</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93 466,4</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102 900,1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lastRenderedPageBreak/>
              <w:t>7. Труд и занятость</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bCs/>
                <w:sz w:val="20"/>
                <w:szCs w:val="20"/>
                <w:lang w:eastAsia="ru-RU"/>
              </w:rPr>
              <w:t>Численность населения в трудоспособном возрасте  (среднегодовая)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bCs/>
                <w:sz w:val="20"/>
                <w:szCs w:val="20"/>
                <w:lang w:eastAsia="ru-RU"/>
              </w:rPr>
              <w:t>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166,28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164,50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162,56</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160,65</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160,97</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158,75</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159,07</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156,88</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157,19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155,03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155,34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153,20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153,51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bCs/>
                <w:sz w:val="20"/>
                <w:szCs w:val="20"/>
                <w:lang w:eastAsia="ru-RU"/>
              </w:rPr>
              <w:t>Численность безработных, зарегистрированных в службах занятости, в среднем за год</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bCs/>
                <w:sz w:val="20"/>
                <w:szCs w:val="20"/>
                <w:lang w:eastAsia="ru-RU"/>
              </w:rPr>
              <w:t>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1,57</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3,32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2,40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2,40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2,30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2,30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2,10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2,00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 xml:space="preserve">Уровень зарегистрированной безработицы (к трудоспособному населению) </w:t>
            </w:r>
            <w:r w:rsidRPr="00A03CB1">
              <w:rPr>
                <w:rFonts w:eastAsia="Times New Roman"/>
                <w:sz w:val="20"/>
                <w:szCs w:val="20"/>
                <w:lang w:val="en-US" w:eastAsia="ru-RU"/>
              </w:rPr>
              <w:t>(</w:t>
            </w:r>
            <w:r w:rsidRPr="00A03CB1">
              <w:rPr>
                <w:rFonts w:eastAsia="Times New Roman"/>
                <w:sz w:val="20"/>
                <w:szCs w:val="20"/>
                <w:lang w:eastAsia="ru-RU"/>
              </w:rPr>
              <w:t>среднегодовой)</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0,94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1,90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1,46</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1,40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1,36</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1,30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0,97</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Среднесписочная численность работников организаций  (без субъектов малого предпринимательства)</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87,60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88,20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88,48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88,92</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89,01</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89,27</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89,36</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89,54</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89,63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89,72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89,81</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89,81</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89,90</w:t>
            </w:r>
          </w:p>
        </w:tc>
      </w:tr>
      <w:tr w:rsidR="00BE423F" w:rsidRPr="00A03CB1" w:rsidTr="00BE423F">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423F" w:rsidRPr="00A03CB1" w:rsidRDefault="00BE423F"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Среднемесячная начисленная заработная плата работников организаций (без субъектов малого предпринимательства)</w:t>
            </w:r>
          </w:p>
        </w:tc>
        <w:tc>
          <w:tcPr>
            <w:tcW w:w="977" w:type="dxa"/>
            <w:tcBorders>
              <w:top w:val="single" w:sz="4" w:space="0" w:color="auto"/>
              <w:left w:val="single" w:sz="4" w:space="0" w:color="auto"/>
              <w:bottom w:val="single" w:sz="4" w:space="0" w:color="auto"/>
              <w:right w:val="single" w:sz="4" w:space="0" w:color="auto"/>
            </w:tcBorders>
            <w:vAlign w:val="center"/>
          </w:tcPr>
          <w:p w:rsidR="00BE423F" w:rsidRPr="00A03CB1" w:rsidRDefault="00BE423F"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 xml:space="preserve">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74 334</w:t>
            </w:r>
          </w:p>
        </w:tc>
        <w:tc>
          <w:tcPr>
            <w:tcW w:w="993"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79 025</w:t>
            </w:r>
          </w:p>
        </w:tc>
        <w:tc>
          <w:tcPr>
            <w:tcW w:w="992"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85 490</w:t>
            </w:r>
          </w:p>
        </w:tc>
        <w:tc>
          <w:tcPr>
            <w:tcW w:w="992"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88 055</w:t>
            </w:r>
          </w:p>
        </w:tc>
        <w:tc>
          <w:tcPr>
            <w:tcW w:w="851"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88 495</w:t>
            </w:r>
          </w:p>
        </w:tc>
        <w:tc>
          <w:tcPr>
            <w:tcW w:w="1007"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91 577</w:t>
            </w:r>
          </w:p>
        </w:tc>
        <w:tc>
          <w:tcPr>
            <w:tcW w:w="977"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92 035</w:t>
            </w:r>
          </w:p>
        </w:tc>
        <w:tc>
          <w:tcPr>
            <w:tcW w:w="1008"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96 156</w:t>
            </w:r>
          </w:p>
        </w:tc>
        <w:tc>
          <w:tcPr>
            <w:tcW w:w="1118"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96 637</w:t>
            </w:r>
          </w:p>
        </w:tc>
        <w:tc>
          <w:tcPr>
            <w:tcW w:w="1134"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101 925</w:t>
            </w:r>
          </w:p>
        </w:tc>
        <w:tc>
          <w:tcPr>
            <w:tcW w:w="1134"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102 435</w:t>
            </w:r>
          </w:p>
        </w:tc>
        <w:tc>
          <w:tcPr>
            <w:tcW w:w="993"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108 041</w:t>
            </w:r>
          </w:p>
        </w:tc>
        <w:tc>
          <w:tcPr>
            <w:tcW w:w="850" w:type="dxa"/>
            <w:tcBorders>
              <w:top w:val="single" w:sz="4" w:space="0" w:color="auto"/>
              <w:left w:val="single" w:sz="4" w:space="0" w:color="auto"/>
              <w:bottom w:val="single" w:sz="4" w:space="0" w:color="auto"/>
              <w:right w:val="single" w:sz="4" w:space="0" w:color="auto"/>
            </w:tcBorders>
            <w:vAlign w:val="center"/>
          </w:tcPr>
          <w:p w:rsidR="00BE423F" w:rsidRPr="00BE423F" w:rsidRDefault="00BE423F" w:rsidP="00BE423F">
            <w:pPr>
              <w:rPr>
                <w:sz w:val="22"/>
              </w:rPr>
            </w:pPr>
            <w:r w:rsidRPr="00BE423F">
              <w:rPr>
                <w:sz w:val="22"/>
              </w:rPr>
              <w:t>108 581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Arial Unicode MS"/>
                <w:bCs/>
                <w:sz w:val="20"/>
                <w:szCs w:val="20"/>
                <w:lang w:eastAsia="ru-RU"/>
              </w:rPr>
              <w:t>8. Развитие социальной сферы</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bCs/>
                <w:sz w:val="20"/>
                <w:szCs w:val="20"/>
                <w:lang w:eastAsia="ru-RU"/>
              </w:rPr>
              <w:lastRenderedPageBreak/>
              <w:t>Численность детей в дошкольных</w:t>
            </w:r>
            <w:r w:rsidRPr="00A03CB1">
              <w:rPr>
                <w:rFonts w:eastAsia="Times New Roman"/>
                <w:sz w:val="20"/>
                <w:szCs w:val="20"/>
                <w:lang w:eastAsia="ru-RU"/>
              </w:rPr>
              <w:t xml:space="preserve"> </w:t>
            </w:r>
            <w:r w:rsidRPr="00A03CB1">
              <w:rPr>
                <w:rFonts w:eastAsia="Times New Roman"/>
                <w:bCs/>
                <w:sz w:val="20"/>
                <w:szCs w:val="20"/>
                <w:lang w:eastAsia="ru-RU"/>
              </w:rPr>
              <w:t>образовательных учреждениях</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17358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16670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16168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16087</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16248</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15926</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16000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15767</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15925</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15609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1561</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15453</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15608</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proofErr w:type="gramStart"/>
            <w:r w:rsidRPr="00A03CB1">
              <w:rPr>
                <w:rFonts w:eastAsia="Times New Roman"/>
                <w:bCs/>
                <w:sz w:val="20"/>
                <w:szCs w:val="20"/>
                <w:lang w:eastAsia="ru-RU"/>
              </w:rPr>
              <w:t>Численность обучающихся в учреждениях:</w:t>
            </w:r>
            <w:proofErr w:type="gramEnd"/>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общеобразовательных</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30562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30618</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30999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30940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30950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31209</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31219</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30940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30950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30558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30568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30430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30440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среднего профессионального образования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10 049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10 499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10 656</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10 499</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11 138</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10 499</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11 361</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10 499</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11 588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10 499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11 820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10 499</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12 057</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высшего профессионального образования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5 874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5 299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5 200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4 833</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5 459</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4 639</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5 568</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4 454</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5 680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4 320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5 793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4 191</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snapToGrid w:val="0"/>
                <w:color w:val="000000"/>
                <w:sz w:val="20"/>
                <w:szCs w:val="20"/>
              </w:rPr>
              <w:t>5 909</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Обеспеченность:</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общедоступными  библиотеками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roofErr w:type="spellStart"/>
            <w:proofErr w:type="gramStart"/>
            <w:r w:rsidRPr="00A03CB1">
              <w:rPr>
                <w:rFonts w:eastAsia="Times New Roman"/>
                <w:sz w:val="20"/>
                <w:szCs w:val="20"/>
                <w:lang w:eastAsia="ru-RU"/>
              </w:rPr>
              <w:t>учрежде-ний</w:t>
            </w:r>
            <w:proofErr w:type="spellEnd"/>
            <w:proofErr w:type="gramEnd"/>
            <w:r w:rsidRPr="00A03CB1">
              <w:rPr>
                <w:rFonts w:eastAsia="Times New Roman"/>
                <w:sz w:val="20"/>
                <w:szCs w:val="20"/>
                <w:lang w:eastAsia="ru-RU"/>
              </w:rPr>
              <w:t xml:space="preserve"> на</w:t>
            </w:r>
          </w:p>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100 тыс.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11,37</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11,56</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11,40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11,57</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11,57</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11,72</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11,72</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11,86</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11,86</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11,99</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11,98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12,10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12,10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учреждениями культурно-досугового типа</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sz w:val="20"/>
                <w:szCs w:val="20"/>
                <w:lang w:eastAsia="ru-RU"/>
              </w:rPr>
            </w:pPr>
            <w:proofErr w:type="spellStart"/>
            <w:proofErr w:type="gramStart"/>
            <w:r w:rsidRPr="00A03CB1">
              <w:rPr>
                <w:rFonts w:eastAsia="Times New Roman"/>
                <w:sz w:val="20"/>
                <w:szCs w:val="20"/>
                <w:lang w:eastAsia="ru-RU"/>
              </w:rPr>
              <w:t>учрежде-ний</w:t>
            </w:r>
            <w:proofErr w:type="spellEnd"/>
            <w:proofErr w:type="gramEnd"/>
            <w:r w:rsidRPr="00A03CB1">
              <w:rPr>
                <w:rFonts w:eastAsia="Times New Roman"/>
                <w:sz w:val="20"/>
                <w:szCs w:val="20"/>
                <w:lang w:eastAsia="ru-RU"/>
              </w:rPr>
              <w:t xml:space="preserve"> на</w:t>
            </w:r>
          </w:p>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100 тыс.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3,61</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3,65</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3,69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3,73</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3,78</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3,77</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3,82</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3,87</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3,86</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3,91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дошкольными образовательными учреждениями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 xml:space="preserve">мест на 100 детей </w:t>
            </w:r>
            <w:proofErr w:type="spellStart"/>
            <w:proofErr w:type="gramStart"/>
            <w:r w:rsidRPr="00A03CB1">
              <w:rPr>
                <w:rFonts w:eastAsia="Times New Roman"/>
                <w:sz w:val="20"/>
                <w:szCs w:val="20"/>
                <w:lang w:eastAsia="ru-RU"/>
              </w:rPr>
              <w:t>дошколь-ного</w:t>
            </w:r>
            <w:proofErr w:type="spellEnd"/>
            <w:proofErr w:type="gramEnd"/>
            <w:r w:rsidRPr="00A03CB1">
              <w:rPr>
                <w:rFonts w:eastAsia="Times New Roman"/>
                <w:sz w:val="20"/>
                <w:szCs w:val="20"/>
                <w:lang w:eastAsia="ru-RU"/>
              </w:rPr>
              <w:t xml:space="preserve"> возраста</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76,80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78,79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79,20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80,63</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80,63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81,04</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81,04</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81,28</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81,28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81,53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81,53</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81,78</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81,78</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 xml:space="preserve">Доля обучающихся в государственных (муниципальных) общеобразовательных организациях, </w:t>
            </w:r>
            <w:r w:rsidRPr="00A03CB1">
              <w:rPr>
                <w:rFonts w:eastAsia="Times New Roman"/>
                <w:sz w:val="20"/>
                <w:szCs w:val="20"/>
                <w:lang w:eastAsia="ru-RU"/>
              </w:rPr>
              <w:lastRenderedPageBreak/>
              <w:t xml:space="preserve">занимающихся в одну смену, в общей </w:t>
            </w:r>
            <w:proofErr w:type="gramStart"/>
            <w:r w:rsidRPr="00A03CB1">
              <w:rPr>
                <w:rFonts w:eastAsia="Times New Roman"/>
                <w:sz w:val="20"/>
                <w:szCs w:val="20"/>
                <w:lang w:eastAsia="ru-RU"/>
              </w:rPr>
              <w:t>численности</w:t>
            </w:r>
            <w:proofErr w:type="gramEnd"/>
            <w:r w:rsidRPr="00A03CB1">
              <w:rPr>
                <w:rFonts w:eastAsia="Times New Roman"/>
                <w:sz w:val="20"/>
                <w:szCs w:val="20"/>
                <w:lang w:eastAsia="ru-RU"/>
              </w:rPr>
              <w:t xml:space="preserve"> обучающихся в государственных (муниципальных) общеобразовательных организациях</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98,5</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97,4</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97,9</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97,9</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97,1</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97,1</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98,0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lastRenderedPageBreak/>
              <w:t>Доля населения, систематически занимающегося физической культурой и спортом, в общей численности населения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47,9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48,7</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51,0</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52,0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53,0</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54,0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55,0</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56,0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57,0</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58,0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59,0</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60,0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bCs/>
                <w:sz w:val="20"/>
                <w:szCs w:val="20"/>
                <w:lang w:eastAsia="ru-RU"/>
              </w:rPr>
              <w:t>Ввод в эксплуатацию жилых домов за счет всех источников финансирования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 xml:space="preserve">тыс. </w:t>
            </w:r>
            <w:proofErr w:type="spellStart"/>
            <w:r w:rsidRPr="00A03CB1">
              <w:rPr>
                <w:rFonts w:eastAsia="Times New Roman"/>
                <w:sz w:val="20"/>
                <w:szCs w:val="20"/>
                <w:lang w:eastAsia="ru-RU"/>
              </w:rPr>
              <w:t>кв</w:t>
            </w:r>
            <w:proofErr w:type="gramStart"/>
            <w:r w:rsidRPr="00A03CB1">
              <w:rPr>
                <w:rFonts w:eastAsia="Times New Roman"/>
                <w:sz w:val="20"/>
                <w:szCs w:val="20"/>
                <w:lang w:eastAsia="ru-RU"/>
              </w:rPr>
              <w:t>.м</w:t>
            </w:r>
            <w:proofErr w:type="spellEnd"/>
            <w:proofErr w:type="gramEnd"/>
            <w:r w:rsidRPr="00A03CB1">
              <w:rPr>
                <w:rFonts w:eastAsia="Times New Roman"/>
                <w:sz w:val="20"/>
                <w:szCs w:val="20"/>
                <w:lang w:eastAsia="ru-RU"/>
              </w:rPr>
              <w:t xml:space="preserve"> общей площади</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5,02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5,62</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3,01</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4,52</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4,74</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4,97</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5,12</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5,46</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5,63</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6,01</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6,19</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6,61</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6,81</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Средняя обеспеченность населения площадью жилых квартир</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roofErr w:type="spellStart"/>
            <w:r w:rsidRPr="00A03CB1">
              <w:rPr>
                <w:rFonts w:eastAsia="Times New Roman"/>
                <w:sz w:val="20"/>
                <w:szCs w:val="20"/>
                <w:lang w:eastAsia="ru-RU"/>
              </w:rPr>
              <w:t>кв</w:t>
            </w:r>
            <w:proofErr w:type="gramStart"/>
            <w:r w:rsidRPr="00A03CB1">
              <w:rPr>
                <w:rFonts w:eastAsia="Times New Roman"/>
                <w:sz w:val="20"/>
                <w:szCs w:val="20"/>
                <w:lang w:eastAsia="ru-RU"/>
              </w:rPr>
              <w:t>.м</w:t>
            </w:r>
            <w:proofErr w:type="spellEnd"/>
            <w:proofErr w:type="gramEnd"/>
            <w:r w:rsidRPr="00A03CB1">
              <w:rPr>
                <w:rFonts w:eastAsia="Times New Roman"/>
                <w:sz w:val="20"/>
                <w:szCs w:val="20"/>
                <w:lang w:eastAsia="ru-RU"/>
              </w:rPr>
              <w:t xml:space="preserve"> на человека</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24,50</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26,50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26,10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25,98</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26,00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26,58</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26,60</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27,16</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27,18</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27,72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27,74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28,26</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28,29</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 xml:space="preserve">Площадь аварийного фонда </w:t>
            </w:r>
            <w:proofErr w:type="gramStart"/>
            <w:r w:rsidRPr="00A03CB1">
              <w:rPr>
                <w:rFonts w:eastAsia="Times New Roman"/>
                <w:sz w:val="20"/>
                <w:szCs w:val="20"/>
                <w:lang w:eastAsia="ru-RU"/>
              </w:rPr>
              <w:t>в</w:t>
            </w:r>
            <w:proofErr w:type="gramEnd"/>
            <w:r w:rsidRPr="00A03CB1">
              <w:rPr>
                <w:rFonts w:eastAsia="Times New Roman"/>
                <w:sz w:val="20"/>
                <w:szCs w:val="20"/>
                <w:lang w:eastAsia="ru-RU"/>
              </w:rPr>
              <w:t xml:space="preserve"> % к общей площади жилого фонда</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1,72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1,79</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1,81</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1,80</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1,81</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1,81</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1,82</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1,81</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1,82</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1,82</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sz w:val="20"/>
                <w:szCs w:val="20"/>
                <w:lang w:eastAsia="ru-RU"/>
              </w:rPr>
              <w:t>Фактический уровень платежей населения за жилье и коммунальные услуги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90,8</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91,3</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95,0</w:t>
            </w: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95,1</w:t>
            </w: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95,3</w:t>
            </w: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95,1</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95,3</w:t>
            </w: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95,2</w:t>
            </w: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95,4</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95,2</w:t>
            </w: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95,4</w:t>
            </w: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95,2</w:t>
            </w: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rPr>
                <w:color w:val="000000"/>
                <w:sz w:val="20"/>
                <w:szCs w:val="20"/>
              </w:rPr>
            </w:pPr>
            <w:r w:rsidRPr="00A03CB1">
              <w:rPr>
                <w:color w:val="000000"/>
                <w:sz w:val="20"/>
                <w:szCs w:val="20"/>
              </w:rPr>
              <w:t>95,4</w:t>
            </w:r>
          </w:p>
        </w:tc>
      </w:tr>
      <w:tr w:rsidR="00336819" w:rsidRPr="00A03CB1" w:rsidTr="00336819">
        <w:trPr>
          <w:trHeight w:val="309"/>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Arial Unicode MS"/>
                <w:bCs/>
                <w:sz w:val="20"/>
                <w:szCs w:val="20"/>
                <w:lang w:eastAsia="ru-RU"/>
              </w:rPr>
              <w:t>9. Доходы бюджета</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r>
      <w:tr w:rsidR="00336819" w:rsidRPr="00A03CB1"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lastRenderedPageBreak/>
              <w:t xml:space="preserve">Объем собственных доходов бюджета муниципального образования от налоговых и неналоговых поступлений </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9 119 417,30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8 917 875,20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10 457 817,00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10 127 266,10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10 255 810,40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10 965 743,40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11 105 129,60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11 369 238,60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11 507 421,00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11 789 006,70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11 950 213,60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12 183 365,00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12 351 513,10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color w:val="000000"/>
                <w:sz w:val="20"/>
                <w:szCs w:val="20"/>
                <w:lang w:eastAsia="ru-RU"/>
              </w:rPr>
            </w:pPr>
            <w:r w:rsidRPr="00A03CB1">
              <w:rPr>
                <w:rFonts w:eastAsia="Times New Roman"/>
                <w:color w:val="000000"/>
                <w:sz w:val="20"/>
                <w:szCs w:val="20"/>
                <w:lang w:eastAsia="ru-RU"/>
              </w:rPr>
              <w:t>в том числе:</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r>
      <w:tr w:rsidR="00336819" w:rsidRPr="00A03CB1"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налог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76 877,80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84 043,30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202 127,70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116 612,80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116 612,80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121 277,40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121 277,40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126 128,40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126 128,40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131 173,50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131 173,50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136 420,50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136 420,50</w:t>
            </w:r>
          </w:p>
        </w:tc>
      </w:tr>
      <w:tr w:rsidR="00336819" w:rsidRPr="00A03CB1"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375 964,20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314 508,60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331 887,50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340 911,90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340 911,90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350 375,30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350 375,30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360 622,40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360 622,40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375 047,30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375 047,30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390 049,20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390 049,20</w:t>
            </w:r>
          </w:p>
        </w:tc>
      </w:tr>
      <w:tr w:rsidR="00336819" w:rsidRPr="00A03CB1" w:rsidTr="00336819">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 xml:space="preserve">в том числе: </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spacing w:after="0" w:line="240" w:lineRule="auto"/>
              <w:rPr>
                <w:color w:val="000000"/>
                <w:sz w:val="20"/>
                <w:szCs w:val="20"/>
              </w:rPr>
            </w:pPr>
          </w:p>
        </w:tc>
      </w:tr>
      <w:tr w:rsidR="00336819" w:rsidRPr="00A03CB1"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337 651,80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281 898,70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298 492,70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310 511,90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310 511,90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323 015,30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323 015,30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336 022,40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336 022,40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349 463,30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349 463,30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363 441,80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363 441,80</w:t>
            </w:r>
          </w:p>
        </w:tc>
      </w:tr>
      <w:tr w:rsidR="00336819" w:rsidRPr="00A03CB1"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lastRenderedPageBreak/>
              <w:t>от сдачи в аренду имущества</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38 312,40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32 609,90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33 394,80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30 400,00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30 400,00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27 360,00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27 360,00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24 600,00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24 600,00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25 584,00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25 584,00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26 607,40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26 607,40</w:t>
            </w:r>
          </w:p>
        </w:tc>
      </w:tr>
      <w:tr w:rsidR="00336819" w:rsidRPr="00A03CB1" w:rsidTr="00336819">
        <w:trPr>
          <w:cantSplit/>
          <w:trHeight w:val="131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налоги на совокупный доход</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3 481 043,70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2 892 046,80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3 784 581,60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3 349 554,70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3 383 470,90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3 974 378,60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4 029 285,20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4 133 353,80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4 190 456,60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4 298 687,90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4 358 074,90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4 425 611,30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4 487 373,70</w:t>
            </w:r>
          </w:p>
        </w:tc>
      </w:tr>
      <w:tr w:rsidR="00336819" w:rsidRPr="00A03CB1" w:rsidTr="00336819">
        <w:trPr>
          <w:cantSplit/>
          <w:trHeight w:val="42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в том числе:</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p>
        </w:tc>
      </w:tr>
      <w:tr w:rsidR="00336819" w:rsidRPr="00A03CB1" w:rsidTr="00E81FA7">
        <w:trPr>
          <w:cantSplit/>
          <w:trHeight w:val="1415"/>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налог, взимаемый в связи с применением упрощенной системы налогообложения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1 308 566,60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913 597,90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785 094,50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816 498,30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849 158,20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1 340 000,00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1 393 600,00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1 393 600,00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1 449 344,00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1 449 344,00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1 507 317,80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1 507 317,80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1 567 610,50</w:t>
            </w:r>
          </w:p>
        </w:tc>
      </w:tr>
      <w:tr w:rsidR="00336819" w:rsidRPr="00A03CB1"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единый налог на вмененный доход для отдельных видов деятельности</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162 305,20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127 152,70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34 825,30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0</w:t>
            </w:r>
          </w:p>
        </w:tc>
      </w:tr>
      <w:tr w:rsidR="00336819" w:rsidRPr="00336819" w:rsidTr="00336819">
        <w:trPr>
          <w:cantSplit/>
          <w:trHeight w:val="113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819" w:rsidRPr="00A03CB1" w:rsidRDefault="00336819" w:rsidP="00336819">
            <w:pPr>
              <w:tabs>
                <w:tab w:val="left" w:pos="708"/>
                <w:tab w:val="center" w:pos="4677"/>
                <w:tab w:val="right" w:pos="9355"/>
              </w:tabs>
              <w:spacing w:after="0" w:line="240" w:lineRule="auto"/>
              <w:rPr>
                <w:rFonts w:eastAsia="Times New Roman"/>
                <w:bCs/>
                <w:sz w:val="20"/>
                <w:szCs w:val="20"/>
                <w:lang w:eastAsia="ru-RU"/>
              </w:rPr>
            </w:pPr>
            <w:r w:rsidRPr="00A03CB1">
              <w:rPr>
                <w:rFonts w:eastAsia="Times New Roman"/>
                <w:color w:val="000000"/>
                <w:sz w:val="20"/>
                <w:szCs w:val="20"/>
                <w:lang w:eastAsia="ru-RU"/>
              </w:rPr>
              <w:t>налог, взимаемый в связи с применением патентной системы налогообложения</w:t>
            </w:r>
          </w:p>
        </w:tc>
        <w:tc>
          <w:tcPr>
            <w:tcW w:w="977" w:type="dxa"/>
            <w:tcBorders>
              <w:top w:val="single" w:sz="4" w:space="0" w:color="auto"/>
              <w:left w:val="single" w:sz="4" w:space="0" w:color="auto"/>
              <w:bottom w:val="single" w:sz="4" w:space="0" w:color="auto"/>
              <w:right w:val="single" w:sz="4" w:space="0" w:color="auto"/>
            </w:tcBorders>
            <w:vAlign w:val="center"/>
          </w:tcPr>
          <w:p w:rsidR="00336819" w:rsidRPr="00A03CB1" w:rsidRDefault="00336819" w:rsidP="00336819">
            <w:pPr>
              <w:overflowPunct w:val="0"/>
              <w:autoSpaceDE w:val="0"/>
              <w:autoSpaceDN w:val="0"/>
              <w:adjustRightInd w:val="0"/>
              <w:spacing w:after="0" w:line="240" w:lineRule="auto"/>
              <w:rPr>
                <w:rFonts w:eastAsia="Times New Roman"/>
                <w:bCs/>
                <w:sz w:val="20"/>
                <w:szCs w:val="20"/>
                <w:lang w:eastAsia="ru-RU"/>
              </w:rPr>
            </w:pPr>
            <w:r w:rsidRPr="00A03CB1">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28 501,40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27 822,10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30 200,0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31 408,00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32 664,30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32 664,30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33 970,90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33 970,90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35 329,70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35 329,70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36 742,90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36 742,90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6819" w:rsidRPr="00A03CB1" w:rsidRDefault="00336819" w:rsidP="00336819">
            <w:pPr>
              <w:ind w:left="113" w:right="113"/>
              <w:rPr>
                <w:color w:val="000000"/>
                <w:sz w:val="20"/>
                <w:szCs w:val="20"/>
              </w:rPr>
            </w:pPr>
            <w:r w:rsidRPr="00A03CB1">
              <w:rPr>
                <w:bCs/>
                <w:color w:val="000000"/>
                <w:sz w:val="20"/>
                <w:szCs w:val="20"/>
              </w:rPr>
              <w:t>38 212,60</w:t>
            </w:r>
          </w:p>
        </w:tc>
      </w:tr>
    </w:tbl>
    <w:p w:rsidR="00336819" w:rsidRPr="00552145" w:rsidRDefault="00336819" w:rsidP="00336819">
      <w:pPr>
        <w:spacing w:after="0" w:line="240" w:lineRule="auto"/>
        <w:jc w:val="both"/>
        <w:rPr>
          <w:rFonts w:eastAsia="Times New Roman"/>
          <w:sz w:val="26"/>
          <w:szCs w:val="26"/>
          <w:lang w:val="en-US" w:eastAsia="ru-RU"/>
        </w:rPr>
      </w:pPr>
    </w:p>
    <w:p w:rsidR="00336819" w:rsidRDefault="00336819" w:rsidP="00336819">
      <w:pPr>
        <w:spacing w:after="0" w:line="240" w:lineRule="auto"/>
        <w:ind w:right="-598" w:firstLine="709"/>
        <w:jc w:val="both"/>
        <w:rPr>
          <w:szCs w:val="28"/>
        </w:rPr>
      </w:pPr>
      <w:r w:rsidRPr="00552145">
        <w:rPr>
          <w:rFonts w:eastAsia="Times New Roman"/>
          <w:lang w:eastAsia="ru-RU"/>
        </w:rPr>
        <w:t>Пояснения к показателям прогноза социально-экономического развития муниципального образования город Мурманск на среднесрочный период 202</w:t>
      </w:r>
      <w:r>
        <w:rPr>
          <w:rFonts w:eastAsia="Times New Roman"/>
          <w:lang w:eastAsia="ru-RU"/>
        </w:rPr>
        <w:t>2</w:t>
      </w:r>
      <w:r w:rsidRPr="00552145">
        <w:rPr>
          <w:rFonts w:eastAsia="Times New Roman"/>
          <w:lang w:eastAsia="ru-RU"/>
        </w:rPr>
        <w:t>-202</w:t>
      </w:r>
      <w:r>
        <w:rPr>
          <w:rFonts w:eastAsia="Times New Roman"/>
          <w:lang w:eastAsia="ru-RU"/>
        </w:rPr>
        <w:t>6</w:t>
      </w:r>
      <w:r w:rsidRPr="00552145">
        <w:rPr>
          <w:rFonts w:eastAsia="Times New Roman"/>
          <w:lang w:eastAsia="ru-RU"/>
        </w:rPr>
        <w:t xml:space="preserve"> годов приведены в приложении № 1</w:t>
      </w:r>
      <w:r>
        <w:rPr>
          <w:rFonts w:eastAsia="Times New Roman"/>
          <w:lang w:eastAsia="ru-RU"/>
        </w:rPr>
        <w:t xml:space="preserve"> к прогнозу</w:t>
      </w:r>
      <w:r w:rsidRPr="00552145">
        <w:rPr>
          <w:rFonts w:eastAsia="Times New Roman"/>
          <w:lang w:eastAsia="ru-RU"/>
        </w:rPr>
        <w:t>. Оценка показателей за 202</w:t>
      </w:r>
      <w:r>
        <w:rPr>
          <w:rFonts w:eastAsia="Times New Roman"/>
          <w:lang w:eastAsia="ru-RU"/>
        </w:rPr>
        <w:t>1</w:t>
      </w:r>
      <w:r w:rsidRPr="00552145">
        <w:rPr>
          <w:rFonts w:eastAsia="Times New Roman"/>
          <w:lang w:eastAsia="ru-RU"/>
        </w:rPr>
        <w:t xml:space="preserve"> год на основании предварительных итогов социально-экономического развития муниципального образования город Мурманск за </w:t>
      </w:r>
      <w:r w:rsidRPr="00552145">
        <w:rPr>
          <w:rFonts w:eastAsia="Times New Roman"/>
          <w:lang w:eastAsia="ru-RU"/>
        </w:rPr>
        <w:lastRenderedPageBreak/>
        <w:t>первое полугодие 202</w:t>
      </w:r>
      <w:r>
        <w:rPr>
          <w:rFonts w:eastAsia="Times New Roman"/>
          <w:lang w:eastAsia="ru-RU"/>
        </w:rPr>
        <w:t>1</w:t>
      </w:r>
      <w:r w:rsidRPr="00552145">
        <w:rPr>
          <w:rFonts w:eastAsia="Times New Roman"/>
          <w:lang w:eastAsia="ru-RU"/>
        </w:rPr>
        <w:t xml:space="preserve"> года и ожидаемых итогов социально-экономического развития за 202</w:t>
      </w:r>
      <w:r>
        <w:rPr>
          <w:rFonts w:eastAsia="Times New Roman"/>
          <w:lang w:eastAsia="ru-RU"/>
        </w:rPr>
        <w:t>1</w:t>
      </w:r>
      <w:r w:rsidRPr="00552145">
        <w:rPr>
          <w:rFonts w:eastAsia="Times New Roman"/>
          <w:lang w:eastAsia="ru-RU"/>
        </w:rPr>
        <w:t xml:space="preserve"> год представлена в приложении № 2</w:t>
      </w:r>
      <w:r>
        <w:rPr>
          <w:rFonts w:eastAsia="Times New Roman"/>
          <w:lang w:eastAsia="ru-RU"/>
        </w:rPr>
        <w:t xml:space="preserve"> к прогнозу</w:t>
      </w:r>
      <w:r w:rsidRPr="00552145">
        <w:rPr>
          <w:rFonts w:eastAsia="Times New Roman"/>
          <w:lang w:eastAsia="ru-RU"/>
        </w:rPr>
        <w:t>.</w:t>
      </w:r>
    </w:p>
    <w:p w:rsidR="00336819" w:rsidRDefault="00336819" w:rsidP="00336819">
      <w:pPr>
        <w:widowControl w:val="0"/>
        <w:tabs>
          <w:tab w:val="left" w:pos="2914"/>
        </w:tabs>
        <w:autoSpaceDE w:val="0"/>
        <w:autoSpaceDN w:val="0"/>
        <w:spacing w:after="0" w:line="240" w:lineRule="auto"/>
        <w:outlineLvl w:val="1"/>
        <w:rPr>
          <w:szCs w:val="28"/>
        </w:rPr>
        <w:sectPr w:rsidR="00336819" w:rsidSect="001E73B8">
          <w:headerReference w:type="default" r:id="rId12"/>
          <w:pgSz w:w="16838" w:h="11906" w:orient="landscape"/>
          <w:pgMar w:top="1701" w:right="1134" w:bottom="567" w:left="1134" w:header="709" w:footer="709" w:gutter="0"/>
          <w:pgNumType w:start="1"/>
          <w:cols w:space="708"/>
          <w:titlePg/>
          <w:docGrid w:linePitch="360"/>
        </w:sectPr>
      </w:pPr>
    </w:p>
    <w:tbl>
      <w:tblPr>
        <w:tblW w:w="9889" w:type="dxa"/>
        <w:tblLook w:val="04A0" w:firstRow="1" w:lastRow="0" w:firstColumn="1" w:lastColumn="0" w:noHBand="0" w:noVBand="1"/>
      </w:tblPr>
      <w:tblGrid>
        <w:gridCol w:w="7479"/>
        <w:gridCol w:w="2410"/>
      </w:tblGrid>
      <w:tr w:rsidR="00A7472F" w:rsidRPr="009A1152" w:rsidTr="00A7472F">
        <w:trPr>
          <w:trHeight w:val="724"/>
        </w:trPr>
        <w:tc>
          <w:tcPr>
            <w:tcW w:w="7479" w:type="dxa"/>
            <w:shd w:val="clear" w:color="auto" w:fill="auto"/>
          </w:tcPr>
          <w:p w:rsidR="00A7472F" w:rsidRPr="009A1152" w:rsidRDefault="00A7472F" w:rsidP="00A7472F">
            <w:pPr>
              <w:widowControl w:val="0"/>
              <w:rPr>
                <w:rFonts w:ascii="Calibri" w:hAnsi="Calibri"/>
                <w:szCs w:val="28"/>
              </w:rPr>
            </w:pPr>
          </w:p>
        </w:tc>
        <w:tc>
          <w:tcPr>
            <w:tcW w:w="2410" w:type="dxa"/>
            <w:shd w:val="clear" w:color="auto" w:fill="auto"/>
          </w:tcPr>
          <w:p w:rsidR="00A7472F" w:rsidRPr="009A1152" w:rsidRDefault="00A7472F" w:rsidP="00A7472F">
            <w:pPr>
              <w:widowControl w:val="0"/>
              <w:jc w:val="center"/>
              <w:rPr>
                <w:rFonts w:ascii="Calibri" w:hAnsi="Calibri"/>
                <w:szCs w:val="28"/>
              </w:rPr>
            </w:pPr>
            <w:r w:rsidRPr="009A1152">
              <w:rPr>
                <w:szCs w:val="28"/>
              </w:rPr>
              <w:t>Приложение № 1</w:t>
            </w:r>
            <w:r>
              <w:rPr>
                <w:szCs w:val="28"/>
              </w:rPr>
              <w:t xml:space="preserve"> </w:t>
            </w:r>
            <w:r>
              <w:rPr>
                <w:szCs w:val="28"/>
              </w:rPr>
              <w:br/>
            </w:r>
            <w:r w:rsidRPr="009A1152">
              <w:rPr>
                <w:szCs w:val="28"/>
              </w:rPr>
              <w:t>к прогнозу</w:t>
            </w:r>
          </w:p>
        </w:tc>
      </w:tr>
    </w:tbl>
    <w:p w:rsidR="00A7472F" w:rsidRPr="00632022" w:rsidRDefault="00A7472F" w:rsidP="00A7472F">
      <w:pPr>
        <w:widowControl w:val="0"/>
        <w:rPr>
          <w:szCs w:val="28"/>
        </w:rPr>
      </w:pPr>
    </w:p>
    <w:p w:rsidR="00E81FA7" w:rsidRPr="00E81FA7" w:rsidRDefault="00E81FA7" w:rsidP="00E81FA7">
      <w:pPr>
        <w:tabs>
          <w:tab w:val="left" w:pos="6900"/>
        </w:tabs>
        <w:overflowPunct w:val="0"/>
        <w:autoSpaceDE w:val="0"/>
        <w:autoSpaceDN w:val="0"/>
        <w:adjustRightInd w:val="0"/>
        <w:spacing w:after="0" w:line="240" w:lineRule="auto"/>
        <w:jc w:val="center"/>
        <w:textAlignment w:val="baseline"/>
        <w:rPr>
          <w:rFonts w:eastAsia="Times New Roman"/>
          <w:bCs/>
          <w:szCs w:val="28"/>
          <w:lang w:eastAsia="ru-RU"/>
        </w:rPr>
      </w:pPr>
      <w:r w:rsidRPr="00E81FA7">
        <w:rPr>
          <w:rFonts w:eastAsia="Times New Roman"/>
          <w:bCs/>
          <w:szCs w:val="28"/>
          <w:lang w:eastAsia="ru-RU"/>
        </w:rPr>
        <w:t xml:space="preserve">Пояснительная записка к прогнозу социально-экономического развития </w:t>
      </w:r>
    </w:p>
    <w:p w:rsidR="00E81FA7" w:rsidRDefault="00E81FA7" w:rsidP="00E81FA7">
      <w:pPr>
        <w:overflowPunct w:val="0"/>
        <w:autoSpaceDE w:val="0"/>
        <w:autoSpaceDN w:val="0"/>
        <w:adjustRightInd w:val="0"/>
        <w:spacing w:after="0" w:line="240" w:lineRule="auto"/>
        <w:jc w:val="center"/>
        <w:textAlignment w:val="baseline"/>
        <w:rPr>
          <w:rFonts w:eastAsia="Times New Roman"/>
          <w:bCs/>
          <w:szCs w:val="28"/>
          <w:lang w:eastAsia="ru-RU"/>
        </w:rPr>
      </w:pPr>
      <w:r w:rsidRPr="00E81FA7">
        <w:rPr>
          <w:rFonts w:eastAsia="Times New Roman"/>
          <w:bCs/>
          <w:szCs w:val="28"/>
          <w:lang w:eastAsia="ru-RU"/>
        </w:rPr>
        <w:t xml:space="preserve">муниципального образования город Мурманск </w:t>
      </w:r>
    </w:p>
    <w:p w:rsidR="00E81FA7" w:rsidRPr="00E81FA7" w:rsidRDefault="00E81FA7" w:rsidP="00E81FA7">
      <w:pPr>
        <w:overflowPunct w:val="0"/>
        <w:autoSpaceDE w:val="0"/>
        <w:autoSpaceDN w:val="0"/>
        <w:adjustRightInd w:val="0"/>
        <w:spacing w:after="0" w:line="240" w:lineRule="auto"/>
        <w:jc w:val="center"/>
        <w:textAlignment w:val="baseline"/>
        <w:rPr>
          <w:rFonts w:eastAsia="Times New Roman"/>
          <w:bCs/>
          <w:szCs w:val="28"/>
          <w:lang w:eastAsia="ru-RU"/>
        </w:rPr>
      </w:pPr>
      <w:r w:rsidRPr="00E81FA7">
        <w:rPr>
          <w:rFonts w:eastAsia="Times New Roman"/>
          <w:bCs/>
          <w:szCs w:val="28"/>
          <w:lang w:eastAsia="ru-RU"/>
        </w:rPr>
        <w:t>на среднесрочный период 2022-2026 годов</w:t>
      </w:r>
    </w:p>
    <w:p w:rsidR="00E81FA7" w:rsidRPr="00E81FA7" w:rsidRDefault="00E81FA7" w:rsidP="00E81FA7">
      <w:pPr>
        <w:keepNext/>
        <w:spacing w:after="0" w:line="240" w:lineRule="auto"/>
        <w:ind w:firstLine="709"/>
        <w:jc w:val="both"/>
        <w:outlineLvl w:val="0"/>
        <w:rPr>
          <w:rFonts w:eastAsia="Times New Roman"/>
          <w:bCs/>
          <w:kern w:val="32"/>
          <w:szCs w:val="28"/>
          <w:lang w:eastAsia="ru-RU"/>
        </w:rPr>
      </w:pPr>
    </w:p>
    <w:p w:rsidR="00E81FA7" w:rsidRPr="00E81FA7" w:rsidRDefault="00E81FA7" w:rsidP="00E81FA7">
      <w:pPr>
        <w:keepNext/>
        <w:overflowPunct w:val="0"/>
        <w:autoSpaceDE w:val="0"/>
        <w:autoSpaceDN w:val="0"/>
        <w:adjustRightInd w:val="0"/>
        <w:spacing w:after="0" w:line="240" w:lineRule="auto"/>
        <w:ind w:firstLine="709"/>
        <w:jc w:val="both"/>
        <w:textAlignment w:val="baseline"/>
        <w:outlineLvl w:val="0"/>
        <w:rPr>
          <w:rFonts w:eastAsia="Times New Roman"/>
          <w:bCs/>
          <w:kern w:val="32"/>
          <w:szCs w:val="28"/>
          <w:lang w:eastAsia="ru-RU"/>
        </w:rPr>
      </w:pPr>
      <w:r w:rsidRPr="00E81FA7">
        <w:rPr>
          <w:rFonts w:eastAsia="Times New Roman"/>
          <w:bCs/>
          <w:kern w:val="32"/>
          <w:szCs w:val="28"/>
          <w:lang w:eastAsia="ru-RU"/>
        </w:rPr>
        <w:t>Прогноз социально-экономического развития муниципального образования город Мурманск сформирован с учетом следующих основных документов на 2022 год и на плановый период до 2026 года: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Послания Президента Российской Федерации Федеральному Собранию Российской Федерации от 21.04.2021;</w:t>
      </w:r>
    </w:p>
    <w:p w:rsidR="00E81FA7" w:rsidRPr="00E81FA7" w:rsidRDefault="00E81FA7" w:rsidP="00E81FA7">
      <w:pPr>
        <w:keepNext/>
        <w:overflowPunct w:val="0"/>
        <w:autoSpaceDE w:val="0"/>
        <w:autoSpaceDN w:val="0"/>
        <w:adjustRightInd w:val="0"/>
        <w:spacing w:after="0" w:line="240" w:lineRule="auto"/>
        <w:ind w:firstLine="708"/>
        <w:jc w:val="both"/>
        <w:textAlignment w:val="baseline"/>
        <w:outlineLvl w:val="0"/>
        <w:rPr>
          <w:rFonts w:eastAsia="Times New Roman"/>
          <w:bCs/>
          <w:kern w:val="32"/>
          <w:szCs w:val="28"/>
          <w:lang w:eastAsia="ru-RU"/>
        </w:rPr>
      </w:pPr>
      <w:r w:rsidRPr="00E81FA7">
        <w:rPr>
          <w:rFonts w:eastAsia="Times New Roman"/>
          <w:szCs w:val="28"/>
          <w:lang w:eastAsia="ru-RU"/>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81FA7" w:rsidRPr="00E81FA7" w:rsidRDefault="00E81FA7" w:rsidP="00E81FA7">
      <w:pPr>
        <w:keepNext/>
        <w:overflowPunct w:val="0"/>
        <w:autoSpaceDE w:val="0"/>
        <w:autoSpaceDN w:val="0"/>
        <w:adjustRightInd w:val="0"/>
        <w:spacing w:after="0" w:line="240" w:lineRule="auto"/>
        <w:ind w:firstLine="708"/>
        <w:jc w:val="both"/>
        <w:textAlignment w:val="baseline"/>
        <w:outlineLvl w:val="0"/>
        <w:rPr>
          <w:rFonts w:eastAsia="Times New Roman"/>
          <w:szCs w:val="28"/>
          <w:lang w:eastAsia="ru-RU"/>
        </w:rPr>
      </w:pPr>
      <w:r w:rsidRPr="00E81FA7">
        <w:rPr>
          <w:rFonts w:eastAsia="Times New Roman"/>
          <w:szCs w:val="28"/>
          <w:lang w:eastAsia="ru-RU"/>
        </w:rPr>
        <w:t>– Указа Президента Российской Федерации от 21.07.2020 № 474 «О национальных целях развития Российской Федерации на период до 2030 года»;</w:t>
      </w:r>
    </w:p>
    <w:p w:rsidR="00E81FA7" w:rsidRPr="00E81FA7" w:rsidRDefault="00E81FA7" w:rsidP="00E81FA7">
      <w:pPr>
        <w:keepNext/>
        <w:overflowPunct w:val="0"/>
        <w:autoSpaceDE w:val="0"/>
        <w:autoSpaceDN w:val="0"/>
        <w:adjustRightInd w:val="0"/>
        <w:spacing w:after="0" w:line="240" w:lineRule="auto"/>
        <w:ind w:firstLine="708"/>
        <w:jc w:val="both"/>
        <w:textAlignment w:val="baseline"/>
        <w:outlineLvl w:val="0"/>
        <w:rPr>
          <w:rFonts w:eastAsia="Times New Roman"/>
          <w:bCs/>
          <w:kern w:val="32"/>
          <w:szCs w:val="28"/>
          <w:lang w:eastAsia="ru-RU"/>
        </w:rPr>
      </w:pPr>
      <w:r w:rsidRPr="00E81FA7">
        <w:rPr>
          <w:rFonts w:eastAsia="Times New Roman"/>
          <w:szCs w:val="28"/>
          <w:lang w:eastAsia="ru-RU"/>
        </w:rPr>
        <w:t>– прогноза социально-экономического развития Российской Федерации на период до 2024 года;</w:t>
      </w:r>
    </w:p>
    <w:p w:rsidR="00E81FA7" w:rsidRPr="00E81FA7" w:rsidRDefault="00E81FA7" w:rsidP="00E81FA7">
      <w:pPr>
        <w:keepNext/>
        <w:overflowPunct w:val="0"/>
        <w:autoSpaceDE w:val="0"/>
        <w:autoSpaceDN w:val="0"/>
        <w:adjustRightInd w:val="0"/>
        <w:spacing w:after="0" w:line="240" w:lineRule="auto"/>
        <w:ind w:firstLine="708"/>
        <w:jc w:val="both"/>
        <w:textAlignment w:val="baseline"/>
        <w:outlineLvl w:val="0"/>
        <w:rPr>
          <w:rFonts w:eastAsia="Times New Roman"/>
          <w:szCs w:val="28"/>
          <w:lang w:eastAsia="ru-RU"/>
        </w:rPr>
      </w:pPr>
      <w:r w:rsidRPr="00E81FA7">
        <w:rPr>
          <w:rFonts w:eastAsia="Times New Roman"/>
          <w:szCs w:val="28"/>
          <w:lang w:eastAsia="ru-RU"/>
        </w:rPr>
        <w:t>– прогноза социально-экономического развития Российской Федерации на период до 2036 года;</w:t>
      </w:r>
    </w:p>
    <w:p w:rsidR="00E81FA7" w:rsidRPr="00E81FA7" w:rsidRDefault="00E81FA7" w:rsidP="00E81FA7">
      <w:pPr>
        <w:keepNext/>
        <w:overflowPunct w:val="0"/>
        <w:autoSpaceDE w:val="0"/>
        <w:autoSpaceDN w:val="0"/>
        <w:adjustRightInd w:val="0"/>
        <w:spacing w:after="0" w:line="240" w:lineRule="auto"/>
        <w:ind w:firstLine="708"/>
        <w:jc w:val="both"/>
        <w:textAlignment w:val="baseline"/>
        <w:outlineLvl w:val="0"/>
        <w:rPr>
          <w:rFonts w:eastAsia="Times New Roman"/>
          <w:szCs w:val="28"/>
          <w:lang w:eastAsia="ru-RU"/>
        </w:rPr>
      </w:pPr>
      <w:r w:rsidRPr="00E81FA7">
        <w:rPr>
          <w:rFonts w:eastAsia="Times New Roman"/>
          <w:szCs w:val="28"/>
          <w:lang w:eastAsia="ru-RU"/>
        </w:rPr>
        <w:t>– прогноза социально-экономического развития Российской Федерации на 2021 год и на плановый период 2022 и 2023 годов;</w:t>
      </w:r>
    </w:p>
    <w:p w:rsidR="00E81FA7" w:rsidRPr="00E81FA7" w:rsidRDefault="00E81FA7" w:rsidP="00E81FA7">
      <w:pPr>
        <w:overflowPunct w:val="0"/>
        <w:autoSpaceDE w:val="0"/>
        <w:autoSpaceDN w:val="0"/>
        <w:adjustRightInd w:val="0"/>
        <w:spacing w:after="0" w:line="240" w:lineRule="auto"/>
        <w:jc w:val="both"/>
        <w:textAlignment w:val="baseline"/>
        <w:rPr>
          <w:rFonts w:eastAsia="Times New Roman"/>
          <w:szCs w:val="20"/>
          <w:lang w:eastAsia="ru-RU"/>
        </w:rPr>
      </w:pPr>
      <w:r w:rsidRPr="00E81FA7">
        <w:rPr>
          <w:rFonts w:eastAsia="Times New Roman"/>
          <w:szCs w:val="20"/>
          <w:lang w:eastAsia="ru-RU"/>
        </w:rPr>
        <w:tab/>
      </w:r>
      <w:r w:rsidRPr="00E81FA7">
        <w:rPr>
          <w:rFonts w:eastAsia="Times New Roman"/>
          <w:szCs w:val="28"/>
          <w:lang w:eastAsia="ru-RU"/>
        </w:rPr>
        <w:t>–</w:t>
      </w:r>
      <w:r w:rsidRPr="00E81FA7">
        <w:rPr>
          <w:rFonts w:eastAsia="Times New Roman"/>
          <w:szCs w:val="20"/>
          <w:lang w:eastAsia="ru-RU"/>
        </w:rPr>
        <w:t xml:space="preserve"> сценарных условий,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2022 год и на плановый период 2023 и 2024 годов;</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предварительного прогноза социально-экономического развития Мурманской области на 2022 год и на плановый период 2023 и 2024 годов;</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прогноза социально-экономического развития Мурманской области на период до 2035 года;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муниципальных программ города Мурманска и государственных программ Мурманской области, реализуемых на территории муниципалитета;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сведений исполнительных органов государственной власти Мурманской области, территориальных подразделений иных органов власти;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информации предприятий, в том числе об инвестиционных проектах, планах развития;</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статистической информации, предоставляемой </w:t>
      </w:r>
      <w:proofErr w:type="spellStart"/>
      <w:r w:rsidRPr="00E81FA7">
        <w:rPr>
          <w:rFonts w:eastAsia="Times New Roman"/>
          <w:szCs w:val="28"/>
          <w:lang w:eastAsia="ru-RU"/>
        </w:rPr>
        <w:t>Мурманскстатом</w:t>
      </w:r>
      <w:proofErr w:type="spellEnd"/>
      <w:r w:rsidRPr="00E81FA7">
        <w:rPr>
          <w:rFonts w:eastAsia="Times New Roman"/>
          <w:szCs w:val="28"/>
          <w:lang w:eastAsia="ru-RU"/>
        </w:rPr>
        <w:t>.</w:t>
      </w:r>
    </w:p>
    <w:p w:rsidR="00E81FA7" w:rsidRPr="00E81FA7" w:rsidRDefault="00E81FA7" w:rsidP="00E81FA7">
      <w:pPr>
        <w:widowControl w:val="0"/>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Прогноз составлен в двух вариантах:</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первый вариант (базовый) предполагает консервативные</w:t>
      </w:r>
      <w:r w:rsidRPr="00E81FA7">
        <w:rPr>
          <w:rFonts w:eastAsia="Times New Roman"/>
          <w:color w:val="FF0000"/>
          <w:szCs w:val="28"/>
          <w:lang w:eastAsia="ru-RU"/>
        </w:rPr>
        <w:t xml:space="preserve"> </w:t>
      </w:r>
      <w:r w:rsidRPr="00E81FA7">
        <w:rPr>
          <w:rFonts w:eastAsia="Times New Roman"/>
          <w:szCs w:val="28"/>
          <w:lang w:eastAsia="ru-RU"/>
        </w:rPr>
        <w:t xml:space="preserve">траектории изменения внутренних и внешних факторов при сохранении основных тенденций изменения эффективности использования ресурсов (умеренный рост эффективности их использования); </w:t>
      </w:r>
    </w:p>
    <w:p w:rsidR="00E81FA7" w:rsidRPr="007314E4"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lastRenderedPageBreak/>
        <w:t xml:space="preserve">– второй вариант (целевой) основан на достижении целевых показателей социально-экономического развития и решении задач стратегического планирования в условиях активной реализации мер экономической политики, а также на выполнении в полном объеме целей и задач, поставленных в Указах Президента </w:t>
      </w:r>
      <w:r w:rsidRPr="007314E4">
        <w:rPr>
          <w:rFonts w:eastAsia="Times New Roman"/>
          <w:szCs w:val="28"/>
          <w:lang w:eastAsia="ru-RU"/>
        </w:rPr>
        <w:t>Российской Федерации от 07.05.2018 № 204 «О национальных целях и стратегических задачах развития Российской Федерации на период до 2024 года» и от 21.07.2020 № 474 «О</w:t>
      </w:r>
      <w:proofErr w:type="gramEnd"/>
      <w:r w:rsidRPr="007314E4">
        <w:rPr>
          <w:rFonts w:eastAsia="Times New Roman"/>
          <w:szCs w:val="28"/>
          <w:lang w:eastAsia="ru-RU"/>
        </w:rPr>
        <w:t xml:space="preserve"> национальных </w:t>
      </w:r>
      <w:proofErr w:type="gramStart"/>
      <w:r w:rsidRPr="007314E4">
        <w:rPr>
          <w:rFonts w:eastAsia="Times New Roman"/>
          <w:szCs w:val="28"/>
          <w:lang w:eastAsia="ru-RU"/>
        </w:rPr>
        <w:t>целях</w:t>
      </w:r>
      <w:proofErr w:type="gramEnd"/>
      <w:r w:rsidRPr="007314E4">
        <w:rPr>
          <w:rFonts w:eastAsia="Times New Roman"/>
          <w:szCs w:val="28"/>
          <w:lang w:eastAsia="ru-RU"/>
        </w:rPr>
        <w:t xml:space="preserve"> развития Российской Федерации на период до 2030 года», при консервативных внешнеэкономических условиях. </w:t>
      </w:r>
    </w:p>
    <w:p w:rsidR="0018260A" w:rsidRPr="007314E4" w:rsidRDefault="0018260A" w:rsidP="00E81FA7">
      <w:pPr>
        <w:keepNext/>
        <w:spacing w:before="240" w:after="240" w:line="240" w:lineRule="auto"/>
        <w:ind w:firstLine="709"/>
        <w:jc w:val="center"/>
        <w:outlineLvl w:val="0"/>
        <w:rPr>
          <w:rFonts w:eastAsia="Times New Roman"/>
          <w:bCs/>
          <w:kern w:val="32"/>
          <w:szCs w:val="28"/>
          <w:lang w:eastAsia="ru-RU"/>
        </w:rPr>
      </w:pPr>
      <w:r w:rsidRPr="007314E4">
        <w:rPr>
          <w:rFonts w:eastAsia="Times New Roman"/>
          <w:bCs/>
          <w:kern w:val="32"/>
          <w:szCs w:val="28"/>
          <w:lang w:eastAsia="ru-RU"/>
        </w:rPr>
        <w:t>Демографические показатели</w:t>
      </w:r>
    </w:p>
    <w:p w:rsidR="00E81FA7" w:rsidRPr="007314E4"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7314E4">
        <w:rPr>
          <w:rFonts w:eastAsia="Times New Roman"/>
          <w:szCs w:val="28"/>
          <w:lang w:eastAsia="ru-RU"/>
        </w:rPr>
        <w:t xml:space="preserve">Динамика </w:t>
      </w:r>
      <w:proofErr w:type="gramStart"/>
      <w:r w:rsidRPr="007314E4">
        <w:rPr>
          <w:rFonts w:eastAsia="Times New Roman"/>
          <w:szCs w:val="28"/>
          <w:lang w:eastAsia="ru-RU"/>
        </w:rPr>
        <w:t>показателей естественного движения населения города Мурманска</w:t>
      </w:r>
      <w:proofErr w:type="gramEnd"/>
      <w:r w:rsidRPr="007314E4">
        <w:rPr>
          <w:rFonts w:eastAsia="Times New Roman"/>
          <w:szCs w:val="28"/>
          <w:lang w:eastAsia="ru-RU"/>
        </w:rPr>
        <w:t xml:space="preserve"> в 2020 году по отношению к 2018 году характеризуется незначительным сокращением числа родившихся при увеличении на 22% числа умерших. При этом показатель естественного прироста населения </w:t>
      </w:r>
      <w:r w:rsidR="007314E4">
        <w:rPr>
          <w:rFonts w:eastAsia="Times New Roman"/>
          <w:szCs w:val="28"/>
          <w:lang w:eastAsia="ru-RU"/>
        </w:rPr>
        <w:br/>
      </w:r>
      <w:r w:rsidRPr="007314E4">
        <w:rPr>
          <w:rFonts w:eastAsia="Times New Roman"/>
          <w:szCs w:val="28"/>
          <w:lang w:eastAsia="ru-RU"/>
        </w:rPr>
        <w:t>в 2020 году, как и в 2019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7314E4">
        <w:rPr>
          <w:rFonts w:eastAsia="Times New Roman"/>
          <w:szCs w:val="28"/>
          <w:lang w:eastAsia="ru-RU"/>
        </w:rPr>
        <w:t xml:space="preserve">В 2020 году родилось 2 548 детей, что на 32 ребенка меньше, чем </w:t>
      </w:r>
      <w:r w:rsidR="007314E4">
        <w:rPr>
          <w:rFonts w:eastAsia="Times New Roman"/>
          <w:szCs w:val="28"/>
          <w:lang w:eastAsia="ru-RU"/>
        </w:rPr>
        <w:br/>
      </w:r>
      <w:r w:rsidRPr="007314E4">
        <w:rPr>
          <w:rFonts w:eastAsia="Times New Roman"/>
          <w:szCs w:val="28"/>
          <w:lang w:eastAsia="ru-RU"/>
        </w:rPr>
        <w:t xml:space="preserve">в 2019 году. При этом на фоне </w:t>
      </w:r>
      <w:proofErr w:type="gramStart"/>
      <w:r w:rsidRPr="007314E4">
        <w:rPr>
          <w:rFonts w:eastAsia="Times New Roman"/>
          <w:szCs w:val="28"/>
          <w:lang w:eastAsia="ru-RU"/>
        </w:rPr>
        <w:t>сокращения среднегодовой численности населения города Мурманска</w:t>
      </w:r>
      <w:proofErr w:type="gramEnd"/>
      <w:r w:rsidRPr="007314E4">
        <w:rPr>
          <w:rFonts w:eastAsia="Times New Roman"/>
          <w:szCs w:val="28"/>
          <w:lang w:eastAsia="ru-RU"/>
        </w:rPr>
        <w:t xml:space="preserve"> коэффициент</w:t>
      </w:r>
      <w:r w:rsidRPr="00E81FA7">
        <w:rPr>
          <w:rFonts w:eastAsia="Times New Roman"/>
          <w:szCs w:val="28"/>
          <w:lang w:eastAsia="ru-RU"/>
        </w:rPr>
        <w:t xml:space="preserve"> рождаемости в городе незначительно увеличился - с 8,89 человек на 1000 населения в 2019 году до 8,93 человек на 1000 населения в 2020 году.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В прогнозном периоде ожидается постепенное увеличение числа родившихся, что обусловлено мерами, принимаемыми в целях улучшения демографической обстановки, в том числе в рамках мероприятий муниципальных программ города Мурманска, направленных на реализацию на территории города национальных проектов Российской Федерации, утвержденных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w:t>
      </w:r>
      <w:proofErr w:type="gramEnd"/>
      <w:r w:rsidRPr="00E81FA7">
        <w:rPr>
          <w:rFonts w:eastAsia="Times New Roman"/>
          <w:szCs w:val="28"/>
          <w:lang w:eastAsia="ru-RU"/>
        </w:rPr>
        <w:t xml:space="preserve"> частности национального проекта «Демография». Кроме того, ожидается положительное влияние на уровень рождаемости реализации комплекса мер, принимаемых в рамках указанного национального проекта на региональном уровне (адресные выплаты, материнский капитал, льготная ипотека).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Ожидается, что к концу 2021 года уровень рождаемости возрастет </w:t>
      </w:r>
      <w:r w:rsidR="007314E4">
        <w:rPr>
          <w:rFonts w:eastAsia="Times New Roman"/>
          <w:szCs w:val="28"/>
          <w:lang w:eastAsia="ru-RU"/>
        </w:rPr>
        <w:br/>
      </w:r>
      <w:r w:rsidRPr="00E81FA7">
        <w:rPr>
          <w:rFonts w:eastAsia="Times New Roman"/>
          <w:szCs w:val="28"/>
          <w:lang w:eastAsia="ru-RU"/>
        </w:rPr>
        <w:t xml:space="preserve">до 9,07 человек на 1000 населения, в 2026 году – до 10,59 человек </w:t>
      </w:r>
      <w:r w:rsidR="007314E4">
        <w:rPr>
          <w:rFonts w:eastAsia="Times New Roman"/>
          <w:szCs w:val="28"/>
          <w:lang w:eastAsia="ru-RU"/>
        </w:rPr>
        <w:br/>
      </w:r>
      <w:r w:rsidRPr="00E81FA7">
        <w:rPr>
          <w:rFonts w:eastAsia="Times New Roman"/>
          <w:szCs w:val="28"/>
          <w:lang w:eastAsia="ru-RU"/>
        </w:rPr>
        <w:t>на 1000 населения.</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рамках муниципальных программ города Мурманска в целях поддержки уровня рождаемости реализуются мероприятия по предоставлению молодым и многодетным семьям социальных выплат на приобретение жилья (муниципальная программа города Мурманска «Управление имуществом и жилищная политика» на 2018-2024 годы). Так в 2020 году свидетельства о праве на получение социальной выплаты на приобретение (строительство) </w:t>
      </w:r>
      <w:r w:rsidRPr="00E81FA7">
        <w:rPr>
          <w:rFonts w:eastAsia="Times New Roman"/>
          <w:szCs w:val="28"/>
          <w:lang w:eastAsia="ru-RU"/>
        </w:rPr>
        <w:lastRenderedPageBreak/>
        <w:t xml:space="preserve">жилья получили 110 молодых и 12 многодетных семей. С использованием социальной выплаты улучшили свои жилищные условия 105 молодых семей и 11 многодетных семей. Также 18 семьям в 2020 году предоставлены дополнительные социальные выплаты в связи с рождением (усыновлением) ребенка.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В соответствии с Законом Мурманской области от 19.12.2019 №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с 01.01.2020 многодетные семьи в случае их согласия имеют право на предоставление меры социальной поддержки по обеспечению жилыми помещениями в виде единовременной денежной выплаты взамен предоставления им в собственность земельного участка. </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2020 году единовременная денежная выплата предоставлена </w:t>
      </w:r>
      <w:r w:rsidR="007314E4">
        <w:rPr>
          <w:rFonts w:eastAsia="Times New Roman"/>
          <w:szCs w:val="28"/>
          <w:lang w:eastAsia="ru-RU"/>
        </w:rPr>
        <w:br/>
      </w:r>
      <w:r w:rsidRPr="00E81FA7">
        <w:rPr>
          <w:rFonts w:eastAsia="Times New Roman"/>
          <w:szCs w:val="28"/>
          <w:lang w:eastAsia="ru-RU"/>
        </w:rPr>
        <w:t xml:space="preserve">163 многодетным семьям. С учетом сложности жилищного строительства в условиях Крайнего Севера указанная мера является эффективным средством повышения обеспеченности многодетных семей жильем и, соответственно, стимулирования увеличение рождаемости.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Кроме того, повышению уровня рождаемости во многом способствует повышение качества родовспоможения и медицинской помощи, оказываемой женщинам во время беременности и родов (в частности за счет реализации программы «Родовой сертификат»).</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Коэффициент смертности в 2020 году составил 14,67 человек </w:t>
      </w:r>
      <w:r w:rsidR="007314E4">
        <w:rPr>
          <w:rFonts w:eastAsia="Times New Roman"/>
          <w:szCs w:val="28"/>
          <w:lang w:eastAsia="ru-RU"/>
        </w:rPr>
        <w:br/>
      </w:r>
      <w:r w:rsidRPr="00E81FA7">
        <w:rPr>
          <w:rFonts w:eastAsia="Times New Roman"/>
          <w:szCs w:val="28"/>
          <w:lang w:eastAsia="ru-RU"/>
        </w:rPr>
        <w:t xml:space="preserve">на 1000 населения. В текущем году ожидается некоторое увеличение коэффициента смертности - до 15,21 человек на 1000 населения.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среднесрочном периоде в силу сокращения доли населения старше трудоспособного возраста и стабилизации эпидемиологической обстановки уровень смертности достигнет уровня 13,43 человек на 1000 населения </w:t>
      </w:r>
      <w:r w:rsidR="007314E4">
        <w:rPr>
          <w:rFonts w:eastAsia="Times New Roman"/>
          <w:szCs w:val="28"/>
          <w:lang w:eastAsia="ru-RU"/>
        </w:rPr>
        <w:br/>
      </w:r>
      <w:r w:rsidRPr="00E81FA7">
        <w:rPr>
          <w:rFonts w:eastAsia="Times New Roman"/>
          <w:szCs w:val="28"/>
          <w:lang w:eastAsia="ru-RU"/>
        </w:rPr>
        <w:t xml:space="preserve">в 2026 году.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результате описанных выше тенденций уровень естественной убыли населения предположительно увеличится с 5,74 человек на 1000 населения в 2020 году до 6,14 человек на 1000 населения в 2021 году. В 2026 году данный показатель предположительно сократится до 2,84 человек на 1000 населения.</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Главным фактором сокращения численности </w:t>
      </w:r>
      <w:proofErr w:type="spellStart"/>
      <w:r w:rsidRPr="00E81FA7">
        <w:rPr>
          <w:rFonts w:eastAsia="Times New Roman"/>
          <w:szCs w:val="28"/>
          <w:lang w:eastAsia="ru-RU"/>
        </w:rPr>
        <w:t>мурманчан</w:t>
      </w:r>
      <w:proofErr w:type="spellEnd"/>
      <w:r w:rsidRPr="00E81FA7">
        <w:rPr>
          <w:rFonts w:eastAsia="Times New Roman"/>
          <w:szCs w:val="28"/>
          <w:lang w:eastAsia="ru-RU"/>
        </w:rPr>
        <w:t xml:space="preserve"> по-прежнему остается значительный миграционный отток населения. В 2020 году миграционная убыль населения составила 3029 человек.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При этом отмечено значительное сокращение показателя по сравнению с уровнем 2019 года – на 741 человека, или на 19,7%.</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2020 году было отмечено сокращение как числа прибывших, так и числа выбывших – на 17% до 8 203 человек и на 17,8% до 11 266 человек соответственно.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Сокращение количества выбывших является важным результатом реализации мер, направленных на повышение уровня жизни населения в рамках муниципальных программ города Мурманска, направленных на повышение комфорта городской среды, развитие системы образования, поддержку малого </w:t>
      </w:r>
      <w:r w:rsidRPr="00E81FA7">
        <w:rPr>
          <w:rFonts w:eastAsia="Times New Roman"/>
          <w:szCs w:val="28"/>
          <w:lang w:eastAsia="ru-RU"/>
        </w:rPr>
        <w:lastRenderedPageBreak/>
        <w:t>и среднего предпринимательства и т.д., а также региональных проектов, направленных на достижение целей национальных проектов Российской Федерации, и позволяет ожидать сглаживания отрицательного тренда механического движения населения в среднесрочном</w:t>
      </w:r>
      <w:proofErr w:type="gramEnd"/>
      <w:r w:rsidRPr="00E81FA7">
        <w:rPr>
          <w:rFonts w:eastAsia="Times New Roman"/>
          <w:szCs w:val="28"/>
          <w:lang w:eastAsia="ru-RU"/>
        </w:rPr>
        <w:t xml:space="preserve"> </w:t>
      </w:r>
      <w:proofErr w:type="gramStart"/>
      <w:r w:rsidRPr="00E81FA7">
        <w:rPr>
          <w:rFonts w:eastAsia="Times New Roman"/>
          <w:szCs w:val="28"/>
          <w:lang w:eastAsia="ru-RU"/>
        </w:rPr>
        <w:t>периоде</w:t>
      </w:r>
      <w:proofErr w:type="gramEnd"/>
      <w:r w:rsidRPr="00E81FA7">
        <w:rPr>
          <w:rFonts w:eastAsia="Times New Roman"/>
          <w:szCs w:val="28"/>
          <w:lang w:eastAsia="ru-RU"/>
        </w:rPr>
        <w:t>.</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Так, несмотря на то, что в прогнозном периоде предполагается сохранение отрицательного сальдо миграции, ожидается снижение темпов миграционного оттока населения с 10,62 человек на 1000 населения в 2020 году до 9,74 человек на 1000 населения в 2021 году и до 6,07 человек </w:t>
      </w:r>
      <w:r w:rsidR="007314E4">
        <w:rPr>
          <w:rFonts w:eastAsia="Times New Roman"/>
          <w:szCs w:val="28"/>
          <w:lang w:eastAsia="ru-RU"/>
        </w:rPr>
        <w:br/>
      </w:r>
      <w:r w:rsidRPr="00E81FA7">
        <w:rPr>
          <w:rFonts w:eastAsia="Times New Roman"/>
          <w:szCs w:val="28"/>
          <w:lang w:eastAsia="ru-RU"/>
        </w:rPr>
        <w:t>на 1000 населения в 2025 году за счет увеличивающейся потребности в трудовых ресурсах для реализации крупных инвестиционных проектов в</w:t>
      </w:r>
      <w:proofErr w:type="gramEnd"/>
      <w:r w:rsidRPr="00E81FA7">
        <w:rPr>
          <w:rFonts w:eastAsia="Times New Roman"/>
          <w:szCs w:val="28"/>
          <w:lang w:eastAsia="ru-RU"/>
        </w:rPr>
        <w:t xml:space="preserve"> </w:t>
      </w:r>
      <w:proofErr w:type="gramStart"/>
      <w:r w:rsidRPr="00E81FA7">
        <w:rPr>
          <w:rFonts w:eastAsia="Times New Roman"/>
          <w:szCs w:val="28"/>
          <w:lang w:eastAsia="ru-RU"/>
        </w:rPr>
        <w:t>рамках развития города Мурманска в качестве важного транспортного узла и одного из центров развития Арктической зоны Российской Федерации (в том числе в составе вновь созданной территории опережающего социально-экономического развития «Столица Арктики»), а также за счет общего повышения уровня жизни населения города.</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результате отрицательных демографических тенденций среднегодовая численность населения города Мурманска в 2020 году сократилась </w:t>
      </w:r>
      <w:r w:rsidR="007314E4">
        <w:rPr>
          <w:rFonts w:eastAsia="Times New Roman"/>
          <w:szCs w:val="28"/>
          <w:lang w:eastAsia="ru-RU"/>
        </w:rPr>
        <w:br/>
      </w:r>
      <w:r w:rsidRPr="00E81FA7">
        <w:rPr>
          <w:rFonts w:eastAsia="Times New Roman"/>
          <w:szCs w:val="28"/>
          <w:lang w:eastAsia="ru-RU"/>
        </w:rPr>
        <w:t xml:space="preserve">на 4 807 человека и составила 285,35 тыс. человек. С учетом наблюдаемых в первом полугодии 2021 года уровней естественного и механического движения населения ожидаемая среднегодовая численность населения в 2021 году составит 285,79 тыс. человек.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прогнозном периоде в результате описанных выше негативных тенденций ожидается дальнейшее сокращение численности населения города Мурманска. В 2025 году среднегодовая численность населения предположительно составит 280,62 тыс. человек.</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На улучшение демографической ситуации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и т.д.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Важным фактором, сдерживающим миграционный отток жителей города Мурманска (в том числе трудоспособного возраста) является повышение уровня благоустройства городской среды. Распоряжением Правительства Мурманской области от 01.03.2021 № 37-РП утвержден План мероприятий по комплексному благоустройству административного центра Мурманской области – города-героя Мурманска «Наш Мурманск» до 2025 года. Проект инициирован губернатором Мурманской области А.В. Чибисом и будет реализован при поддержке Правительства Мурманской области, Фонда развития Дальнего Востока и Арктики, Корпорации развития Мурманской области. </w:t>
      </w:r>
      <w:proofErr w:type="gramStart"/>
      <w:r w:rsidRPr="00E81FA7">
        <w:rPr>
          <w:rFonts w:eastAsia="Times New Roman"/>
          <w:szCs w:val="28"/>
          <w:lang w:eastAsia="ru-RU"/>
        </w:rPr>
        <w:t xml:space="preserve">В рамках проекта планируется благоустройство и содержание в надлежащем состоянии дворовых территорий города Мурманска, создание комфортных условий проживания в каждом жилом квартале (микрорайоне) города (установка детских площадок, благоустройство территорий детских садов и школ), формирование современной транспортно-пешеходной </w:t>
      </w:r>
      <w:r w:rsidRPr="00E81FA7">
        <w:rPr>
          <w:rFonts w:eastAsia="Times New Roman"/>
          <w:szCs w:val="28"/>
          <w:lang w:eastAsia="ru-RU"/>
        </w:rPr>
        <w:lastRenderedPageBreak/>
        <w:t>инфраструктуры города Мурманска, формирование и поддержание облика города (разработка дизайн кода города Мурманска, формирование зеленого каркаса города, благоустройство общественных пространств города Мурманска, создание видовых</w:t>
      </w:r>
      <w:proofErr w:type="gramEnd"/>
      <w:r w:rsidRPr="00E81FA7">
        <w:rPr>
          <w:rFonts w:eastAsia="Times New Roman"/>
          <w:szCs w:val="28"/>
          <w:lang w:eastAsia="ru-RU"/>
        </w:rPr>
        <w:t xml:space="preserve"> площадок на территории города и т.д.).</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рамках Плана мероприятий по комплексному благоустройству административного центра Мурманской области – города-героя Мурманска «Наш Мурманск» до 2025 года также предусмотрена реализация проекта обновления промышленной территории в городе Мурманске – создание «Культурно-делового центра «Новый Мурманск». На месте судоремонтного предприятия планируется создать набережную, которая охватит действующий морской вокзал и площадь перед ним, и современное общественное пространство с арктическим музеем, </w:t>
      </w:r>
      <w:proofErr w:type="spellStart"/>
      <w:r w:rsidRPr="00E81FA7">
        <w:rPr>
          <w:rFonts w:eastAsia="Times New Roman"/>
          <w:szCs w:val="28"/>
          <w:lang w:eastAsia="ru-RU"/>
        </w:rPr>
        <w:t>апарт</w:t>
      </w:r>
      <w:proofErr w:type="spellEnd"/>
      <w:r w:rsidRPr="00E81FA7">
        <w:rPr>
          <w:rFonts w:eastAsia="Times New Roman"/>
          <w:szCs w:val="28"/>
          <w:lang w:eastAsia="ru-RU"/>
        </w:rPr>
        <w:t xml:space="preserve">-отелями, гастрономическим кластером. Также концепция включает обновление и благоустройство прилегающих территорий, в которые входит одна из визитных карточек города Мурманска – железнодорожный вокзал. Данный проект позволит поддержать уже существующие городские инициативы, улучшить качество городского пространства, повысить экономическую активность, запустить новые креативные проекты и сделать Мурманск привлекательнее – как для горожан, так и для туристов. </w:t>
      </w:r>
    </w:p>
    <w:p w:rsidR="0018260A"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Ключевым риском ухудшения демографической ситуации, учтенным в базовом варианте прогноза, может стать увеличение миграционного оттока населения в случае отмены реализации крупных инвестиционных проектов, а также в случае роста безработицы. Кроме того,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w:t>
      </w:r>
    </w:p>
    <w:p w:rsidR="00E81FA7" w:rsidRPr="007314E4" w:rsidRDefault="00E81FA7" w:rsidP="007314E4">
      <w:pPr>
        <w:overflowPunct w:val="0"/>
        <w:autoSpaceDE w:val="0"/>
        <w:autoSpaceDN w:val="0"/>
        <w:adjustRightInd w:val="0"/>
        <w:spacing w:after="0" w:line="240" w:lineRule="auto"/>
        <w:ind w:firstLine="709"/>
        <w:jc w:val="center"/>
        <w:textAlignment w:val="baseline"/>
        <w:rPr>
          <w:rFonts w:eastAsia="Times New Roman"/>
          <w:bCs/>
          <w:szCs w:val="28"/>
          <w:lang w:eastAsia="ru-RU"/>
        </w:rPr>
      </w:pPr>
    </w:p>
    <w:p w:rsidR="0018260A" w:rsidRPr="007314E4" w:rsidRDefault="0018260A" w:rsidP="007314E4">
      <w:pPr>
        <w:overflowPunct w:val="0"/>
        <w:autoSpaceDE w:val="0"/>
        <w:autoSpaceDN w:val="0"/>
        <w:adjustRightInd w:val="0"/>
        <w:spacing w:after="0" w:line="240" w:lineRule="auto"/>
        <w:ind w:firstLine="709"/>
        <w:jc w:val="center"/>
        <w:textAlignment w:val="baseline"/>
        <w:rPr>
          <w:rFonts w:eastAsia="Times New Roman"/>
          <w:bCs/>
          <w:szCs w:val="28"/>
          <w:lang w:eastAsia="ru-RU"/>
        </w:rPr>
      </w:pPr>
      <w:r w:rsidRPr="007314E4">
        <w:rPr>
          <w:rFonts w:eastAsia="Times New Roman"/>
          <w:bCs/>
          <w:szCs w:val="28"/>
          <w:lang w:eastAsia="ru-RU"/>
        </w:rPr>
        <w:t>Производство товаров и услуг</w:t>
      </w:r>
    </w:p>
    <w:p w:rsidR="0018260A" w:rsidRPr="00E81FA7"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highlight w:val="green"/>
          <w:lang w:eastAsia="ru-RU"/>
        </w:rPr>
      </w:pP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В 2020 году темп роста промышленного производства составил 101,5% к 2019 году. Индекс промышленного производства в сопоставимых ценах с учетом </w:t>
      </w:r>
      <w:proofErr w:type="spellStart"/>
      <w:r w:rsidRPr="00E81FA7">
        <w:rPr>
          <w:rFonts w:eastAsia="Times New Roman"/>
          <w:bCs/>
          <w:szCs w:val="28"/>
          <w:lang w:eastAsia="ru-RU"/>
        </w:rPr>
        <w:t>среднеобластных</w:t>
      </w:r>
      <w:proofErr w:type="spellEnd"/>
      <w:r w:rsidRPr="00E81FA7">
        <w:rPr>
          <w:rFonts w:eastAsia="Times New Roman"/>
          <w:bCs/>
          <w:szCs w:val="28"/>
          <w:lang w:eastAsia="ru-RU"/>
        </w:rPr>
        <w:t xml:space="preserve"> индексов-дефляторов по основным видам экономической деятельности составил 85,3% к 2019 году.</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Необходимо отметить, что вспышка </w:t>
      </w:r>
      <w:proofErr w:type="spellStart"/>
      <w:r w:rsidRPr="00E81FA7">
        <w:rPr>
          <w:rFonts w:eastAsia="Times New Roman"/>
          <w:bCs/>
          <w:szCs w:val="28"/>
          <w:lang w:eastAsia="ru-RU"/>
        </w:rPr>
        <w:t>коронавирусной</w:t>
      </w:r>
      <w:proofErr w:type="spellEnd"/>
      <w:r w:rsidRPr="00E81FA7">
        <w:rPr>
          <w:rFonts w:eastAsia="Times New Roman"/>
          <w:bCs/>
          <w:szCs w:val="28"/>
          <w:lang w:eastAsia="ru-RU"/>
        </w:rPr>
        <w:t xml:space="preserve"> инфекции не оказала существенного негативного влияния на промышленное развитие города.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proofErr w:type="gramStart"/>
      <w:r w:rsidRPr="00E81FA7">
        <w:rPr>
          <w:rFonts w:eastAsia="Times New Roman"/>
          <w:bCs/>
          <w:szCs w:val="28"/>
          <w:lang w:eastAsia="ru-RU"/>
        </w:rPr>
        <w:t xml:space="preserve">Объем отгруженных товаров собственного производства, выполненных работ и услуг собственными силами организаций по видам деятельности, относящимся к промышленному производству по крупным и средним предприятиям, в 2020 году составил 117,9 млрд. рублей благодаря росту показателя в сферах обрабатывающей промышленности в части </w:t>
      </w:r>
      <w:r w:rsidRPr="00E81FA7">
        <w:rPr>
          <w:rFonts w:eastAsia="Times New Roman"/>
          <w:szCs w:val="28"/>
          <w:lang w:eastAsia="ru-RU"/>
        </w:rPr>
        <w:t>производства текстильных изделий в 14 421 раз к 2019 году, а также обработки древесины и производстве изделий из дерева и</w:t>
      </w:r>
      <w:proofErr w:type="gramEnd"/>
      <w:r w:rsidRPr="00E81FA7">
        <w:rPr>
          <w:rFonts w:eastAsia="Times New Roman"/>
          <w:szCs w:val="28"/>
          <w:lang w:eastAsia="ru-RU"/>
        </w:rPr>
        <w:t xml:space="preserve"> пробки, кроме мебели, производства изделий из соломки и материалов для плетения в 56,5 раз к 2019 году.</w:t>
      </w:r>
      <w:r w:rsidRPr="00E81FA7">
        <w:rPr>
          <w:rFonts w:eastAsia="Times New Roman"/>
          <w:bCs/>
          <w:szCs w:val="28"/>
          <w:lang w:eastAsia="ru-RU"/>
        </w:rPr>
        <w:t xml:space="preserve">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Основную долю в структуре отгрузки обрабатывающей промышленности (97,5 млрд. рублей) занимает производство пищевых продуктов (72,7%), что </w:t>
      </w:r>
      <w:r w:rsidRPr="00E81FA7">
        <w:rPr>
          <w:rFonts w:eastAsia="Times New Roman"/>
          <w:bCs/>
          <w:szCs w:val="28"/>
          <w:lang w:eastAsia="ru-RU"/>
        </w:rPr>
        <w:lastRenderedPageBreak/>
        <w:t xml:space="preserve">связано с высокими показателями по переработке и консервированию рыбы, ракообразных и моллюсков, которые, в свою очередь, составили 92,4% в объеме производства пищевых продуктов в 2020 году. К крупнейшим предприятиям рыбопромышленного комплекса города Мурманска можно отнести: </w:t>
      </w:r>
      <w:proofErr w:type="gramStart"/>
      <w:r w:rsidRPr="00E81FA7">
        <w:rPr>
          <w:rFonts w:eastAsia="Times New Roman"/>
          <w:bCs/>
          <w:szCs w:val="28"/>
          <w:lang w:eastAsia="ru-RU"/>
        </w:rPr>
        <w:t>ПАО «Мурманский траловый флот», ЗАО «</w:t>
      </w:r>
      <w:proofErr w:type="spellStart"/>
      <w:r w:rsidRPr="00E81FA7">
        <w:rPr>
          <w:rFonts w:eastAsia="Times New Roman"/>
          <w:bCs/>
          <w:szCs w:val="28"/>
          <w:lang w:eastAsia="ru-RU"/>
        </w:rPr>
        <w:t>Арктиксервис</w:t>
      </w:r>
      <w:proofErr w:type="spellEnd"/>
      <w:r w:rsidRPr="00E81FA7">
        <w:rPr>
          <w:rFonts w:eastAsia="Times New Roman"/>
          <w:bCs/>
          <w:szCs w:val="28"/>
          <w:lang w:eastAsia="ru-RU"/>
        </w:rPr>
        <w:t xml:space="preserve">», </w:t>
      </w:r>
      <w:r w:rsidRPr="00E81FA7">
        <w:rPr>
          <w:rFonts w:eastAsia="Times New Roman"/>
          <w:bCs/>
          <w:szCs w:val="28"/>
          <w:lang w:eastAsia="ru-RU"/>
        </w:rPr>
        <w:br/>
        <w:t>АО «Карат-1», ООО «СЗРК-Мурманск», АО «</w:t>
      </w:r>
      <w:proofErr w:type="spellStart"/>
      <w:r w:rsidRPr="00E81FA7">
        <w:rPr>
          <w:rFonts w:eastAsia="Times New Roman"/>
          <w:bCs/>
          <w:szCs w:val="28"/>
          <w:lang w:eastAsia="ru-RU"/>
        </w:rPr>
        <w:t>Таурус</w:t>
      </w:r>
      <w:proofErr w:type="spellEnd"/>
      <w:r w:rsidRPr="00E81FA7">
        <w:rPr>
          <w:rFonts w:eastAsia="Times New Roman"/>
          <w:bCs/>
          <w:szCs w:val="28"/>
          <w:lang w:eastAsia="ru-RU"/>
        </w:rPr>
        <w:t>», ООО «Северо-Западная краболовная компания», АО «</w:t>
      </w:r>
      <w:proofErr w:type="spellStart"/>
      <w:r w:rsidRPr="00E81FA7">
        <w:rPr>
          <w:rFonts w:eastAsia="Times New Roman"/>
          <w:bCs/>
          <w:szCs w:val="28"/>
          <w:lang w:eastAsia="ru-RU"/>
        </w:rPr>
        <w:t>Рыбпроминвест</w:t>
      </w:r>
      <w:proofErr w:type="spellEnd"/>
      <w:r w:rsidRPr="00E81FA7">
        <w:rPr>
          <w:rFonts w:eastAsia="Times New Roman"/>
          <w:bCs/>
          <w:szCs w:val="28"/>
          <w:lang w:eastAsia="ru-RU"/>
        </w:rPr>
        <w:t>», АО «Стрелец».</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Согласно Сводной стратегии развития обрабатывающей промышленности Российской Федерации до 2024 года и на период </w:t>
      </w:r>
      <w:r w:rsidR="007314E4">
        <w:rPr>
          <w:rFonts w:eastAsia="Times New Roman"/>
          <w:bCs/>
          <w:szCs w:val="28"/>
          <w:lang w:eastAsia="ru-RU"/>
        </w:rPr>
        <w:br/>
      </w:r>
      <w:r w:rsidRPr="00E81FA7">
        <w:rPr>
          <w:rFonts w:eastAsia="Times New Roman"/>
          <w:bCs/>
          <w:szCs w:val="28"/>
          <w:lang w:eastAsia="ru-RU"/>
        </w:rPr>
        <w:t>до 2035 года, утвержденной распоряжением Правительства Российской Федерации от 06.06.2020 № 1512-р, промышленные предприятия являются ключевыми работодателями, успешно совмещающими рост производительности труда и увеличение занятости. Так среднесписочная численность работников по виду деятельности «Обрабатывающие производства» за период с начала 2020 года составила 6 972 человека (121,2% к 2019 году), рост среднемесячной номинально начисленной заработной платы составил 10% по сравнению с 2019 годом – 72,3 тыс. рублей.</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Перспективы развития обрабатывающей промышленности связаны с развитием </w:t>
      </w:r>
      <w:proofErr w:type="spellStart"/>
      <w:r w:rsidRPr="00E81FA7">
        <w:rPr>
          <w:rFonts w:eastAsia="Times New Roman"/>
          <w:bCs/>
          <w:szCs w:val="28"/>
          <w:lang w:eastAsia="ru-RU"/>
        </w:rPr>
        <w:t>рыбохозяйственного</w:t>
      </w:r>
      <w:proofErr w:type="spellEnd"/>
      <w:r w:rsidRPr="00E81FA7">
        <w:rPr>
          <w:rFonts w:eastAsia="Times New Roman"/>
          <w:bCs/>
          <w:szCs w:val="28"/>
          <w:lang w:eastAsia="ru-RU"/>
        </w:rPr>
        <w:t xml:space="preserve"> комплекса и Мурманского транспортного узла, </w:t>
      </w:r>
      <w:proofErr w:type="gramStart"/>
      <w:r w:rsidRPr="00E81FA7">
        <w:rPr>
          <w:rFonts w:eastAsia="Times New Roman"/>
          <w:bCs/>
          <w:szCs w:val="28"/>
          <w:lang w:eastAsia="ru-RU"/>
        </w:rPr>
        <w:t>обеспечивающими</w:t>
      </w:r>
      <w:proofErr w:type="gramEnd"/>
      <w:r w:rsidRPr="00E81FA7">
        <w:rPr>
          <w:rFonts w:eastAsia="Times New Roman"/>
          <w:bCs/>
          <w:szCs w:val="28"/>
          <w:lang w:eastAsia="ru-RU"/>
        </w:rPr>
        <w:t xml:space="preserve"> функционирование </w:t>
      </w:r>
      <w:proofErr w:type="spellStart"/>
      <w:r w:rsidRPr="00E81FA7">
        <w:rPr>
          <w:rFonts w:eastAsia="Times New Roman"/>
          <w:bCs/>
          <w:szCs w:val="28"/>
          <w:lang w:eastAsia="ru-RU"/>
        </w:rPr>
        <w:t>рыбоперерабатывающих</w:t>
      </w:r>
      <w:proofErr w:type="spellEnd"/>
      <w:r w:rsidRPr="00E81FA7">
        <w:rPr>
          <w:rFonts w:eastAsia="Times New Roman"/>
          <w:bCs/>
          <w:szCs w:val="28"/>
          <w:lang w:eastAsia="ru-RU"/>
        </w:rPr>
        <w:t xml:space="preserve"> и судоремонтных производств, а также внедрением инновационных видов деятельности.</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Во исполнение постановления Правительства Российской Федерации </w:t>
      </w:r>
      <w:r w:rsidRPr="00E81FA7">
        <w:rPr>
          <w:rFonts w:eastAsia="Times New Roman"/>
          <w:szCs w:val="28"/>
          <w:lang w:eastAsia="ru-RU"/>
        </w:rPr>
        <w:br/>
        <w:t xml:space="preserve">от 25.05.2017 № 632 «О подготовке и заключении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и (или) прибрежного рыболовства» (в редакции от 24.09.2020 № 1547) в городе Мурманске с 2019 года реализуются инвестиционные проекты по строительству рыбодобывающих судов и </w:t>
      </w:r>
      <w:proofErr w:type="spellStart"/>
      <w:r w:rsidRPr="00E81FA7">
        <w:rPr>
          <w:rFonts w:eastAsia="Times New Roman"/>
          <w:szCs w:val="28"/>
          <w:lang w:eastAsia="ru-RU"/>
        </w:rPr>
        <w:t>рыбоперерабатывающих</w:t>
      </w:r>
      <w:proofErr w:type="spellEnd"/>
      <w:r w:rsidRPr="00E81FA7">
        <w:rPr>
          <w:rFonts w:eastAsia="Times New Roman"/>
          <w:szCs w:val="28"/>
          <w:lang w:eastAsia="ru-RU"/>
        </w:rPr>
        <w:t xml:space="preserve"> заводов.</w:t>
      </w:r>
      <w:proofErr w:type="gramEnd"/>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 xml:space="preserve">В 2020 году на территории муниципального образования город Мурманск реализован инвестиционный проект «Строительство </w:t>
      </w:r>
      <w:proofErr w:type="spellStart"/>
      <w:r w:rsidRPr="00E81FA7">
        <w:rPr>
          <w:rFonts w:eastAsia="Times New Roman"/>
          <w:szCs w:val="28"/>
          <w:lang w:eastAsia="ru-RU"/>
        </w:rPr>
        <w:t>рыбоперерабатывающего</w:t>
      </w:r>
      <w:proofErr w:type="spellEnd"/>
      <w:r w:rsidRPr="00E81FA7">
        <w:rPr>
          <w:rFonts w:eastAsia="Times New Roman"/>
          <w:szCs w:val="28"/>
          <w:lang w:eastAsia="ru-RU"/>
        </w:rPr>
        <w:t xml:space="preserve"> завод</w:t>
      </w:r>
      <w:proofErr w:type="gramStart"/>
      <w:r w:rsidRPr="00E81FA7">
        <w:rPr>
          <w:rFonts w:eastAsia="Times New Roman"/>
          <w:szCs w:val="28"/>
          <w:lang w:eastAsia="ru-RU"/>
        </w:rPr>
        <w:t>а ООО</w:t>
      </w:r>
      <w:proofErr w:type="gramEnd"/>
      <w:r w:rsidRPr="00E81FA7">
        <w:rPr>
          <w:rFonts w:eastAsia="Times New Roman"/>
          <w:szCs w:val="28"/>
          <w:lang w:eastAsia="ru-RU"/>
        </w:rPr>
        <w:t xml:space="preserve"> «Русская пикша». Суммарная производительность объекта – не менее 25 тонн готовой продукции в сутки (филе, фарш). Проект реализован в рамках государственной программы поддержки модернизации </w:t>
      </w:r>
      <w:proofErr w:type="spellStart"/>
      <w:r w:rsidRPr="00E81FA7">
        <w:rPr>
          <w:rFonts w:eastAsia="Times New Roman"/>
          <w:szCs w:val="28"/>
          <w:lang w:eastAsia="ru-RU"/>
        </w:rPr>
        <w:t>рыбоперерабатывающей</w:t>
      </w:r>
      <w:proofErr w:type="spellEnd"/>
      <w:r w:rsidRPr="00E81FA7">
        <w:rPr>
          <w:rFonts w:eastAsia="Times New Roman"/>
          <w:szCs w:val="28"/>
          <w:lang w:eastAsia="ru-RU"/>
        </w:rPr>
        <w:t xml:space="preserve"> отрасли. Предприятие получило квоты на добычу </w:t>
      </w:r>
      <w:r w:rsidR="007314E4">
        <w:rPr>
          <w:rFonts w:eastAsia="Times New Roman"/>
          <w:szCs w:val="28"/>
          <w:lang w:eastAsia="ru-RU"/>
        </w:rPr>
        <w:br/>
      </w:r>
      <w:r w:rsidRPr="00E81FA7">
        <w:rPr>
          <w:rFonts w:eastAsia="Times New Roman"/>
          <w:szCs w:val="28"/>
          <w:lang w:eastAsia="ru-RU"/>
        </w:rPr>
        <w:t xml:space="preserve">1000 тонн трески и пикши. </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 xml:space="preserve">В 2020 году реализован инвестиционный проект ООО «Парк» по строительству двух заводов по переработке трески, пикши и других видов рыб малой мощности и монтажу очистных сооружений и </w:t>
      </w:r>
      <w:proofErr w:type="spellStart"/>
      <w:r w:rsidRPr="00E81FA7">
        <w:rPr>
          <w:rFonts w:eastAsia="Times New Roman"/>
          <w:szCs w:val="28"/>
          <w:lang w:eastAsia="ru-RU"/>
        </w:rPr>
        <w:t>энергообеспечивающей</w:t>
      </w:r>
      <w:proofErr w:type="spellEnd"/>
      <w:r w:rsidRPr="00E81FA7">
        <w:rPr>
          <w:rFonts w:eastAsia="Times New Roman"/>
          <w:szCs w:val="28"/>
          <w:lang w:eastAsia="ru-RU"/>
        </w:rPr>
        <w:t xml:space="preserve"> инфраструктуры. Прибрежное производство двух заводов организовано с использованием инвестиционной квоты на вылов трески и пикши. В соответствии с постановлением Правительства Мурманской области от 12.05.2020 № 297-ПП данному инвестиционному проекту по строительству двух заводов малой мощности по переработке трески, пикши и других видов </w:t>
      </w:r>
      <w:r w:rsidRPr="00E81FA7">
        <w:rPr>
          <w:rFonts w:eastAsia="Times New Roman"/>
          <w:szCs w:val="28"/>
          <w:lang w:eastAsia="ru-RU"/>
        </w:rPr>
        <w:lastRenderedPageBreak/>
        <w:t xml:space="preserve">рыб и монтажу очистных сооружений и </w:t>
      </w:r>
      <w:proofErr w:type="spellStart"/>
      <w:r w:rsidRPr="00E81FA7">
        <w:rPr>
          <w:rFonts w:eastAsia="Times New Roman"/>
          <w:szCs w:val="28"/>
          <w:lang w:eastAsia="ru-RU"/>
        </w:rPr>
        <w:t>энергообеспечивающей</w:t>
      </w:r>
      <w:proofErr w:type="spellEnd"/>
      <w:r w:rsidRPr="00E81FA7">
        <w:rPr>
          <w:rFonts w:eastAsia="Times New Roman"/>
          <w:szCs w:val="28"/>
          <w:lang w:eastAsia="ru-RU"/>
        </w:rPr>
        <w:t xml:space="preserve"> инфраструктуры присвоен статус приоритетного инвестиционного проекта Мурманской области. Объем инвестиций по проекту - 192 млн. рублей, количество созданных рабочих мест – 88. Предоставлена государственная поддержка в форме льготы по налогу на имущество сроком на три года.</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Также реализован проект ООО «Причал-Л» по строительству завода по переработке трески, пикши и других видов рыб малой мощности. В соответствии с постановлением Правительства Мурманской области от 29.12.2020 № 970-ПП данному инвестиционному проекту по строительству завода малой мощности по переработке трески, пикши и других видов рыб присвоен статус приоритетного инвестиционного проекта Мурманской области. Объем инвестиций по проекту – 103,5 млн. рублей, количество созданных рабочих мест – 16. Предприятию предоставлена государственная поддержка в форме льготы по налогу на имущество организации и льготы по налогу на прибыль.</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 xml:space="preserve">Кроме того, в 2020 году выдано разрешение на ввод объекта </w:t>
      </w:r>
      <w:r w:rsidRPr="00E81FA7">
        <w:rPr>
          <w:rFonts w:eastAsia="Times New Roman"/>
          <w:szCs w:val="28"/>
          <w:lang w:eastAsia="ru-RU"/>
        </w:rPr>
        <w:br/>
        <w:t>«ООО «КЕДР ПЛЮС» – рыбообрабатывающее предприятие (как имущественный комплекс) производительностью 25 тонн готовой продукции в сутки и не менее трех тонн в сутки продукции из отходов рыбного производства».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0"/>
          <w:shd w:val="clear" w:color="auto" w:fill="FFFFFF"/>
          <w:lang w:eastAsia="ru-RU"/>
        </w:rPr>
      </w:pPr>
      <w:r w:rsidRPr="00E81FA7">
        <w:rPr>
          <w:rFonts w:eastAsia="Times New Roman"/>
          <w:bCs/>
          <w:szCs w:val="28"/>
          <w:lang w:eastAsia="ru-RU"/>
        </w:rPr>
        <w:t>В сентябре 2020 года введен в эксплуатацию рефрижератор «Вымпел» (ООО «</w:t>
      </w:r>
      <w:proofErr w:type="spellStart"/>
      <w:r w:rsidRPr="00E81FA7">
        <w:rPr>
          <w:rFonts w:eastAsia="Times New Roman"/>
          <w:bCs/>
          <w:szCs w:val="28"/>
          <w:lang w:eastAsia="ru-RU"/>
        </w:rPr>
        <w:t>Карелрыба</w:t>
      </w:r>
      <w:proofErr w:type="spellEnd"/>
      <w:r w:rsidRPr="00E81FA7">
        <w:rPr>
          <w:rFonts w:eastAsia="Times New Roman"/>
          <w:bCs/>
          <w:szCs w:val="28"/>
          <w:lang w:eastAsia="ru-RU"/>
        </w:rPr>
        <w:t xml:space="preserve">»). </w:t>
      </w:r>
      <w:r w:rsidRPr="00E81FA7">
        <w:rPr>
          <w:rFonts w:eastAsia="Times New Roman"/>
          <w:szCs w:val="20"/>
          <w:shd w:val="clear" w:color="auto" w:fill="FFFFFF"/>
          <w:lang w:eastAsia="ru-RU"/>
        </w:rPr>
        <w:t xml:space="preserve">На судне установлены современное промысловое устройство и высокопроизводительный </w:t>
      </w:r>
      <w:proofErr w:type="spellStart"/>
      <w:r w:rsidRPr="00E81FA7">
        <w:rPr>
          <w:rFonts w:eastAsia="Times New Roman"/>
          <w:szCs w:val="20"/>
          <w:shd w:val="clear" w:color="auto" w:fill="FFFFFF"/>
          <w:lang w:eastAsia="ru-RU"/>
        </w:rPr>
        <w:t>рыбоперерабатывающий</w:t>
      </w:r>
      <w:proofErr w:type="spellEnd"/>
      <w:r w:rsidRPr="00E81FA7">
        <w:rPr>
          <w:rFonts w:eastAsia="Times New Roman"/>
          <w:szCs w:val="20"/>
          <w:shd w:val="clear" w:color="auto" w:fill="FFFFFF"/>
          <w:lang w:eastAsia="ru-RU"/>
        </w:rPr>
        <w:t xml:space="preserve"> комплекс, позволяющий производить первичную обработку и охлаждение рыбы. Объём рефрижераторного трюма обеспечивает размещение улова массой до 70 тонн. Эксплуатация судна позволит предприятию претендовать на дополнительные квоты по вылову трески и пикши в Северном рыбопромысловом бассейне в акватории Баренцева и Белого морей.</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0"/>
          <w:shd w:val="clear" w:color="auto" w:fill="FFFFFF"/>
          <w:lang w:eastAsia="ru-RU"/>
        </w:rPr>
        <w:t xml:space="preserve">В прогнозном периоде планируется строительство 12 траулеров-процессоров и одной береговой рыбной фабрики под инвестиционные квоты в рамках реализации Федерального закона от 20.12.2004 № 166-ФЗ </w:t>
      </w:r>
      <w:r w:rsidR="007314E4">
        <w:rPr>
          <w:rFonts w:eastAsia="Times New Roman"/>
          <w:szCs w:val="20"/>
          <w:shd w:val="clear" w:color="auto" w:fill="FFFFFF"/>
          <w:lang w:eastAsia="ru-RU"/>
        </w:rPr>
        <w:br/>
      </w:r>
      <w:r w:rsidRPr="00E81FA7">
        <w:rPr>
          <w:rFonts w:eastAsia="Times New Roman"/>
          <w:szCs w:val="20"/>
          <w:shd w:val="clear" w:color="auto" w:fill="FFFFFF"/>
          <w:lang w:eastAsia="ru-RU"/>
        </w:rPr>
        <w:t xml:space="preserve">«О рыболовстве и сохранении водных биологических ресурсов», что позволит </w:t>
      </w:r>
      <w:r w:rsidRPr="00E81FA7">
        <w:rPr>
          <w:rFonts w:eastAsia="Times New Roman"/>
          <w:szCs w:val="28"/>
          <w:lang w:eastAsia="ru-RU"/>
        </w:rPr>
        <w:t xml:space="preserve">увеличить производство продукции с высокой добавленной стоимостью и позволит сохранить развитие пищевой промышленности в целевом варианте прогноза.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В 2020 году отмечен рост производства прочих транспортных средств и оборудования (в 3,0 раза к уровню 2019 года).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Снижение производства в 2020 году наблюдалось по виду деятельности «Ремонт и монтаж машин и оборудования» (62,4% к 2019 году) за счет значительного уменьшения объема отгрузки работ и услуг по ремонту и техническому обслуживанию судов и лодок (49,4% к 2019 году). Индекс производства составил 60,6% с учетом областных индексов-дефляторов в результате уменьшения объема отгрузки работ и услуг по ремонту и техническому обслуживанию судов и лодок.</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lastRenderedPageBreak/>
        <w:t xml:space="preserve">Реализация проектов филиала «35 Судоремонтный завод» АО «Центр судоремонта «Звездочка» по техническому перевооружению производственных мощностей, реконструкции и техническому перевооружению двухкамерного сухого дока, а также строительство верфи по изготовлению модульных конструкций верхних строений нефтегазодобывающих сооружений для арктического шельфа на территории филиала «35 Судоремонтный завод» </w:t>
      </w:r>
      <w:r w:rsidRPr="00E81FA7">
        <w:rPr>
          <w:rFonts w:eastAsia="Times New Roman"/>
          <w:szCs w:val="28"/>
          <w:lang w:eastAsia="ru-RU"/>
        </w:rPr>
        <w:br/>
        <w:t>АО «Центр судоремонта «Звездочка» позволит увеличить производственные мощности предприятий и обеспечить рост промышленного производства по видам деятельности</w:t>
      </w:r>
      <w:proofErr w:type="gramEnd"/>
      <w:r w:rsidRPr="00E81FA7">
        <w:rPr>
          <w:rFonts w:eastAsia="Times New Roman"/>
          <w:szCs w:val="28"/>
          <w:lang w:eastAsia="ru-RU"/>
        </w:rPr>
        <w:t xml:space="preserve"> «Производство прочих транспортных средств и оборудования» и «Ремонт и монтаж машин и оборудования» в 2021-2026 годах. </w:t>
      </w:r>
      <w:proofErr w:type="gramStart"/>
      <w:r w:rsidRPr="00E81FA7">
        <w:rPr>
          <w:rFonts w:eastAsia="Times New Roman"/>
          <w:szCs w:val="28"/>
          <w:lang w:eastAsia="ru-RU"/>
        </w:rPr>
        <w:t xml:space="preserve">Проект по строительству опорной базы берегового обеспечения шельфовых проектов в Арктической зоне Российской Федерации с созданием промышленного кластера </w:t>
      </w:r>
      <w:proofErr w:type="spellStart"/>
      <w:r w:rsidRPr="00E81FA7">
        <w:rPr>
          <w:rFonts w:eastAsia="Times New Roman"/>
          <w:szCs w:val="28"/>
          <w:lang w:eastAsia="ru-RU"/>
        </w:rPr>
        <w:t>нефтесервисных</w:t>
      </w:r>
      <w:proofErr w:type="spellEnd"/>
      <w:r w:rsidRPr="00E81FA7">
        <w:rPr>
          <w:rFonts w:eastAsia="Times New Roman"/>
          <w:szCs w:val="28"/>
          <w:lang w:eastAsia="ru-RU"/>
        </w:rPr>
        <w:t xml:space="preserve"> производств и центра сервисного обслуживания кораблей и судов, осуществляющих плавание в акватории Северного морского пути, в районе </w:t>
      </w:r>
      <w:proofErr w:type="spellStart"/>
      <w:r w:rsidRPr="00E81FA7">
        <w:rPr>
          <w:rFonts w:eastAsia="Times New Roman"/>
          <w:szCs w:val="28"/>
          <w:lang w:eastAsia="ru-RU"/>
        </w:rPr>
        <w:t>Росляково</w:t>
      </w:r>
      <w:proofErr w:type="spellEnd"/>
      <w:r w:rsidRPr="00E81FA7">
        <w:rPr>
          <w:rFonts w:eastAsia="Times New Roman"/>
          <w:szCs w:val="28"/>
          <w:lang w:eastAsia="ru-RU"/>
        </w:rPr>
        <w:t xml:space="preserve"> г. Мурманска на базе </w:t>
      </w:r>
      <w:r w:rsidRPr="00E81FA7">
        <w:rPr>
          <w:rFonts w:eastAsia="Times New Roman"/>
          <w:szCs w:val="28"/>
          <w:lang w:eastAsia="ru-RU"/>
        </w:rPr>
        <w:br/>
        <w:t xml:space="preserve">АО «82 Судоремонтный завод», реализуемый ПАО «НК «Роснефть» и </w:t>
      </w:r>
      <w:r w:rsidRPr="00E81FA7">
        <w:rPr>
          <w:rFonts w:eastAsia="Times New Roman"/>
          <w:szCs w:val="28"/>
          <w:lang w:eastAsia="ru-RU"/>
        </w:rPr>
        <w:br/>
        <w:t>АО «82 Судоремонтный завод», а также проект по реконструкции Мурманской</w:t>
      </w:r>
      <w:proofErr w:type="gramEnd"/>
      <w:r w:rsidRPr="00E81FA7">
        <w:rPr>
          <w:rFonts w:eastAsia="Times New Roman"/>
          <w:szCs w:val="28"/>
          <w:lang w:eastAsia="ru-RU"/>
        </w:rPr>
        <w:t xml:space="preserve"> баз</w:t>
      </w:r>
      <w:proofErr w:type="gramStart"/>
      <w:r w:rsidRPr="00E81FA7">
        <w:rPr>
          <w:rFonts w:eastAsia="Times New Roman"/>
          <w:szCs w:val="28"/>
          <w:lang w:eastAsia="ru-RU"/>
        </w:rPr>
        <w:t>ы ООО</w:t>
      </w:r>
      <w:proofErr w:type="gramEnd"/>
      <w:r w:rsidRPr="00E81FA7">
        <w:rPr>
          <w:rFonts w:eastAsia="Times New Roman"/>
          <w:szCs w:val="28"/>
          <w:lang w:eastAsia="ru-RU"/>
        </w:rPr>
        <w:t xml:space="preserve"> «Газпром флот» для обеспечения работ на арктическом шельфе Российской Федерации (участки № 1 и № 2) в целевом варианте прогноза также позволят увеличить рост промышленного производства с 2021 года, а также реализовать перспективы города Мурманска как форпоста России при освоении Арктики.</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4"/>
          <w:shd w:val="clear" w:color="auto" w:fill="FFFFFF"/>
          <w:lang w:eastAsia="ru-RU"/>
        </w:rPr>
      </w:pPr>
      <w:proofErr w:type="gramStart"/>
      <w:r w:rsidRPr="00E81FA7">
        <w:rPr>
          <w:rFonts w:eastAsia="Times New Roman"/>
          <w:szCs w:val="24"/>
          <w:shd w:val="clear" w:color="auto" w:fill="FFFFFF"/>
          <w:lang w:eastAsia="ru-RU"/>
        </w:rPr>
        <w:t>Так в целях создания условий для укрепления экономических позиций Российской Федерации в Арктической зоне Российской Федерации, обеспечения региона конкурентными преимуществами для привлечения инвесторов, создания промышленных, транспортно-логистических и туристских объектов, стимулирования социально-экономического развития Мурманской области посредством создания дополнительных рабочих мест, привлечения инвестиций и увеличения налоговых поступлений в местный бюджет, в соответствии с постановлением Правительства Российской Федерации от 12.05.2020 № 656 «О создании</w:t>
      </w:r>
      <w:proofErr w:type="gramEnd"/>
      <w:r w:rsidRPr="00E81FA7">
        <w:rPr>
          <w:rFonts w:eastAsia="Times New Roman"/>
          <w:szCs w:val="24"/>
          <w:shd w:val="clear" w:color="auto" w:fill="FFFFFF"/>
          <w:lang w:eastAsia="ru-RU"/>
        </w:rPr>
        <w:t xml:space="preserve"> территории опережающего социально-экономического развития «Столица Арктики» на территориях муниципального образования «Кольский район» и городского округа «Город Мурманск» Мурманской области создана территория опережающего социально-экономического развития «Столица Арктики» (далее – ТОР «Столица Арктики»).</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4"/>
          <w:shd w:val="clear" w:color="auto" w:fill="FFFFFF"/>
          <w:lang w:eastAsia="ru-RU"/>
        </w:rPr>
      </w:pPr>
      <w:r w:rsidRPr="00E81FA7">
        <w:rPr>
          <w:rFonts w:eastAsia="Times New Roman"/>
          <w:szCs w:val="24"/>
          <w:shd w:val="clear" w:color="auto" w:fill="FFFFFF"/>
          <w:lang w:eastAsia="ru-RU"/>
        </w:rPr>
        <w:t xml:space="preserve">Для резидентов ТОР «Столица Арктики» действует комплекс налоговых преференций. </w:t>
      </w:r>
      <w:proofErr w:type="gramStart"/>
      <w:r w:rsidRPr="00E81FA7">
        <w:rPr>
          <w:rFonts w:eastAsia="Times New Roman"/>
          <w:szCs w:val="24"/>
          <w:shd w:val="clear" w:color="auto" w:fill="FFFFFF"/>
          <w:lang w:eastAsia="ru-RU"/>
        </w:rPr>
        <w:t>Так снижен общий размер страховых взносов с 30% до 7,6% на 10 лет, обнулен федеральный налог на прибыль на пять лет, региональная часть снижена до 5% в первые пять лет, в последующие пять лет – до 12%, также на три года обнулен налог на землю и на пять лет – налог на имущество.</w:t>
      </w:r>
      <w:proofErr w:type="gramEnd"/>
      <w:r w:rsidRPr="00E81FA7">
        <w:rPr>
          <w:rFonts w:eastAsia="Times New Roman"/>
          <w:szCs w:val="24"/>
          <w:shd w:val="clear" w:color="auto" w:fill="FFFFFF"/>
          <w:lang w:eastAsia="ru-RU"/>
        </w:rPr>
        <w:t xml:space="preserve"> Помимо этого, резидентам предоставляются неналоговые льготы: предоставление земельных участков в аренду без торгов, проведение плановых проверок сокращено до 15 дней, а внеплановых – до пяти дней, действует особый порядок градостроительного регламента и другие.</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lastRenderedPageBreak/>
        <w:t>Формируется пакет муниципальных преференций для резидентов ТОР «Столица Арктики». К числу муниципальных преференций относится освобождение от уплаты земельного налога на три налоговых периода, начиная с первого числа месяца, следующего за месяцем включения налогоплательщиков в реестр резидентов ТОР «Столица Арктики».</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shd w:val="clear" w:color="auto" w:fill="FFFFFF"/>
          <w:lang w:eastAsia="ru-RU"/>
        </w:rPr>
      </w:pPr>
      <w:r w:rsidRPr="00E81FA7">
        <w:rPr>
          <w:rFonts w:eastAsia="Times New Roman"/>
          <w:szCs w:val="24"/>
          <w:shd w:val="clear" w:color="auto" w:fill="FFFFFF"/>
          <w:lang w:eastAsia="ru-RU"/>
        </w:rPr>
        <w:t xml:space="preserve">В настоящее время в реестр резидентов ТОР «Столица Арктики» включены девять организаций, в том числе четыре из них зарегистрированы на территории муниципального образования город Мурманск. Планируется создание 4 696 новых рабочих мест. Общий объем инвестиций составит более 95,5 млрд. рублей.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4"/>
          <w:lang w:eastAsia="ru-RU"/>
        </w:rPr>
      </w:pPr>
      <w:r w:rsidRPr="00E81FA7">
        <w:rPr>
          <w:rFonts w:eastAsia="Times New Roman"/>
          <w:szCs w:val="24"/>
          <w:shd w:val="clear" w:color="auto" w:fill="FFFFFF"/>
          <w:lang w:eastAsia="ru-RU"/>
        </w:rPr>
        <w:t>Одним из якорных инвесторов в составе ТОР на территории города Мурманска является ООО «</w:t>
      </w:r>
      <w:proofErr w:type="spellStart"/>
      <w:r w:rsidRPr="00E81FA7">
        <w:rPr>
          <w:rFonts w:eastAsia="Times New Roman"/>
          <w:szCs w:val="24"/>
          <w:shd w:val="clear" w:color="auto" w:fill="FFFFFF"/>
          <w:lang w:eastAsia="ru-RU"/>
        </w:rPr>
        <w:t>Ренейссанс</w:t>
      </w:r>
      <w:proofErr w:type="spellEnd"/>
      <w:r w:rsidRPr="00E81FA7">
        <w:rPr>
          <w:rFonts w:eastAsia="Times New Roman"/>
          <w:szCs w:val="24"/>
          <w:shd w:val="clear" w:color="auto" w:fill="FFFFFF"/>
          <w:lang w:eastAsia="ru-RU"/>
        </w:rPr>
        <w:t xml:space="preserve"> Арктик» с инвестиционным проектом создания завода по производству и укрупнительной сборке металлоконструкций и трубопроводных узлов для проекта «Арктик СПГ 2». Общий объем инвестиций в проект составит 3,6 млрд. рублей, в том числе 68 млн. рублей как резидента ТОР «Столица Арктики». За время реализации инвестиционного проекта объем налоговых поступлений в консолидированный бюджет Мурманской области составит около 1 млрд. рублей. На новом предприятии будет создано более 1 500 рабочих мест. Льготы и преференции ТОР окажут значительную поддержку инвестору в создании нового производства. Кроме данного проекта статус резидента ТОР «Столица Арктики» на территории города Мурманска также получили еще три организации: </w:t>
      </w:r>
      <w:proofErr w:type="gramStart"/>
      <w:r w:rsidRPr="00E81FA7">
        <w:rPr>
          <w:rFonts w:eastAsia="Times New Roman"/>
          <w:szCs w:val="24"/>
          <w:shd w:val="clear" w:color="auto" w:fill="FFFFFF"/>
          <w:lang w:eastAsia="ru-RU"/>
        </w:rPr>
        <w:t>ООО «</w:t>
      </w:r>
      <w:proofErr w:type="spellStart"/>
      <w:r w:rsidRPr="00E81FA7">
        <w:rPr>
          <w:rFonts w:eastAsia="Times New Roman"/>
          <w:szCs w:val="24"/>
          <w:shd w:val="clear" w:color="auto" w:fill="FFFFFF"/>
          <w:lang w:eastAsia="ru-RU"/>
        </w:rPr>
        <w:t>Праймлайн</w:t>
      </w:r>
      <w:proofErr w:type="spellEnd"/>
      <w:r w:rsidRPr="00E81FA7">
        <w:rPr>
          <w:rFonts w:eastAsia="Times New Roman"/>
          <w:szCs w:val="24"/>
          <w:shd w:val="clear" w:color="auto" w:fill="FFFFFF"/>
          <w:lang w:eastAsia="ru-RU"/>
        </w:rPr>
        <w:t xml:space="preserve">» с инвестиционным проектом по расширению производственной площадки для нужд проекта «Арктик СПГ 2», </w:t>
      </w:r>
      <w:r w:rsidRPr="00E81FA7">
        <w:rPr>
          <w:rFonts w:eastAsia="Times New Roman"/>
          <w:szCs w:val="24"/>
          <w:shd w:val="clear" w:color="auto" w:fill="FFFFFF"/>
          <w:lang w:eastAsia="ru-RU"/>
        </w:rPr>
        <w:br/>
        <w:t>ООО «ПОНДЕРА АРКТИК» с инвестиционным проектом по организации мощностей по выполнению строительно-монтажных работ в рамках проекта «Арктик СПГ 2» и ООО «КАЛЬКЕДОН АРКТИК» с инвестиционным проектом по созданию предприятия для выполнения работ по монтажу и покраске модулей металлоконструкций и трубопроводов.</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Наиболее прибыльной сферой производства товаров и услуг остается сфера рыбоводства, рыболовства. Сальдированный финансовый результат деятельности предприятий рыболовства, рыбоводства за январь-ноябрь </w:t>
      </w:r>
      <w:r w:rsidRPr="00E81FA7">
        <w:rPr>
          <w:rFonts w:eastAsia="Times New Roman"/>
          <w:bCs/>
          <w:szCs w:val="28"/>
          <w:lang w:eastAsia="ru-RU"/>
        </w:rPr>
        <w:br/>
        <w:t xml:space="preserve">2020 года составил 49,5 млрд. рублей или 105,3% к аналогичному периоду </w:t>
      </w:r>
      <w:r w:rsidRPr="00E81FA7">
        <w:rPr>
          <w:rFonts w:eastAsia="Times New Roman"/>
          <w:bCs/>
          <w:szCs w:val="28"/>
          <w:lang w:eastAsia="ru-RU"/>
        </w:rPr>
        <w:br/>
        <w:t>2019 года, прибыль незначительно снизилась (99,6% к аналогичному периоду 2019 года). Средняя заработная плата в данной сфере остается одной из самых высоких в городе – 197,5 тыс. рублей (109,0% к 2019 году), которая в 2,6 раза превышает среднемесячную номинально начисленную заработную плату по городу (75,9 тыс. рублей).</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2020 году объем отгруженной продукции предприятиями рыболовства, рыбоводства в действующих ценах незначительно снизился до 71,4 млрд. рублей (92,5% к 2019 году), в натуральном выражении – 459,3 тыс. тонн (</w:t>
      </w:r>
      <w:proofErr w:type="gramStart"/>
      <w:r w:rsidRPr="00E81FA7">
        <w:rPr>
          <w:rFonts w:eastAsia="Times New Roman"/>
          <w:szCs w:val="28"/>
          <w:lang w:eastAsia="ru-RU"/>
        </w:rPr>
        <w:t>рыба</w:t>
      </w:r>
      <w:proofErr w:type="gramEnd"/>
      <w:r w:rsidRPr="00E81FA7">
        <w:rPr>
          <w:rFonts w:eastAsia="Times New Roman"/>
          <w:szCs w:val="28"/>
          <w:lang w:eastAsia="ru-RU"/>
        </w:rPr>
        <w:t xml:space="preserve"> переработанная и консервированная, ракообразные и моллюски). Снижение в большей части обусловлено сокращением добычи рыбы на фоне ухудшения конъюнктуры внешнего рыбного рынка премиум-сегмента в странах-потребителях, где введены карантинные ограничения.</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szCs w:val="28"/>
          <w:lang w:eastAsia="ru-RU"/>
        </w:rPr>
        <w:lastRenderedPageBreak/>
        <w:t xml:space="preserve">В июне 2021 года внесены изменения в статью 20 Федерального закона от 20.12.2004 № 166-ФЗ «О рыболовстве и сохранении водных биоресурсов», разрешающие проводить непосредственно на судах первичную обработку выловленных водных биоресурсов, что положительно скажется на динамике роста объемов </w:t>
      </w:r>
      <w:proofErr w:type="spellStart"/>
      <w:r w:rsidRPr="00E81FA7">
        <w:rPr>
          <w:rFonts w:eastAsia="Times New Roman"/>
          <w:szCs w:val="28"/>
          <w:lang w:eastAsia="ru-RU"/>
        </w:rPr>
        <w:t>рыбопереработки</w:t>
      </w:r>
      <w:proofErr w:type="spellEnd"/>
      <w:r w:rsidRPr="00E81FA7">
        <w:rPr>
          <w:rFonts w:eastAsia="Times New Roman"/>
          <w:szCs w:val="28"/>
          <w:lang w:eastAsia="ru-RU"/>
        </w:rPr>
        <w:t>.</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Развитию рыбной промышленности в прогнозном периоде также будет способствовать реализация инвестиционных проектов в рамках выделенных </w:t>
      </w:r>
      <w:proofErr w:type="spellStart"/>
      <w:r w:rsidRPr="00E81FA7">
        <w:rPr>
          <w:rFonts w:eastAsia="Times New Roman"/>
          <w:szCs w:val="28"/>
          <w:lang w:eastAsia="ru-RU"/>
        </w:rPr>
        <w:t>инвестквот</w:t>
      </w:r>
      <w:proofErr w:type="spellEnd"/>
      <w:r w:rsidRPr="00E81FA7">
        <w:rPr>
          <w:rFonts w:eastAsia="Times New Roman"/>
          <w:szCs w:val="28"/>
          <w:lang w:eastAsia="ru-RU"/>
        </w:rPr>
        <w:t xml:space="preserve"> (обозначены выше). </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Согласно данным ФГБНУ «ВНИРО», объем вылова того или иного вида водных биологических ресурсов (далее – ВБР) в Северном </w:t>
      </w:r>
      <w:proofErr w:type="spellStart"/>
      <w:r w:rsidRPr="00E81FA7">
        <w:rPr>
          <w:rFonts w:eastAsia="Times New Roman"/>
          <w:szCs w:val="28"/>
          <w:lang w:eastAsia="ru-RU"/>
        </w:rPr>
        <w:t>рыбохозяйственном</w:t>
      </w:r>
      <w:proofErr w:type="spellEnd"/>
      <w:r w:rsidRPr="00E81FA7">
        <w:rPr>
          <w:rFonts w:eastAsia="Times New Roman"/>
          <w:szCs w:val="28"/>
          <w:lang w:eastAsia="ru-RU"/>
        </w:rPr>
        <w:t xml:space="preserve"> бассейне в 2021-2026 годах зависит от состояния его популяции, характеризуемого численностью и биомассой. Состояние популяции зависит от многих факторов, важнейшим из которых является изменчивость условий среды обитания под воздействием региональных и глобальных изменений климата. Эта изменчивость определяет уровень пополнения, темпы роста, выживаемость и географическое распределение отдельных промысловых скоплений.</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Исследования, проведенные в ФГБНУ «ВНИРО», в том числе</w:t>
      </w:r>
      <w:r w:rsidRPr="00E81FA7">
        <w:rPr>
          <w:rFonts w:eastAsia="Times New Roman"/>
          <w:szCs w:val="28"/>
          <w:lang w:eastAsia="ru-RU"/>
        </w:rPr>
        <w:br/>
        <w:t xml:space="preserve">в его Полярном филиале «ПИНРО им. Н.М. </w:t>
      </w:r>
      <w:proofErr w:type="spellStart"/>
      <w:r w:rsidRPr="00E81FA7">
        <w:rPr>
          <w:rFonts w:eastAsia="Times New Roman"/>
          <w:szCs w:val="28"/>
          <w:lang w:eastAsia="ru-RU"/>
        </w:rPr>
        <w:t>Книповича</w:t>
      </w:r>
      <w:proofErr w:type="spellEnd"/>
      <w:r w:rsidRPr="00E81FA7">
        <w:rPr>
          <w:rFonts w:eastAsia="Times New Roman"/>
          <w:szCs w:val="28"/>
          <w:lang w:eastAsia="ru-RU"/>
        </w:rPr>
        <w:t xml:space="preserve">», позволили выявить статистические связи изменений численности и биомассы основных промысловых объектов Северного </w:t>
      </w:r>
      <w:proofErr w:type="spellStart"/>
      <w:r w:rsidRPr="00E81FA7">
        <w:rPr>
          <w:rFonts w:eastAsia="Times New Roman"/>
          <w:szCs w:val="28"/>
          <w:lang w:eastAsia="ru-RU"/>
        </w:rPr>
        <w:t>рыбохозяйственного</w:t>
      </w:r>
      <w:proofErr w:type="spellEnd"/>
      <w:r w:rsidRPr="00E81FA7">
        <w:rPr>
          <w:rFonts w:eastAsia="Times New Roman"/>
          <w:szCs w:val="28"/>
          <w:lang w:eastAsia="ru-RU"/>
        </w:rPr>
        <w:t xml:space="preserve"> бассейна с различными </w:t>
      </w:r>
      <w:proofErr w:type="spellStart"/>
      <w:r w:rsidRPr="00E81FA7">
        <w:rPr>
          <w:rFonts w:eastAsia="Times New Roman"/>
          <w:szCs w:val="28"/>
          <w:lang w:eastAsia="ru-RU"/>
        </w:rPr>
        <w:t>климато</w:t>
      </w:r>
      <w:proofErr w:type="spellEnd"/>
      <w:r w:rsidRPr="00E81FA7">
        <w:rPr>
          <w:rFonts w:eastAsia="Times New Roman"/>
          <w:szCs w:val="28"/>
          <w:lang w:eastAsia="ru-RU"/>
        </w:rPr>
        <w:t>-океанологическими характеристиками. Эти связи стали основой</w:t>
      </w:r>
      <w:r w:rsidRPr="00E81FA7">
        <w:rPr>
          <w:rFonts w:eastAsia="Times New Roman"/>
          <w:szCs w:val="28"/>
          <w:lang w:eastAsia="ru-RU"/>
        </w:rPr>
        <w:br/>
        <w:t>для разработки прогностических оценок вылова ключевых видов ВБР</w:t>
      </w:r>
      <w:r w:rsidRPr="00E81FA7">
        <w:rPr>
          <w:rFonts w:eastAsia="Times New Roman"/>
          <w:szCs w:val="28"/>
          <w:lang w:eastAsia="ru-RU"/>
        </w:rPr>
        <w:br/>
        <w:t>на период 2021-2026 годов.</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Основным объектом российского промысла в Баренцевом море является северо-восточная арктическая треска. Динамику запаса трески в ближайшие годы можно представить следующим образом. Предположительно, до </w:t>
      </w:r>
      <w:r w:rsidRPr="00E81FA7">
        <w:rPr>
          <w:rFonts w:eastAsia="Times New Roman"/>
          <w:szCs w:val="28"/>
          <w:lang w:eastAsia="ru-RU"/>
        </w:rPr>
        <w:br/>
        <w:t>2023 года будет продолжаться снижение запаса. Соответственно, вылов трески будет меняться от 308-385 тыс. тонн в 2021-2022 годах до 250-264 тыс. тонн в 2023-2026 годах. Ожидается, что благоприятные условия воспроизводства трески в 2016-2017 годах обусловили высокую выживаемость этих поколений, которые, войдя в запас в 2022-2023 годах, приостановят его падение и вновь обеспечат рост уловов во второй половине 2021 года до 385,6 тыс. тонн.</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В 2021 году ожидаемый вылов северо-восточной арктической пикши составит 104,3 тыс. тонн. В последующие годы уловы будут постепенно снижаться до 37,6 тыс. тонн в 2025 году.</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Запас </w:t>
      </w:r>
      <w:proofErr w:type="spellStart"/>
      <w:r w:rsidRPr="00E81FA7">
        <w:rPr>
          <w:rFonts w:eastAsia="Times New Roman"/>
          <w:szCs w:val="28"/>
          <w:lang w:eastAsia="ru-RU"/>
        </w:rPr>
        <w:t>путассу</w:t>
      </w:r>
      <w:proofErr w:type="spellEnd"/>
      <w:r w:rsidRPr="00E81FA7">
        <w:rPr>
          <w:rFonts w:eastAsia="Times New Roman"/>
          <w:szCs w:val="28"/>
          <w:lang w:eastAsia="ru-RU"/>
        </w:rPr>
        <w:t xml:space="preserve"> в Норвежском море будет находиться на довольно высоком уровне до 2030 года.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Ее российский улов может составить 152-169 тыс. тонн в 2021-2022 годах, 146-148 тыс. тонн в 2023-2026 годах.</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сфере рыболовства планируется продолжить государственную поддержку организаций, занимающихся товарным выращиванием рыбы, в форме предоставления субсидии на возмещение части затрат на уплату процентов по кредитам, полученным в российских кредитных организациях на </w:t>
      </w:r>
      <w:r w:rsidRPr="00E81FA7">
        <w:rPr>
          <w:rFonts w:eastAsia="Times New Roman"/>
          <w:szCs w:val="28"/>
          <w:lang w:eastAsia="ru-RU"/>
        </w:rPr>
        <w:lastRenderedPageBreak/>
        <w:t xml:space="preserve">развитие </w:t>
      </w:r>
      <w:proofErr w:type="spellStart"/>
      <w:r w:rsidRPr="00E81FA7">
        <w:rPr>
          <w:rFonts w:eastAsia="Times New Roman"/>
          <w:szCs w:val="28"/>
          <w:lang w:eastAsia="ru-RU"/>
        </w:rPr>
        <w:t>аквакультуры</w:t>
      </w:r>
      <w:proofErr w:type="spellEnd"/>
      <w:r w:rsidRPr="00E81FA7">
        <w:rPr>
          <w:rFonts w:eastAsia="Times New Roman"/>
          <w:szCs w:val="28"/>
          <w:lang w:eastAsia="ru-RU"/>
        </w:rPr>
        <w:t xml:space="preserve">, в том числе в рамках государственной программы Российской Федерации «Развитие </w:t>
      </w:r>
      <w:proofErr w:type="spellStart"/>
      <w:r w:rsidRPr="00E81FA7">
        <w:rPr>
          <w:rFonts w:eastAsia="Times New Roman"/>
          <w:szCs w:val="28"/>
          <w:lang w:eastAsia="ru-RU"/>
        </w:rPr>
        <w:t>рыбохозяйственного</w:t>
      </w:r>
      <w:proofErr w:type="spellEnd"/>
      <w:r w:rsidRPr="00E81FA7">
        <w:rPr>
          <w:rFonts w:eastAsia="Times New Roman"/>
          <w:szCs w:val="28"/>
          <w:lang w:eastAsia="ru-RU"/>
        </w:rPr>
        <w:t xml:space="preserve"> комплекса».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С учетом прогноза вылова водных биологических ресурсов темп роста производственных показателей предприятий рыболовства, рыбоводства в </w:t>
      </w:r>
      <w:r w:rsidRPr="00E81FA7">
        <w:rPr>
          <w:rFonts w:eastAsia="Times New Roman"/>
          <w:szCs w:val="28"/>
          <w:lang w:eastAsia="ru-RU"/>
        </w:rPr>
        <w:br/>
        <w:t>2022-2026 годах составит 105,0% ежегодно.</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Индекс производства в сфере обеспечения электрической энергией, газом и паром, кондиционирования воздуха с учетом областного индекса-дефлятора в 2020 году составил 96,9%. Объем производства в 2020 году по данному виду экономической деятельности составил 10,6 млрд. рублей или 93,9% к 2019 году. </w:t>
      </w:r>
      <w:proofErr w:type="gramStart"/>
      <w:r w:rsidRPr="00E81FA7">
        <w:rPr>
          <w:rFonts w:eastAsia="Times New Roman"/>
          <w:bCs/>
          <w:szCs w:val="28"/>
          <w:lang w:eastAsia="ru-RU"/>
        </w:rPr>
        <w:t>На конец</w:t>
      </w:r>
      <w:proofErr w:type="gramEnd"/>
      <w:r w:rsidRPr="00E81FA7">
        <w:rPr>
          <w:rFonts w:eastAsia="Times New Roman"/>
          <w:bCs/>
          <w:szCs w:val="28"/>
          <w:lang w:eastAsia="ru-RU"/>
        </w:rPr>
        <w:t xml:space="preserve"> 2020 года количество организаций составило 40 единиц, что на 5,3% больше аналогичного периода 2019 года. Сальдированный финансовый результат составил 663,6 млн. рублей. В 246,2 раза по сравнению с 2019 годом увеличился убыток данных организаций в связи со снижением прочих доходов.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В связи с тем, что основным потребителем </w:t>
      </w:r>
      <w:proofErr w:type="spellStart"/>
      <w:r w:rsidRPr="00E81FA7">
        <w:rPr>
          <w:rFonts w:eastAsia="Times New Roman"/>
          <w:szCs w:val="28"/>
          <w:lang w:eastAsia="ru-RU"/>
        </w:rPr>
        <w:t>теплоэнергии</w:t>
      </w:r>
      <w:proofErr w:type="spellEnd"/>
      <w:r w:rsidRPr="00E81FA7">
        <w:rPr>
          <w:rFonts w:eastAsia="Times New Roman"/>
          <w:szCs w:val="28"/>
          <w:lang w:eastAsia="ru-RU"/>
        </w:rPr>
        <w:t>, сжиженного газа и воды является население, численность которого сохраняет устойчивую тенденцию к снижению, а большую часть электроэнергии потребляют промышленные предприятия, дальнейшее развитие сферы производства и распределения электроэнергии, газа и воды будет в большей степени зависеть от экономической активности и состояния промышленных предприятий города.</w:t>
      </w:r>
      <w:proofErr w:type="gramEnd"/>
      <w:r w:rsidRPr="00E81FA7">
        <w:rPr>
          <w:rFonts w:eastAsia="Times New Roman"/>
          <w:szCs w:val="28"/>
          <w:lang w:eastAsia="ru-RU"/>
        </w:rPr>
        <w:t xml:space="preserve"> Рост энергопотребления будет также сдерживать реализация мер по повышению </w:t>
      </w:r>
      <w:proofErr w:type="spellStart"/>
      <w:r w:rsidRPr="00E81FA7">
        <w:rPr>
          <w:rFonts w:eastAsia="Times New Roman"/>
          <w:szCs w:val="28"/>
          <w:lang w:eastAsia="ru-RU"/>
        </w:rPr>
        <w:t>энергоэффективности</w:t>
      </w:r>
      <w:proofErr w:type="spellEnd"/>
      <w:r w:rsidRPr="00E81FA7">
        <w:rPr>
          <w:rFonts w:eastAsia="Times New Roman"/>
          <w:szCs w:val="28"/>
          <w:lang w:eastAsia="ru-RU"/>
        </w:rPr>
        <w:t xml:space="preserve"> экономики, разработка и внедрение энергосберегающих технологий, выбытие неэффективных мощностей, сокращение потерь энергии.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Для развития материально-технической базы объектов электроснабжения, обеспечения энергетической безопасности, надежного и качественного электроснабжения существующих потребителей и перспективных площадок застройки, создания технической возможности для подключения к электрическим сетям новых потребителей в городе, повышения эффективности работы систем централизованного теплоснабжения и повышения надежности теплоснабжения потребителей реализуются инвестиционные проекты по строительству и реконструкции объектов электроснабжения филиала </w:t>
      </w:r>
      <w:r w:rsidRPr="00E81FA7">
        <w:rPr>
          <w:rFonts w:eastAsia="Times New Roman"/>
          <w:szCs w:val="28"/>
          <w:lang w:eastAsia="ru-RU"/>
        </w:rPr>
        <w:br/>
        <w:t>ПАО «МРСК Северо-Запада» «Колэнерго», филиала «</w:t>
      </w:r>
      <w:proofErr w:type="spellStart"/>
      <w:r w:rsidRPr="00E81FA7">
        <w:rPr>
          <w:rFonts w:eastAsia="Times New Roman"/>
          <w:szCs w:val="28"/>
          <w:lang w:eastAsia="ru-RU"/>
        </w:rPr>
        <w:t>КолАтомЭнергоСбыт</w:t>
      </w:r>
      <w:proofErr w:type="spellEnd"/>
      <w:r w:rsidRPr="00E81FA7">
        <w:rPr>
          <w:rFonts w:eastAsia="Times New Roman"/>
          <w:szCs w:val="28"/>
          <w:lang w:eastAsia="ru-RU"/>
        </w:rPr>
        <w:t xml:space="preserve">», АО «МОЭСК». </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стадии реализации инвестиционный проект АО «МОЭСК» по реконструкции и строительству электросетевых объектов. Данный инвестиционный проект также планируется к реализации в 2021-2024 годах.</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прогнозном периоде Мурманским филиалом ПАО «МРСК Северо-Запада» планируется к реализации инвестиционный проект «Развитие материально-технической базы объектов электроснабжения».</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2020 году АО «</w:t>
      </w:r>
      <w:proofErr w:type="spellStart"/>
      <w:r w:rsidRPr="00E81FA7">
        <w:rPr>
          <w:rFonts w:eastAsia="Times New Roman"/>
          <w:szCs w:val="28"/>
          <w:lang w:eastAsia="ru-RU"/>
        </w:rPr>
        <w:t>Мурманэнергосбыт</w:t>
      </w:r>
      <w:proofErr w:type="spellEnd"/>
      <w:r w:rsidRPr="00E81FA7">
        <w:rPr>
          <w:rFonts w:eastAsia="Times New Roman"/>
          <w:szCs w:val="28"/>
          <w:lang w:eastAsia="ru-RU"/>
        </w:rPr>
        <w:t>» реализован инвестиционный проект «Повышение эффективности работы систем централизованного теплоснабжения и повышения надежности теплоснабжения потребителей:</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резервная дизельная котельная ГОБУЗ «Мурманский областной противотуберкулезный диспансер»;</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lastRenderedPageBreak/>
        <w:t>- резервная дизельная котельная ГОБУЗ «Мурманский областной перинатальный центр».</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прогнозном периоде АО «</w:t>
      </w:r>
      <w:proofErr w:type="spellStart"/>
      <w:r w:rsidRPr="00E81FA7">
        <w:rPr>
          <w:rFonts w:eastAsia="Times New Roman"/>
          <w:szCs w:val="28"/>
          <w:lang w:eastAsia="ru-RU"/>
        </w:rPr>
        <w:t>Мурманэнергосбыт</w:t>
      </w:r>
      <w:proofErr w:type="spellEnd"/>
      <w:r w:rsidRPr="00E81FA7">
        <w:rPr>
          <w:rFonts w:eastAsia="Times New Roman"/>
          <w:szCs w:val="28"/>
          <w:lang w:eastAsia="ru-RU"/>
        </w:rPr>
        <w:t xml:space="preserve">» планируется к реализации инвестиционный проект «Реализация технических мероприятий для перехода потребителей на закрытую систему теплоснабжения (горячего водоснабжения)». До конца 2025 года 456 многоквартирных домов Ленинского административного округа города Мурманска будут переведены на закрытую систему горячего водоснабжения.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Таким образом, в прогнозном периоде ожидается сохранение объема производства по виду деятельности «Обеспечение электрической энергией, газом и паром; кондиционирование воздуха».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Объем производства в сфере водоснабжения, водоотведения, организации сбора и утилизации отходов, деятельности по ликвидации загрязнений составил в 2020 году 5,2 млрд. рублей, что выше уровня 2019 года на 20,2%. Индекс производства составил 98,3%.</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Перспективы развития в данной сфере связаны с реализуемым строительством ГОУП «</w:t>
      </w:r>
      <w:proofErr w:type="spellStart"/>
      <w:r w:rsidRPr="00E81FA7">
        <w:rPr>
          <w:rFonts w:eastAsia="Times New Roman"/>
          <w:szCs w:val="28"/>
          <w:lang w:eastAsia="ru-RU"/>
        </w:rPr>
        <w:t>Мурманскводоканал</w:t>
      </w:r>
      <w:proofErr w:type="spellEnd"/>
      <w:r w:rsidRPr="00E81FA7">
        <w:rPr>
          <w:rFonts w:eastAsia="Times New Roman"/>
          <w:szCs w:val="28"/>
          <w:lang w:eastAsia="ru-RU"/>
        </w:rPr>
        <w:t xml:space="preserve">» Южных очистных сооружений канализации в целях обеспечения глубокой биологической очистки сточных вод и снижения негативного воздействия на Кольский залив. Реализация данного проекта позволит осуществлять очистку стоков до предельно допустимых концентраций воды водоемов рекреационного водопользования с применением наилучших доступных технологий, а также снизить антропогенное воздействие на </w:t>
      </w:r>
      <w:proofErr w:type="spellStart"/>
      <w:r w:rsidRPr="00E81FA7">
        <w:rPr>
          <w:rFonts w:eastAsia="Times New Roman"/>
          <w:szCs w:val="28"/>
          <w:lang w:eastAsia="ru-RU"/>
        </w:rPr>
        <w:t>транграничный</w:t>
      </w:r>
      <w:proofErr w:type="spellEnd"/>
      <w:r w:rsidRPr="00E81FA7">
        <w:rPr>
          <w:rFonts w:eastAsia="Times New Roman"/>
          <w:szCs w:val="28"/>
          <w:lang w:eastAsia="ru-RU"/>
        </w:rPr>
        <w:t xml:space="preserve"> водоем – Баренцево море по органическим веществам, биогенным элементам и иным загрязняемым веществам. Также в стадии реализации находится инвестиционный проект АО «Мурманская ТЭЦ» по реконструкции и модернизации существующих источников теплоснабжения, повышению экологической и энергетической эффективности, обеспечению физической защиты предприятия, реконструкции тепловых сетей. </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 xml:space="preserve">Следует отметить, что реализация проекта Мурманского транспортного узла, а также экспортно-сырьевая направленность экономики региона определяет дальнейшее развитие города в качестве перевалочного транспортного пункта, что будет способствовать дальнейшему увеличению показателей деятельности сервисных отраслей по обслуживанию транспортного флота. </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E81FA7">
        <w:rPr>
          <w:rFonts w:eastAsia="Times New Roman"/>
          <w:bCs/>
          <w:szCs w:val="28"/>
          <w:lang w:eastAsia="ru-RU"/>
        </w:rPr>
        <w:t xml:space="preserve">Таким образом, в базовом варианте прогноза планируется сохранение индекса промышленного производства на уровне 101,0-102,0% ежегодно.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w:t>
      </w:r>
      <w:r w:rsidRPr="00E81FA7">
        <w:rPr>
          <w:rFonts w:eastAsia="Times New Roman"/>
          <w:bCs/>
          <w:szCs w:val="28"/>
          <w:lang w:eastAsia="ru-RU"/>
        </w:rPr>
        <w:br/>
        <w:t xml:space="preserve">2026 году предположительно составит 175,8 млрд. рублей. Целевой вариант прогноза предусматривает увеличение объемов производства до 103% ежегодно; соответствующий объем отгруженных товаров собственного производства, выполненных работ и услуг собственными силами по видам </w:t>
      </w:r>
      <w:r w:rsidRPr="00E81FA7">
        <w:rPr>
          <w:rFonts w:eastAsia="Times New Roman"/>
          <w:bCs/>
          <w:szCs w:val="28"/>
          <w:lang w:eastAsia="ru-RU"/>
        </w:rPr>
        <w:lastRenderedPageBreak/>
        <w:t>деятельности, относящимся к промышленному производству по крупным и средним предприятиям, в 2026 году составит 186,8 млрд. рублей.</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Ключевыми рисками </w:t>
      </w:r>
      <w:proofErr w:type="spellStart"/>
      <w:r w:rsidRPr="00E81FA7">
        <w:rPr>
          <w:rFonts w:eastAsia="Times New Roman"/>
          <w:szCs w:val="28"/>
          <w:lang w:eastAsia="ru-RU"/>
        </w:rPr>
        <w:t>недостижения</w:t>
      </w:r>
      <w:proofErr w:type="spellEnd"/>
      <w:r w:rsidRPr="00E81FA7">
        <w:rPr>
          <w:rFonts w:eastAsia="Times New Roman"/>
          <w:szCs w:val="28"/>
          <w:lang w:eastAsia="ru-RU"/>
        </w:rPr>
        <w:t xml:space="preserve"> прогнозных значений показателей производства товаров и услуг являются:</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условия высокой неопределенности из-за непредсказуемости снятия карантинных мер в условиях распространения новой </w:t>
      </w:r>
      <w:proofErr w:type="spellStart"/>
      <w:r w:rsidRPr="00E81FA7">
        <w:rPr>
          <w:rFonts w:eastAsia="Times New Roman"/>
          <w:szCs w:val="28"/>
          <w:lang w:eastAsia="ru-RU"/>
        </w:rPr>
        <w:t>коронавирусной</w:t>
      </w:r>
      <w:proofErr w:type="spellEnd"/>
      <w:r w:rsidRPr="00E81FA7">
        <w:rPr>
          <w:rFonts w:eastAsia="Times New Roman"/>
          <w:szCs w:val="28"/>
          <w:lang w:eastAsia="ru-RU"/>
        </w:rPr>
        <w:t xml:space="preserve"> инфекции (</w:t>
      </w:r>
      <w:r w:rsidRPr="00E81FA7">
        <w:rPr>
          <w:rFonts w:eastAsia="Times New Roman"/>
          <w:szCs w:val="28"/>
          <w:lang w:val="en-US" w:eastAsia="ru-RU"/>
        </w:rPr>
        <w:t>COVID</w:t>
      </w:r>
      <w:r w:rsidRPr="00E81FA7">
        <w:rPr>
          <w:rFonts w:eastAsia="Times New Roman"/>
          <w:szCs w:val="28"/>
          <w:lang w:eastAsia="ru-RU"/>
        </w:rPr>
        <w:t xml:space="preserve">-19);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санитарно-эпидемиологическая обстановка, определяющая скорость открытия и восстановления экономики;</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«последующие волны» пандемии, других инфекционных заболеваний с увеличением их масштаба и продолжительности, с введением ограничений работы крупных производств и бизнеса;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отсрочка реализации инвестиционных проектов на территории города Мурманска;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принятие собственниками предприятий на территории города Мурманска управленческих решений, которые могут оказать негативное влияние на социально-экономическое положение города.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Последствия ограничительных мероприятий, связанных с распространением </w:t>
      </w:r>
      <w:proofErr w:type="spellStart"/>
      <w:r w:rsidRPr="00E81FA7">
        <w:rPr>
          <w:rFonts w:eastAsia="Times New Roman"/>
          <w:szCs w:val="28"/>
          <w:lang w:eastAsia="ru-RU"/>
        </w:rPr>
        <w:t>коронавирусной</w:t>
      </w:r>
      <w:proofErr w:type="spellEnd"/>
      <w:r w:rsidRPr="00E81FA7">
        <w:rPr>
          <w:rFonts w:eastAsia="Times New Roman"/>
          <w:szCs w:val="28"/>
          <w:lang w:eastAsia="ru-RU"/>
        </w:rPr>
        <w:t xml:space="preserve"> инфекции, пока не оказывают существенного негативного влияния на промышленное развитие города Мурманска. В рамках борьбы с распространением вируса системообразующие предприятия города Мурманска предпринимают необходимые меры по защите своих сотрудников и сохраняют производственные процессы в штатном режиме. Крупные инвестиционные проекты в городе Мурманске реализуются в соответствии с намеченными планами.</w:t>
      </w:r>
    </w:p>
    <w:p w:rsidR="0018260A" w:rsidRPr="007314E4" w:rsidRDefault="0018260A" w:rsidP="007314E4">
      <w:pPr>
        <w:overflowPunct w:val="0"/>
        <w:autoSpaceDE w:val="0"/>
        <w:autoSpaceDN w:val="0"/>
        <w:adjustRightInd w:val="0"/>
        <w:spacing w:after="0" w:line="240" w:lineRule="auto"/>
        <w:ind w:firstLine="709"/>
        <w:jc w:val="center"/>
        <w:textAlignment w:val="baseline"/>
        <w:rPr>
          <w:rFonts w:eastAsia="Times New Roman"/>
          <w:szCs w:val="28"/>
          <w:lang w:eastAsia="ru-RU"/>
        </w:rPr>
      </w:pPr>
    </w:p>
    <w:p w:rsidR="0018260A" w:rsidRPr="007314E4" w:rsidRDefault="0018260A" w:rsidP="007314E4">
      <w:pPr>
        <w:overflowPunct w:val="0"/>
        <w:autoSpaceDE w:val="0"/>
        <w:autoSpaceDN w:val="0"/>
        <w:adjustRightInd w:val="0"/>
        <w:spacing w:after="0" w:line="240" w:lineRule="auto"/>
        <w:ind w:firstLine="708"/>
        <w:jc w:val="center"/>
        <w:textAlignment w:val="baseline"/>
        <w:rPr>
          <w:rFonts w:eastAsia="Times New Roman"/>
          <w:bCs/>
          <w:szCs w:val="28"/>
          <w:lang w:eastAsia="ru-RU"/>
        </w:rPr>
      </w:pPr>
      <w:r w:rsidRPr="007314E4">
        <w:rPr>
          <w:rFonts w:eastAsia="Times New Roman"/>
          <w:bCs/>
          <w:szCs w:val="28"/>
          <w:lang w:eastAsia="ru-RU"/>
        </w:rPr>
        <w:t>Рынок товаров и услуг</w:t>
      </w:r>
    </w:p>
    <w:p w:rsidR="0018260A" w:rsidRPr="007314E4" w:rsidRDefault="0018260A" w:rsidP="007314E4">
      <w:pPr>
        <w:overflowPunct w:val="0"/>
        <w:autoSpaceDE w:val="0"/>
        <w:autoSpaceDN w:val="0"/>
        <w:adjustRightInd w:val="0"/>
        <w:spacing w:after="0" w:line="240" w:lineRule="auto"/>
        <w:ind w:firstLine="708"/>
        <w:jc w:val="center"/>
        <w:textAlignment w:val="baseline"/>
        <w:rPr>
          <w:rFonts w:eastAsia="Times New Roman"/>
          <w:b/>
          <w:bCs/>
          <w:szCs w:val="28"/>
          <w:lang w:eastAsia="ru-RU"/>
        </w:rPr>
      </w:pPr>
    </w:p>
    <w:p w:rsidR="00E81FA7" w:rsidRPr="00E81FA7" w:rsidRDefault="00E81FA7" w:rsidP="00E81FA7">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Одним из приоритетных направлений деятельности органов местного самоуправления является развитие и регулирование потребительского рынка.</w:t>
      </w:r>
    </w:p>
    <w:p w:rsidR="00E81FA7" w:rsidRPr="00E81FA7" w:rsidRDefault="00E81FA7" w:rsidP="00E81FA7">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Потребительский рынок является инструментом формирования потребительских ценностей и удовлетворения потребностей населения; обеспечивает денежное обращение; создает новые рабочие места для населения; формирует сферу деятельности большого числа организаций и предприятий; прямо и косвенно воздействует на развитие других рынков. В структуру потребительского рынка включают три основные сферы: торговля, общественное питание и бытовое обслуживание, которые представляют собой совокупность товарных рынков и рынков услуг.</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сфере торговли зарегистрирована треть организаций города, занято 7,1% работников крупных и средних предприятий, осуществляются инвестиции в модернизацию торговых объектов, сохраняется положительный сальдированный финансовый результат деятельности.</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Оборот розничной торговли по итогам 2020 года составил 55,7 млрд. рублей, темп роста к предыдущему году – 133,9% (в 2019 году – 41,5 млрд. рублей), индекс физического объема – 128,7% (в сопоставимых ценах). </w:t>
      </w:r>
    </w:p>
    <w:p w:rsidR="00E81FA7" w:rsidRPr="00E81FA7" w:rsidRDefault="00E81FA7" w:rsidP="00E81FA7">
      <w:pPr>
        <w:overflowPunct w:val="0"/>
        <w:autoSpaceDE w:val="0"/>
        <w:autoSpaceDN w:val="0"/>
        <w:adjustRightInd w:val="0"/>
        <w:spacing w:after="0" w:line="240" w:lineRule="auto"/>
        <w:ind w:firstLine="709"/>
        <w:contextualSpacing/>
        <w:jc w:val="both"/>
        <w:textAlignment w:val="baseline"/>
        <w:rPr>
          <w:rFonts w:eastAsia="Times New Roman"/>
          <w:szCs w:val="28"/>
          <w:lang w:eastAsia="ru-RU"/>
        </w:rPr>
      </w:pPr>
      <w:proofErr w:type="gramStart"/>
      <w:r w:rsidRPr="00E81FA7">
        <w:rPr>
          <w:rFonts w:eastAsia="Times New Roman"/>
          <w:szCs w:val="28"/>
          <w:lang w:eastAsia="ru-RU"/>
        </w:rPr>
        <w:lastRenderedPageBreak/>
        <w:t xml:space="preserve">По состоянию на 31.12.2020 в городе Мурманске функционировало </w:t>
      </w:r>
      <w:r w:rsidRPr="00E81FA7">
        <w:rPr>
          <w:rFonts w:eastAsia="Times New Roman"/>
          <w:szCs w:val="28"/>
          <w:lang w:eastAsia="ru-RU"/>
        </w:rPr>
        <w:br/>
        <w:t xml:space="preserve">1 560 стационарных магазинов (из них 757 продовольственных </w:t>
      </w:r>
      <w:r w:rsidR="007314E4">
        <w:rPr>
          <w:rFonts w:eastAsia="Times New Roman"/>
          <w:szCs w:val="28"/>
          <w:lang w:eastAsia="ru-RU"/>
        </w:rPr>
        <w:br/>
      </w:r>
      <w:r w:rsidRPr="00E81FA7">
        <w:rPr>
          <w:rFonts w:eastAsia="Times New Roman"/>
          <w:szCs w:val="28"/>
          <w:lang w:eastAsia="ru-RU"/>
        </w:rPr>
        <w:t xml:space="preserve">и 803 непродовольственных), один универсальный розничный рынок, три постоянно действующие ярмарки и 34 выставки-ярмарки, проведённые на площадках семи хозяйствующих субъектов города Мурманска, а также 211 нестационарных торговых объектов, в </w:t>
      </w:r>
      <w:proofErr w:type="spellStart"/>
      <w:r w:rsidRPr="00E81FA7">
        <w:rPr>
          <w:rFonts w:eastAsia="Times New Roman"/>
          <w:szCs w:val="28"/>
          <w:lang w:eastAsia="ru-RU"/>
        </w:rPr>
        <w:t>т.ч</w:t>
      </w:r>
      <w:proofErr w:type="spellEnd"/>
      <w:r w:rsidRPr="00E81FA7">
        <w:rPr>
          <w:rFonts w:eastAsia="Times New Roman"/>
          <w:szCs w:val="28"/>
          <w:lang w:eastAsia="ru-RU"/>
        </w:rPr>
        <w:t>. павильоны и киоски – 174 единицы, павильоны и киоски, расположенные в торгово-остановочных комплексах, – 11</w:t>
      </w:r>
      <w:proofErr w:type="gramEnd"/>
      <w:r w:rsidRPr="00E81FA7">
        <w:rPr>
          <w:rFonts w:eastAsia="Times New Roman"/>
          <w:szCs w:val="28"/>
          <w:lang w:eastAsia="ru-RU"/>
        </w:rPr>
        <w:t xml:space="preserve"> единиц, мобильные торговые объекты (автолавки и автоприцепы) – 26 единиц.</w:t>
      </w:r>
    </w:p>
    <w:p w:rsidR="00E81FA7" w:rsidRPr="00E81FA7" w:rsidRDefault="00E81FA7" w:rsidP="00E81FA7">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связи с закрытием торговыми сетями «</w:t>
      </w:r>
      <w:proofErr w:type="spellStart"/>
      <w:r w:rsidRPr="00E81FA7">
        <w:rPr>
          <w:rFonts w:eastAsia="Times New Roman"/>
          <w:szCs w:val="28"/>
          <w:lang w:eastAsia="ru-RU"/>
        </w:rPr>
        <w:t>Евророс</w:t>
      </w:r>
      <w:proofErr w:type="spellEnd"/>
      <w:r w:rsidRPr="00E81FA7">
        <w:rPr>
          <w:rFonts w:eastAsia="Times New Roman"/>
          <w:szCs w:val="28"/>
          <w:lang w:eastAsia="ru-RU"/>
        </w:rPr>
        <w:t>», «Яблочко», «7Дней» и «Твой» своих магазинов, располагавшихся во всех трёх административных округах города Мурманска, произошла передача высвободившихся помещений федеральным сетям, которые широко представлены в Мурманске.</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Так на территории города Мурманска закрылось 52 торговых объекта, из них:</w:t>
      </w:r>
      <w:proofErr w:type="gramEnd"/>
      <w:r w:rsidRPr="00E81FA7">
        <w:rPr>
          <w:rFonts w:eastAsia="Times New Roman"/>
          <w:szCs w:val="28"/>
          <w:lang w:eastAsia="ru-RU"/>
        </w:rPr>
        <w:t xml:space="preserve"> «</w:t>
      </w:r>
      <w:proofErr w:type="spellStart"/>
      <w:r w:rsidRPr="00E81FA7">
        <w:rPr>
          <w:rFonts w:eastAsia="Times New Roman"/>
          <w:szCs w:val="28"/>
          <w:lang w:eastAsia="ru-RU"/>
        </w:rPr>
        <w:t>Евророс</w:t>
      </w:r>
      <w:proofErr w:type="spellEnd"/>
      <w:r w:rsidRPr="00E81FA7">
        <w:rPr>
          <w:rFonts w:eastAsia="Times New Roman"/>
          <w:szCs w:val="28"/>
          <w:lang w:eastAsia="ru-RU"/>
        </w:rPr>
        <w:t>» - 24 единицы, «Яблочко» - 21 единица, «7Дней» - три единицы, «Твой» - четыре единицы.</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shd w:val="clear" w:color="auto" w:fill="FFFFFF"/>
          <w:lang w:eastAsia="ru-RU"/>
        </w:rPr>
      </w:pPr>
      <w:r w:rsidRPr="00E81FA7">
        <w:rPr>
          <w:rFonts w:eastAsia="Times New Roman"/>
          <w:szCs w:val="28"/>
          <w:lang w:eastAsia="ru-RU"/>
        </w:rPr>
        <w:t>Во втором квартале 2021 года открылись ещё 5 магазинов «</w:t>
      </w:r>
      <w:proofErr w:type="spellStart"/>
      <w:r w:rsidRPr="00E81FA7">
        <w:rPr>
          <w:rFonts w:eastAsia="Times New Roman"/>
          <w:szCs w:val="28"/>
          <w:lang w:eastAsia="ru-RU"/>
        </w:rPr>
        <w:t>Дикси</w:t>
      </w:r>
      <w:proofErr w:type="spellEnd"/>
      <w:r w:rsidRPr="00E81FA7">
        <w:rPr>
          <w:rFonts w:eastAsia="Times New Roman"/>
          <w:szCs w:val="28"/>
          <w:lang w:eastAsia="ru-RU"/>
        </w:rPr>
        <w:t xml:space="preserve">». Российская сеть супермаркетов «Перекрёсток», которой управляет </w:t>
      </w:r>
      <w:r w:rsidRPr="00E81FA7">
        <w:rPr>
          <w:rFonts w:eastAsia="Times New Roman"/>
          <w:szCs w:val="28"/>
          <w:shd w:val="clear" w:color="auto" w:fill="FFFFFF"/>
          <w:lang w:eastAsia="ru-RU"/>
        </w:rPr>
        <w:t xml:space="preserve">ведущая </w:t>
      </w:r>
      <w:proofErr w:type="spellStart"/>
      <w:r w:rsidRPr="00E81FA7">
        <w:rPr>
          <w:rFonts w:eastAsia="Times New Roman"/>
          <w:szCs w:val="28"/>
          <w:shd w:val="clear" w:color="auto" w:fill="FFFFFF"/>
          <w:lang w:eastAsia="ru-RU"/>
        </w:rPr>
        <w:t>мультиформатная</w:t>
      </w:r>
      <w:proofErr w:type="spellEnd"/>
      <w:r w:rsidRPr="00E81FA7">
        <w:rPr>
          <w:rFonts w:eastAsia="Times New Roman"/>
          <w:szCs w:val="28"/>
          <w:shd w:val="clear" w:color="auto" w:fill="FFFFFF"/>
          <w:lang w:eastAsia="ru-RU"/>
        </w:rPr>
        <w:t xml:space="preserve"> компания современной розничной торговли </w:t>
      </w:r>
      <w:r w:rsidRPr="00E81FA7">
        <w:rPr>
          <w:rFonts w:eastAsia="Times New Roman"/>
          <w:szCs w:val="28"/>
          <w:shd w:val="clear" w:color="auto" w:fill="FFFFFF"/>
          <w:lang w:val="en-US" w:eastAsia="ru-RU"/>
        </w:rPr>
        <w:t>X</w:t>
      </w:r>
      <w:r w:rsidRPr="00E81FA7">
        <w:rPr>
          <w:rFonts w:eastAsia="Times New Roman"/>
          <w:szCs w:val="28"/>
          <w:shd w:val="clear" w:color="auto" w:fill="FFFFFF"/>
          <w:lang w:eastAsia="ru-RU"/>
        </w:rPr>
        <w:t xml:space="preserve">5 </w:t>
      </w:r>
      <w:r w:rsidRPr="00E81FA7">
        <w:rPr>
          <w:rFonts w:eastAsia="Times New Roman"/>
          <w:szCs w:val="28"/>
          <w:shd w:val="clear" w:color="auto" w:fill="FFFFFF"/>
          <w:lang w:val="en-US" w:eastAsia="ru-RU"/>
        </w:rPr>
        <w:t>Retail</w:t>
      </w:r>
      <w:r w:rsidRPr="00E81FA7">
        <w:rPr>
          <w:rFonts w:eastAsia="Times New Roman"/>
          <w:szCs w:val="28"/>
          <w:shd w:val="clear" w:color="auto" w:fill="FFFFFF"/>
          <w:lang w:eastAsia="ru-RU"/>
        </w:rPr>
        <w:t xml:space="preserve"> </w:t>
      </w:r>
      <w:r w:rsidRPr="00E81FA7">
        <w:rPr>
          <w:rFonts w:eastAsia="Times New Roman"/>
          <w:szCs w:val="28"/>
          <w:shd w:val="clear" w:color="auto" w:fill="FFFFFF"/>
          <w:lang w:val="en-US" w:eastAsia="ru-RU"/>
        </w:rPr>
        <w:t>Group</w:t>
      </w:r>
      <w:r w:rsidRPr="00E81FA7">
        <w:rPr>
          <w:rFonts w:eastAsia="Times New Roman"/>
          <w:szCs w:val="28"/>
          <w:shd w:val="clear" w:color="auto" w:fill="FFFFFF"/>
          <w:lang w:eastAsia="ru-RU"/>
        </w:rPr>
        <w:t>, уже представленная в мурманской области магазинами «у дома» «Пятёрочка», открыла ещё восемь торговых объектов в городе Мурманске в мае 2021 года.</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E81FA7">
        <w:rPr>
          <w:rFonts w:eastAsia="Times New Roman"/>
          <w:szCs w:val="28"/>
          <w:lang w:eastAsia="ru-RU"/>
        </w:rPr>
        <w:tab/>
        <w:t xml:space="preserve">По количеству магазинов, расположенных на территории города Мурманска, среди федеральных продовольственных сетей на первом месте сеть краснодарских </w:t>
      </w:r>
      <w:proofErr w:type="spellStart"/>
      <w:r w:rsidRPr="00E81FA7">
        <w:rPr>
          <w:rFonts w:eastAsia="Times New Roman"/>
          <w:szCs w:val="28"/>
          <w:lang w:eastAsia="ru-RU"/>
        </w:rPr>
        <w:t>дискаунтеров</w:t>
      </w:r>
      <w:proofErr w:type="spellEnd"/>
      <w:r w:rsidRPr="00E81FA7">
        <w:rPr>
          <w:rFonts w:eastAsia="Times New Roman"/>
          <w:szCs w:val="28"/>
          <w:lang w:eastAsia="ru-RU"/>
        </w:rPr>
        <w:t xml:space="preserve"> «Магнит» ЗАО «Тандер» (45 единиц); на втором - сеть супермаркетов «у дома» «Пятёрочка» ООО «Агроторг» (23 единицы), третье место занимает сеть «</w:t>
      </w:r>
      <w:proofErr w:type="spellStart"/>
      <w:r w:rsidRPr="00E81FA7">
        <w:rPr>
          <w:rFonts w:eastAsia="Times New Roman"/>
          <w:szCs w:val="28"/>
          <w:lang w:eastAsia="ru-RU"/>
        </w:rPr>
        <w:t>Дикси</w:t>
      </w:r>
      <w:proofErr w:type="spellEnd"/>
      <w:r w:rsidRPr="00E81FA7">
        <w:rPr>
          <w:rFonts w:eastAsia="Times New Roman"/>
          <w:szCs w:val="28"/>
          <w:lang w:eastAsia="ru-RU"/>
        </w:rPr>
        <w:t>» АО «</w:t>
      </w:r>
      <w:proofErr w:type="spellStart"/>
      <w:r w:rsidRPr="00E81FA7">
        <w:rPr>
          <w:rFonts w:eastAsia="Times New Roman"/>
          <w:szCs w:val="28"/>
          <w:lang w:eastAsia="ru-RU"/>
        </w:rPr>
        <w:t>Дикси</w:t>
      </w:r>
      <w:proofErr w:type="spellEnd"/>
      <w:r w:rsidRPr="00E81FA7">
        <w:rPr>
          <w:rFonts w:eastAsia="Times New Roman"/>
          <w:szCs w:val="28"/>
          <w:lang w:eastAsia="ru-RU"/>
        </w:rPr>
        <w:t xml:space="preserve"> Юг» (21 ед.). В достаточном количестве представлены сети магазинов низких цен «Светофор» ООО «</w:t>
      </w:r>
      <w:proofErr w:type="spellStart"/>
      <w:r w:rsidRPr="00E81FA7">
        <w:rPr>
          <w:rFonts w:eastAsia="Times New Roman"/>
          <w:szCs w:val="28"/>
          <w:lang w:eastAsia="ru-RU"/>
        </w:rPr>
        <w:t>Торгсервис</w:t>
      </w:r>
      <w:proofErr w:type="spellEnd"/>
      <w:r w:rsidRPr="00E81FA7">
        <w:rPr>
          <w:rFonts w:eastAsia="Times New Roman"/>
          <w:szCs w:val="28"/>
          <w:lang w:eastAsia="ru-RU"/>
        </w:rPr>
        <w:t xml:space="preserve"> 78» (пять единиц) и «</w:t>
      </w:r>
      <w:r w:rsidRPr="00E81FA7">
        <w:rPr>
          <w:rFonts w:eastAsia="Times New Roman"/>
          <w:szCs w:val="28"/>
          <w:lang w:val="en-US" w:eastAsia="ru-RU"/>
        </w:rPr>
        <w:t>Fix</w:t>
      </w:r>
      <w:r w:rsidRPr="00E81FA7">
        <w:rPr>
          <w:rFonts w:eastAsia="Times New Roman"/>
          <w:szCs w:val="28"/>
          <w:lang w:eastAsia="ru-RU"/>
        </w:rPr>
        <w:t xml:space="preserve"> </w:t>
      </w:r>
      <w:r w:rsidRPr="00E81FA7">
        <w:rPr>
          <w:rFonts w:eastAsia="Times New Roman"/>
          <w:szCs w:val="28"/>
          <w:lang w:val="en-US" w:eastAsia="ru-RU"/>
        </w:rPr>
        <w:t>Price</w:t>
      </w:r>
      <w:r w:rsidRPr="00E81FA7">
        <w:rPr>
          <w:rFonts w:eastAsia="Times New Roman"/>
          <w:szCs w:val="28"/>
          <w:lang w:eastAsia="ru-RU"/>
        </w:rPr>
        <w:t>» ООО «БЭСТ ПРАЙС» (13 единиц), гипермаркеты «Лента» ООО «Лента (две единицы), «О</w:t>
      </w:r>
      <w:proofErr w:type="gramStart"/>
      <w:r w:rsidRPr="00E81FA7">
        <w:rPr>
          <w:rFonts w:eastAsia="Times New Roman"/>
          <w:szCs w:val="28"/>
          <w:lang w:eastAsia="ru-RU"/>
        </w:rPr>
        <w:t>`К</w:t>
      </w:r>
      <w:proofErr w:type="gramEnd"/>
      <w:r w:rsidRPr="00E81FA7">
        <w:rPr>
          <w:rFonts w:eastAsia="Times New Roman"/>
          <w:szCs w:val="28"/>
          <w:lang w:eastAsia="ru-RU"/>
        </w:rPr>
        <w:t>ЕЙ» (одна единица).</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shd w:val="clear" w:color="auto" w:fill="FFFFFF"/>
          <w:lang w:eastAsia="ru-RU"/>
        </w:rPr>
      </w:pPr>
      <w:r w:rsidRPr="00E81FA7">
        <w:rPr>
          <w:rFonts w:eastAsia="Times New Roman"/>
          <w:szCs w:val="28"/>
          <w:shd w:val="clear" w:color="auto" w:fill="FFFFFF"/>
          <w:lang w:eastAsia="ru-RU"/>
        </w:rPr>
        <w:t>В ближайшем будущем в регион зайдёт новая торговая сеть, которая сменит одну из российских розничных сетей «</w:t>
      </w:r>
      <w:proofErr w:type="spellStart"/>
      <w:r w:rsidRPr="00E81FA7">
        <w:rPr>
          <w:rFonts w:eastAsia="Times New Roman"/>
          <w:szCs w:val="28"/>
          <w:shd w:val="clear" w:color="auto" w:fill="FFFFFF"/>
          <w:lang w:eastAsia="ru-RU"/>
        </w:rPr>
        <w:t>Дикси</w:t>
      </w:r>
      <w:proofErr w:type="spellEnd"/>
      <w:r w:rsidRPr="00E81FA7">
        <w:rPr>
          <w:rFonts w:eastAsia="Times New Roman"/>
          <w:szCs w:val="28"/>
          <w:shd w:val="clear" w:color="auto" w:fill="FFFFFF"/>
          <w:lang w:eastAsia="ru-RU"/>
        </w:rPr>
        <w:t xml:space="preserve">». Новые магазины будут называться «Дёшево». </w:t>
      </w:r>
      <w:proofErr w:type="spellStart"/>
      <w:r w:rsidRPr="00E81FA7">
        <w:rPr>
          <w:rFonts w:eastAsia="Times New Roman"/>
          <w:szCs w:val="28"/>
          <w:shd w:val="clear" w:color="auto" w:fill="FFFFFF"/>
          <w:lang w:eastAsia="ru-RU"/>
        </w:rPr>
        <w:t>Дискаунтеры</w:t>
      </w:r>
      <w:proofErr w:type="spellEnd"/>
      <w:r w:rsidRPr="00E81FA7">
        <w:rPr>
          <w:rFonts w:eastAsia="Times New Roman"/>
          <w:szCs w:val="28"/>
          <w:shd w:val="clear" w:color="auto" w:fill="FFFFFF"/>
          <w:lang w:eastAsia="ru-RU"/>
        </w:rPr>
        <w:t xml:space="preserve"> «Дёшево» входят в группу компаний «Виктория». Специализируются на продаже продуктов в </w:t>
      </w:r>
      <w:proofErr w:type="spellStart"/>
      <w:r w:rsidRPr="00E81FA7">
        <w:rPr>
          <w:rFonts w:eastAsia="Times New Roman"/>
          <w:szCs w:val="28"/>
          <w:shd w:val="clear" w:color="auto" w:fill="FFFFFF"/>
          <w:lang w:eastAsia="ru-RU"/>
        </w:rPr>
        <w:t>экономсегменте</w:t>
      </w:r>
      <w:proofErr w:type="spellEnd"/>
      <w:r w:rsidRPr="00E81FA7">
        <w:rPr>
          <w:rFonts w:eastAsia="Times New Roman"/>
          <w:szCs w:val="28"/>
          <w:shd w:val="clear" w:color="auto" w:fill="FFFFFF"/>
          <w:lang w:eastAsia="ru-RU"/>
        </w:rPr>
        <w:t>. Помещения останутся те же. Это связано со сделкой, заключённой между «</w:t>
      </w:r>
      <w:proofErr w:type="spellStart"/>
      <w:r w:rsidRPr="00E81FA7">
        <w:rPr>
          <w:rFonts w:eastAsia="Times New Roman"/>
          <w:szCs w:val="28"/>
          <w:shd w:val="clear" w:color="auto" w:fill="FFFFFF"/>
          <w:lang w:eastAsia="ru-RU"/>
        </w:rPr>
        <w:t>Дикси</w:t>
      </w:r>
      <w:proofErr w:type="spellEnd"/>
      <w:r w:rsidRPr="00E81FA7">
        <w:rPr>
          <w:rFonts w:eastAsia="Times New Roman"/>
          <w:szCs w:val="28"/>
          <w:shd w:val="clear" w:color="auto" w:fill="FFFFFF"/>
          <w:lang w:eastAsia="ru-RU"/>
        </w:rPr>
        <w:t>» и «Магнитом». Также в освободившихся торговых площадях магазинов «</w:t>
      </w:r>
      <w:proofErr w:type="spellStart"/>
      <w:r w:rsidRPr="00E81FA7">
        <w:rPr>
          <w:rFonts w:eastAsia="Times New Roman"/>
          <w:szCs w:val="28"/>
          <w:shd w:val="clear" w:color="auto" w:fill="FFFFFF"/>
          <w:lang w:eastAsia="ru-RU"/>
        </w:rPr>
        <w:t>Дикси</w:t>
      </w:r>
      <w:proofErr w:type="spellEnd"/>
      <w:r w:rsidRPr="00E81FA7">
        <w:rPr>
          <w:rFonts w:eastAsia="Times New Roman"/>
          <w:szCs w:val="28"/>
          <w:shd w:val="clear" w:color="auto" w:fill="FFFFFF"/>
          <w:lang w:eastAsia="ru-RU"/>
        </w:rPr>
        <w:t>» планируется размещение универсамов «Магнит».</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color w:val="000000"/>
          <w:szCs w:val="28"/>
          <w:shd w:val="clear" w:color="auto" w:fill="FFFFFF"/>
          <w:lang w:eastAsia="ru-RU"/>
        </w:rPr>
      </w:pPr>
      <w:proofErr w:type="gramStart"/>
      <w:r w:rsidRPr="00E81FA7">
        <w:rPr>
          <w:rFonts w:eastAsia="Times New Roman"/>
          <w:szCs w:val="28"/>
          <w:lang w:eastAsia="ru-RU"/>
        </w:rPr>
        <w:t xml:space="preserve">Региональные розничные продовольственные торговые сети представлены магазинами «Сити </w:t>
      </w:r>
      <w:proofErr w:type="spellStart"/>
      <w:r w:rsidRPr="00E81FA7">
        <w:rPr>
          <w:rFonts w:eastAsia="Times New Roman"/>
          <w:szCs w:val="28"/>
          <w:lang w:eastAsia="ru-RU"/>
        </w:rPr>
        <w:t>Гурмэ</w:t>
      </w:r>
      <w:proofErr w:type="spellEnd"/>
      <w:r w:rsidRPr="00E81FA7">
        <w:rPr>
          <w:rFonts w:eastAsia="Times New Roman"/>
          <w:szCs w:val="28"/>
          <w:lang w:eastAsia="ru-RU"/>
        </w:rPr>
        <w:t>» (четыре единицы), «Североморец» (две единицы), «Рыбный» (11 единиц) и ф</w:t>
      </w:r>
      <w:r w:rsidRPr="00E81FA7">
        <w:rPr>
          <w:rFonts w:eastAsia="Times New Roman"/>
          <w:color w:val="000000"/>
          <w:szCs w:val="28"/>
          <w:shd w:val="clear" w:color="auto" w:fill="FFFFFF"/>
          <w:lang w:eastAsia="ru-RU"/>
        </w:rPr>
        <w:t>ирменными мясными магазинами «Окраина» бренда «Окраина вкуснее» (15 единиц).</w:t>
      </w:r>
      <w:proofErr w:type="gramEnd"/>
    </w:p>
    <w:p w:rsidR="00E81FA7" w:rsidRPr="00E81FA7" w:rsidRDefault="00E81FA7" w:rsidP="00E81FA7">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Розничные сети оптимизируют ассортимент своих магазинов, переориентируются на потребителей с доходом средним и ниже среднего. В условиях пандемии крупные продовольственные сети стали широко использовать возможность продажи продукции через Интернет с доставкой по указанному покупателем адресу. Такую услугу предлагают гипермаркеты </w:t>
      </w:r>
      <w:r w:rsidRPr="00E81FA7">
        <w:rPr>
          <w:rFonts w:eastAsia="Times New Roman"/>
          <w:szCs w:val="28"/>
          <w:lang w:eastAsia="ru-RU"/>
        </w:rPr>
        <w:lastRenderedPageBreak/>
        <w:t>«Лента», «О</w:t>
      </w:r>
      <w:proofErr w:type="gramStart"/>
      <w:r w:rsidRPr="00E81FA7">
        <w:rPr>
          <w:rFonts w:eastAsia="Times New Roman"/>
          <w:szCs w:val="28"/>
          <w:lang w:eastAsia="ru-RU"/>
        </w:rPr>
        <w:t>`К</w:t>
      </w:r>
      <w:proofErr w:type="gramEnd"/>
      <w:r w:rsidRPr="00E81FA7">
        <w:rPr>
          <w:rFonts w:eastAsia="Times New Roman"/>
          <w:szCs w:val="28"/>
          <w:lang w:eastAsia="ru-RU"/>
        </w:rPr>
        <w:t>ЕЙ».</w:t>
      </w:r>
      <w:r w:rsidRPr="00E81FA7">
        <w:rPr>
          <w:rFonts w:eastAsia="Times New Roman"/>
          <w:color w:val="111111"/>
          <w:szCs w:val="28"/>
          <w:shd w:val="clear" w:color="auto" w:fill="FFFFFF"/>
          <w:lang w:eastAsia="ru-RU"/>
        </w:rPr>
        <w:t xml:space="preserve"> Востребован сервис «</w:t>
      </w:r>
      <w:proofErr w:type="spellStart"/>
      <w:r w:rsidRPr="00E81FA7">
        <w:rPr>
          <w:rFonts w:eastAsia="Times New Roman"/>
          <w:color w:val="111111"/>
          <w:szCs w:val="28"/>
          <w:shd w:val="clear" w:color="auto" w:fill="FFFFFF"/>
          <w:lang w:eastAsia="ru-RU"/>
        </w:rPr>
        <w:t>СберМаркет</w:t>
      </w:r>
      <w:proofErr w:type="spellEnd"/>
      <w:r w:rsidRPr="00E81FA7">
        <w:rPr>
          <w:rFonts w:eastAsia="Times New Roman"/>
          <w:color w:val="111111"/>
          <w:szCs w:val="28"/>
          <w:shd w:val="clear" w:color="auto" w:fill="FFFFFF"/>
          <w:lang w:eastAsia="ru-RU"/>
        </w:rPr>
        <w:t xml:space="preserve">» - это удобная доставка продуктов в Мурманске.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Розничная торговля в городе Мурманске представлена не только стационарными торговыми объектами. В настоящее время малые торговые форматы, и в частности нестационарная торговля, несмотря на развитие торговых сетей, играют важную роль в экономике города, оказывают весомое влияние на развитие малого бизнеса, на развитие </w:t>
      </w:r>
      <w:proofErr w:type="spellStart"/>
      <w:r w:rsidRPr="00E81FA7">
        <w:rPr>
          <w:rFonts w:eastAsia="Times New Roman"/>
          <w:szCs w:val="28"/>
          <w:lang w:eastAsia="ru-RU"/>
        </w:rPr>
        <w:t>самозанятости</w:t>
      </w:r>
      <w:proofErr w:type="spellEnd"/>
      <w:r w:rsidRPr="00E81FA7">
        <w:rPr>
          <w:rFonts w:eastAsia="Times New Roman"/>
          <w:szCs w:val="28"/>
          <w:lang w:eastAsia="ru-RU"/>
        </w:rPr>
        <w:t xml:space="preserve"> в целом. Обязательным условием осуществления законной торговой деятельности в нестационарных торговых объектах является включение адреса места размещения нестационарного торгового объекта в схему размещения нестационарных торговых объектов на территории муниципального образования город Мурманск. </w:t>
      </w:r>
      <w:r w:rsidRPr="00E81FA7">
        <w:rPr>
          <w:rFonts w:eastAsia="Times New Roman"/>
          <w:szCs w:val="28"/>
          <w:lang w:eastAsia="ar-SA"/>
        </w:rPr>
        <w:t xml:space="preserve">По состоянию на 31.12.2020 схемой размещения предусмотрено 74 адреса для круглогодичного размещения 78 нестационарных торговых объектов (павильонов - 57, киосков - девять, автолавок и автоприцепов - 12) и 10 адресов для размещения на сезонный период </w:t>
      </w:r>
      <w:r w:rsidRPr="00E81FA7">
        <w:rPr>
          <w:rFonts w:eastAsia="Times New Roman"/>
          <w:szCs w:val="28"/>
          <w:lang w:eastAsia="ar-SA"/>
        </w:rPr>
        <w:br/>
        <w:t xml:space="preserve">20 ёлочных базаров. В 2020 году предпринимателям были выданы </w:t>
      </w:r>
      <w:r w:rsidRPr="00E81FA7">
        <w:rPr>
          <w:rFonts w:eastAsia="Times New Roman"/>
          <w:szCs w:val="28"/>
          <w:lang w:eastAsia="ar-SA"/>
        </w:rPr>
        <w:br/>
        <w:t>65 разрешений на право размещения нестационарных торговых объектов на территории муниципального образования город Мурманск. По данным на 31.12.2020 фактическое число размещённых нестационарных торговых объектов в городе - 200, в том числе 26 автолавок и автоприцепов.</w:t>
      </w:r>
      <w:r w:rsidRPr="00E81FA7">
        <w:rPr>
          <w:rFonts w:eastAsia="Times New Roman"/>
          <w:szCs w:val="28"/>
          <w:lang w:eastAsia="ru-RU"/>
        </w:rPr>
        <w:t xml:space="preserve">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ar-SA"/>
        </w:rPr>
      </w:pPr>
      <w:r w:rsidRPr="00E81FA7">
        <w:rPr>
          <w:rFonts w:eastAsia="Times New Roman"/>
          <w:szCs w:val="28"/>
          <w:lang w:eastAsia="ar-SA"/>
        </w:rPr>
        <w:t xml:space="preserve">В части развития нестационарной торговли на территории города Мурманска назрела необходимость определения их оптимального количества, а также сокращения некоторых объектов с целью формирования целостного архитектурно-художественного облика города. Вместе с тем, сокращая количество нестационарных торговых объектов образца 2000х годов, необходимо развивать современные форматы нестационарной торговли. В настоящее время в городе Мурманске уже есть хозяйствующие субъекты, предлагающие такие форматы: </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ar-SA"/>
        </w:rPr>
      </w:pPr>
      <w:r w:rsidRPr="00E81FA7">
        <w:rPr>
          <w:rFonts w:eastAsia="Times New Roman"/>
          <w:szCs w:val="28"/>
          <w:lang w:eastAsia="ar-SA"/>
        </w:rPr>
        <w:t xml:space="preserve">- мобильная торговля (быстрое питание - </w:t>
      </w:r>
      <w:r w:rsidRPr="00E81FA7">
        <w:rPr>
          <w:rFonts w:eastAsia="Times New Roman"/>
          <w:szCs w:val="28"/>
          <w:lang w:val="en-US" w:eastAsia="ar-SA"/>
        </w:rPr>
        <w:t>street</w:t>
      </w:r>
      <w:r w:rsidRPr="00E81FA7">
        <w:rPr>
          <w:rFonts w:eastAsia="Times New Roman"/>
          <w:szCs w:val="28"/>
          <w:lang w:eastAsia="ar-SA"/>
        </w:rPr>
        <w:t xml:space="preserve"> </w:t>
      </w:r>
      <w:r w:rsidRPr="00E81FA7">
        <w:rPr>
          <w:rFonts w:eastAsia="Times New Roman"/>
          <w:szCs w:val="28"/>
          <w:lang w:val="en-US" w:eastAsia="ar-SA"/>
        </w:rPr>
        <w:t>food</w:t>
      </w:r>
      <w:r w:rsidRPr="00E81FA7">
        <w:rPr>
          <w:rFonts w:eastAsia="Times New Roman"/>
          <w:szCs w:val="28"/>
          <w:lang w:eastAsia="ar-SA"/>
        </w:rPr>
        <w:t>, «кофейни на колёсах», мороженое, напитки);</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ar-SA"/>
        </w:rPr>
      </w:pPr>
      <w:r w:rsidRPr="00E81FA7">
        <w:rPr>
          <w:rFonts w:eastAsia="Times New Roman"/>
          <w:szCs w:val="28"/>
          <w:lang w:eastAsia="ar-SA"/>
        </w:rPr>
        <w:t>- развозная торговля (</w:t>
      </w:r>
      <w:proofErr w:type="spellStart"/>
      <w:r w:rsidRPr="00E81FA7">
        <w:rPr>
          <w:rFonts w:eastAsia="Times New Roman"/>
          <w:szCs w:val="28"/>
          <w:lang w:eastAsia="ar-SA"/>
        </w:rPr>
        <w:t>фудтраки</w:t>
      </w:r>
      <w:proofErr w:type="spellEnd"/>
      <w:r w:rsidRPr="00E81FA7">
        <w:rPr>
          <w:rFonts w:eastAsia="Times New Roman"/>
          <w:szCs w:val="28"/>
          <w:lang w:eastAsia="ar-SA"/>
        </w:rPr>
        <w:t>, автомагазины и т.д.);</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ar-SA"/>
        </w:rPr>
      </w:pPr>
      <w:r w:rsidRPr="00E81FA7">
        <w:rPr>
          <w:rFonts w:eastAsia="Times New Roman"/>
          <w:szCs w:val="28"/>
          <w:lang w:eastAsia="ar-SA"/>
        </w:rPr>
        <w:t xml:space="preserve">- фирменные киоски или автолавки по продаже продукции местных товаропроизводителей или местных промыслов (например, специализированные по продаже </w:t>
      </w:r>
      <w:proofErr w:type="spellStart"/>
      <w:r w:rsidRPr="00E81FA7">
        <w:rPr>
          <w:rFonts w:eastAsia="Times New Roman"/>
          <w:szCs w:val="28"/>
          <w:lang w:eastAsia="ar-SA"/>
        </w:rPr>
        <w:t>рыбопродукции</w:t>
      </w:r>
      <w:proofErr w:type="spellEnd"/>
      <w:r w:rsidRPr="00E81FA7">
        <w:rPr>
          <w:rFonts w:eastAsia="Times New Roman"/>
          <w:szCs w:val="28"/>
          <w:lang w:eastAsia="ar-SA"/>
        </w:rPr>
        <w:t>, хлебобулочных изделий, продукции из оленины, ГОУСП «</w:t>
      </w:r>
      <w:proofErr w:type="spellStart"/>
      <w:r w:rsidRPr="00E81FA7">
        <w:rPr>
          <w:rFonts w:eastAsia="Times New Roman"/>
          <w:szCs w:val="28"/>
          <w:lang w:eastAsia="ar-SA"/>
        </w:rPr>
        <w:t>Тулома</w:t>
      </w:r>
      <w:proofErr w:type="spellEnd"/>
      <w:r w:rsidRPr="00E81FA7">
        <w:rPr>
          <w:rFonts w:eastAsia="Times New Roman"/>
          <w:szCs w:val="28"/>
          <w:lang w:eastAsia="ar-SA"/>
        </w:rPr>
        <w:t>», «Окраина вкуснее» и т.п.);</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ar-SA"/>
        </w:rPr>
      </w:pPr>
      <w:r w:rsidRPr="00E81FA7">
        <w:rPr>
          <w:rFonts w:eastAsia="Times New Roman"/>
          <w:szCs w:val="28"/>
          <w:lang w:eastAsia="ar-SA"/>
        </w:rPr>
        <w:tab/>
        <w:t>- летние кафе, автоматы для горячих и холодных напитков на период сезонной торговли в местах отдыха горожан и гостей города.</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E81FA7">
        <w:rPr>
          <w:rFonts w:eastAsia="Times New Roman"/>
          <w:szCs w:val="28"/>
          <w:lang w:eastAsia="ru-RU"/>
        </w:rPr>
        <w:tab/>
      </w:r>
      <w:proofErr w:type="gramStart"/>
      <w:r w:rsidRPr="00E81FA7">
        <w:rPr>
          <w:rFonts w:eastAsia="Times New Roman"/>
          <w:szCs w:val="28"/>
          <w:lang w:eastAsia="ru-RU"/>
        </w:rPr>
        <w:t>С введением в связи с пандемией в прошедшем году особых жёстких требований к функционированию</w:t>
      </w:r>
      <w:proofErr w:type="gramEnd"/>
      <w:r w:rsidRPr="00E81FA7">
        <w:rPr>
          <w:rFonts w:eastAsia="Times New Roman"/>
          <w:szCs w:val="28"/>
          <w:lang w:eastAsia="ru-RU"/>
        </w:rPr>
        <w:t xml:space="preserve"> торговых объектов и объектов общественного питания, повлекших закрытие большого количества объектов потребительского рынка и полную потерю бизнеса предпринимателями в этой сфере, фактическая обеспеченность торговыми площадями населения города несколько снизилась. Тем не менее, по состоянию на 30.06.2021 обеспеченность жителей города Мурманска торговыми площадями на 1000 жителей остаётся высокой и составляет 1049,54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 xml:space="preserve">, что на 57,4% превышает нормативное </w:t>
      </w:r>
      <w:r w:rsidRPr="00E81FA7">
        <w:rPr>
          <w:rFonts w:eastAsia="Times New Roman"/>
          <w:szCs w:val="28"/>
          <w:lang w:eastAsia="ru-RU"/>
        </w:rPr>
        <w:lastRenderedPageBreak/>
        <w:t xml:space="preserve">значение в 667,0 </w:t>
      </w:r>
      <w:proofErr w:type="spellStart"/>
      <w:r w:rsidRPr="00E81FA7">
        <w:rPr>
          <w:rFonts w:eastAsia="Times New Roman"/>
          <w:szCs w:val="28"/>
          <w:lang w:eastAsia="ru-RU"/>
        </w:rPr>
        <w:t>кв.м</w:t>
      </w:r>
      <w:proofErr w:type="spellEnd"/>
      <w:r w:rsidRPr="00E81FA7">
        <w:rPr>
          <w:rFonts w:eastAsia="Times New Roman"/>
          <w:szCs w:val="28"/>
          <w:lang w:eastAsia="ru-RU"/>
        </w:rPr>
        <w:t xml:space="preserve">, в том числе: по продаже продовольственных товаров – 321,82 </w:t>
      </w:r>
      <w:proofErr w:type="spellStart"/>
      <w:r w:rsidRPr="00E81FA7">
        <w:rPr>
          <w:rFonts w:eastAsia="Times New Roman"/>
          <w:szCs w:val="28"/>
          <w:lang w:eastAsia="ru-RU"/>
        </w:rPr>
        <w:t>кв.м</w:t>
      </w:r>
      <w:proofErr w:type="spellEnd"/>
      <w:r w:rsidRPr="00E81FA7">
        <w:rPr>
          <w:rFonts w:eastAsia="Times New Roman"/>
          <w:szCs w:val="28"/>
          <w:lang w:eastAsia="ru-RU"/>
        </w:rPr>
        <w:t xml:space="preserve">, что на 21,0% превышает нормативное значение в 266,0 </w:t>
      </w:r>
      <w:proofErr w:type="spellStart"/>
      <w:r w:rsidRPr="00E81FA7">
        <w:rPr>
          <w:rFonts w:eastAsia="Times New Roman"/>
          <w:szCs w:val="28"/>
          <w:lang w:eastAsia="ru-RU"/>
        </w:rPr>
        <w:t>кв.м</w:t>
      </w:r>
      <w:proofErr w:type="spellEnd"/>
      <w:r w:rsidRPr="00E81FA7">
        <w:rPr>
          <w:rFonts w:eastAsia="Times New Roman"/>
          <w:szCs w:val="28"/>
          <w:lang w:eastAsia="ru-RU"/>
        </w:rPr>
        <w:t xml:space="preserve">; по продаже непродовольственных товаров – 744,2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 xml:space="preserve">, что на 81,5% превышает норматив в 401,0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прогнозном периоде с учетом значительного превышения нормативных значений, а также тенденции снижения численности населения города, обеспеченность населения торговыми площадями в 2026 году достигнет </w:t>
      </w:r>
      <w:r w:rsidRPr="00E81FA7">
        <w:rPr>
          <w:rFonts w:eastAsia="Times New Roman"/>
          <w:szCs w:val="28"/>
          <w:lang w:eastAsia="ru-RU"/>
        </w:rPr>
        <w:br/>
        <w:t xml:space="preserve">1 250,2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 xml:space="preserve"> на 1000 человек.</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Оборот общественного питания в 2020 году составил 1,8 млрд. рублей (темп роста к 2019 году – 81,9%). Как сказано выше, рынок общественного питания муниципального образования город Мурманск, представлявший собой сочетание различных форматов, направлений и </w:t>
      </w:r>
      <w:r w:rsidRPr="00E81FA7">
        <w:rPr>
          <w:rFonts w:eastAsia="Times New Roman"/>
          <w:szCs w:val="28"/>
          <w:lang w:bidi="en-US"/>
        </w:rPr>
        <w:t>многообразие концепций, рассчитанных на разные целевые группы потребителей, понёс в 2020 году значительные потери: закрылось значительное количество кафе, бистро, закусочных и объектов фаст-</w:t>
      </w:r>
      <w:proofErr w:type="spellStart"/>
      <w:r w:rsidRPr="00E81FA7">
        <w:rPr>
          <w:rFonts w:eastAsia="Times New Roman"/>
          <w:szCs w:val="28"/>
          <w:lang w:bidi="en-US"/>
        </w:rPr>
        <w:t>фуда</w:t>
      </w:r>
      <w:proofErr w:type="spellEnd"/>
      <w:r w:rsidRPr="00E81FA7">
        <w:rPr>
          <w:rFonts w:eastAsia="Times New Roman"/>
          <w:szCs w:val="28"/>
          <w:lang w:bidi="en-US"/>
        </w:rPr>
        <w:t>.</w:t>
      </w:r>
      <w:r w:rsidRPr="00E81FA7">
        <w:rPr>
          <w:rFonts w:eastAsia="Times New Roman"/>
          <w:szCs w:val="28"/>
          <w:lang w:eastAsia="ru-RU"/>
        </w:rPr>
        <w:t xml:space="preserve">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Мурманске сфера общепита представлена 342 объектами общественного питания, из которых: ресторанов, кафе и баров – 172 единицы; закусочных - 19 единиц, в том числе быстрого питания на вынос и на автозаправочных станциях; объектов общепита закрытого доступа в учреждениях и предприятиях города Мурманска – 151 единица.</w:t>
      </w:r>
    </w:p>
    <w:p w:rsidR="00E81FA7" w:rsidRPr="00E81FA7" w:rsidRDefault="00E81FA7" w:rsidP="00E81FA7">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 xml:space="preserve">Объем потребления платных услуг населением в 2020 году составил </w:t>
      </w:r>
      <w:r w:rsidRPr="00E81FA7">
        <w:rPr>
          <w:rFonts w:eastAsia="Times New Roman"/>
          <w:szCs w:val="28"/>
          <w:lang w:eastAsia="ru-RU"/>
        </w:rPr>
        <w:br/>
        <w:t xml:space="preserve">27,1 млрд. рублей, темп роста к предыдущему году – 109,7% (в 2019 году – 24,7 млрд. рублей), индекс физического объема – 107,3% (в сопоставимых ценах).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Отмечено увеличение в действующих ценах объема ветеринарных услуг (в 4,0 раза), коммунальных услуг (125,1%), бытовых услуг (132,3%), в том числе по техническому обслуживанию и ремонту транспортных средств, машин и оборудования (141,8%), услуг телекоммуникационных (101,7%). Значительное сокращение отмечено в действующих ценах объема жилищных услуг (10,4%), услуг учреждений культуры (30,2%), физической культуры и спорта (59,0%) и услуг специализированных коллективных средств размещения (62,6%).</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Сфера бытового обслуживания населения города, где ведущую роль играет малый бизнес и особенно индивидуальное предпринимательство, в прошедшем году также понесла потери. </w:t>
      </w:r>
      <w:proofErr w:type="gramStart"/>
      <w:r w:rsidRPr="00E81FA7">
        <w:rPr>
          <w:rFonts w:eastAsia="Times New Roman"/>
          <w:szCs w:val="28"/>
          <w:lang w:eastAsia="ru-RU"/>
        </w:rPr>
        <w:t>На конец</w:t>
      </w:r>
      <w:proofErr w:type="gramEnd"/>
      <w:r w:rsidRPr="00E81FA7">
        <w:rPr>
          <w:rFonts w:eastAsia="Times New Roman"/>
          <w:szCs w:val="28"/>
          <w:lang w:eastAsia="ru-RU"/>
        </w:rPr>
        <w:t xml:space="preserve"> 2019 года на территории города Мурманска действовали 649 предприятий бытовых услуг, на конец </w:t>
      </w:r>
      <w:r w:rsidRPr="00E81FA7">
        <w:rPr>
          <w:rFonts w:eastAsia="Times New Roman"/>
          <w:szCs w:val="28"/>
          <w:lang w:eastAsia="ru-RU"/>
        </w:rPr>
        <w:br/>
        <w:t xml:space="preserve">2020 года - 580.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В целях развития потребительского рынка в рамках подпрограммы «Развитие и поддержка малого и среднего предпринимательства в городе Мурманске» на 2018-2024 годы муниципальной программы города Мурманска «Развитие конкурентоспособной экономики» на 2018-2024 годы ежегодно проводятся общегородские конкурсы «Гермес» и «Новогодняя фантазия», направленные на повышение культуры и качества обслуживания населения, ярмарки по продаже товаров, в том числе сельскохозяйственных, от приглашенных производителей как местных</w:t>
      </w:r>
      <w:proofErr w:type="gramEnd"/>
      <w:r w:rsidRPr="00E81FA7">
        <w:rPr>
          <w:rFonts w:eastAsia="Times New Roman"/>
          <w:szCs w:val="28"/>
          <w:lang w:eastAsia="ru-RU"/>
        </w:rPr>
        <w:t xml:space="preserve">, так и из других регионов страны, из которых четыре работают на постоянной основе. Вследствие того, что </w:t>
      </w:r>
      <w:r w:rsidRPr="00E81FA7">
        <w:rPr>
          <w:rFonts w:eastAsia="Times New Roman"/>
          <w:szCs w:val="28"/>
          <w:lang w:eastAsia="ru-RU"/>
        </w:rPr>
        <w:lastRenderedPageBreak/>
        <w:t>весной прошлого года, в самый пик введённых ограничений для предпринимательского сообщества, многие объекты потребительского рынка оказались закрытыми, общегородской конкурс «Гермес» не проводился.</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E81FA7">
        <w:rPr>
          <w:rFonts w:eastAsia="Times New Roman"/>
          <w:szCs w:val="28"/>
          <w:lang w:eastAsia="ru-RU"/>
        </w:rPr>
        <w:tab/>
        <w:t xml:space="preserve">Органы местного самоуправления муниципального образования город Мурманск уделяют большое внимание социально незащищённым слоям населения. </w:t>
      </w:r>
      <w:proofErr w:type="gramStart"/>
      <w:r w:rsidRPr="00E81FA7">
        <w:rPr>
          <w:rFonts w:eastAsia="Times New Roman"/>
          <w:szCs w:val="28"/>
          <w:lang w:eastAsia="ru-RU"/>
        </w:rPr>
        <w:t>В целях оказания социальной поддержки малообеспеченным и льготным категориям граждан с ноября 2011 года успешно реализуется социальный проект «Городская карта поддержки», который даёт возможность льготным категориям горожан приобретать товары и услуги со скидкой от 5% до 20%. В связи с закрытием большого числа магазинов вышеназванных региональных розничных сетей, которые участвовали в этом проекте, количество предприятий торговли - участников данного проекта, заметно</w:t>
      </w:r>
      <w:proofErr w:type="gramEnd"/>
      <w:r w:rsidRPr="00E81FA7">
        <w:rPr>
          <w:rFonts w:eastAsia="Times New Roman"/>
          <w:szCs w:val="28"/>
          <w:lang w:eastAsia="ru-RU"/>
        </w:rPr>
        <w:t xml:space="preserve"> уменьшилось. Однако администрацией города Мурманска проводится работа с </w:t>
      </w:r>
      <w:proofErr w:type="gramStart"/>
      <w:r w:rsidRPr="00E81FA7">
        <w:rPr>
          <w:rFonts w:eastAsia="Times New Roman"/>
          <w:szCs w:val="28"/>
          <w:lang w:eastAsia="ru-RU"/>
        </w:rPr>
        <w:t>представителями</w:t>
      </w:r>
      <w:proofErr w:type="gramEnd"/>
      <w:r w:rsidRPr="00E81FA7">
        <w:rPr>
          <w:rFonts w:eastAsia="Times New Roman"/>
          <w:szCs w:val="28"/>
          <w:lang w:eastAsia="ru-RU"/>
        </w:rPr>
        <w:t xml:space="preserve"> пришедших на их место федеральных сетей по партнёрскому участию в социальном проекте «Городская карта поддержки». Так уже в феврале 2021 года заключено соглашение с АО «Тандер» о предоставлении скидок по социальной карте в принадлежащих ему 46 магазинах «Магнит» на территории города Мурманска. По состоянию на 01.08.2021 держателями социальных карт нового формата являются 30 222 человека.</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E81FA7">
        <w:rPr>
          <w:rFonts w:eastAsia="Times New Roman"/>
          <w:szCs w:val="28"/>
          <w:lang w:eastAsia="ru-RU"/>
        </w:rPr>
        <w:tab/>
        <w:t xml:space="preserve">По итогам 2021 года, несмотря на слабый потребительский спрос, сдержанный рост доходов населения и переориентирование потребителей на осуществление покупок в </w:t>
      </w:r>
      <w:proofErr w:type="gramStart"/>
      <w:r w:rsidRPr="00E81FA7">
        <w:rPr>
          <w:rFonts w:eastAsia="Times New Roman"/>
          <w:szCs w:val="28"/>
          <w:lang w:eastAsia="ru-RU"/>
        </w:rPr>
        <w:t>интернет-магазинах</w:t>
      </w:r>
      <w:proofErr w:type="gramEnd"/>
      <w:r w:rsidRPr="00E81FA7">
        <w:rPr>
          <w:rFonts w:eastAsia="Times New Roman"/>
          <w:szCs w:val="28"/>
          <w:lang w:eastAsia="ru-RU"/>
        </w:rPr>
        <w:t>, ожидается незначительное увеличение оборота розничной торговли на 3,9%. Объем платных услуг населению наоборот возрастет на 13,1%, в том числе за счет низкой базы 2020 года.</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E81FA7">
        <w:rPr>
          <w:rFonts w:eastAsia="Times New Roman"/>
          <w:szCs w:val="28"/>
          <w:lang w:eastAsia="ru-RU"/>
        </w:rPr>
        <w:tab/>
        <w:t>Оживление роста емкости потребительского рынка ожидается с 2021 года. Этому будет способствовать увеличение денежной массы у населения, позитивные потребительские ожидания на фоне общей стабилизации.</w:t>
      </w:r>
    </w:p>
    <w:p w:rsidR="00E81FA7" w:rsidRPr="00E81FA7" w:rsidRDefault="00E81FA7" w:rsidP="00E81FA7">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E81FA7">
        <w:rPr>
          <w:rFonts w:eastAsia="Times New Roman"/>
          <w:szCs w:val="28"/>
          <w:lang w:eastAsia="ru-RU"/>
        </w:rPr>
        <w:tab/>
      </w:r>
      <w:proofErr w:type="gramStart"/>
      <w:r w:rsidRPr="00E81FA7">
        <w:rPr>
          <w:rFonts w:eastAsia="Times New Roman"/>
          <w:szCs w:val="28"/>
          <w:lang w:eastAsia="ru-RU"/>
        </w:rPr>
        <w:t xml:space="preserve">Наиболее сильный удар пандемии в 2020 году пришелся на кафе и рестораны, гостиницы, салоны красоты и парикмахерские, сферу развлечений, спорт, туризм, розничные непродовольственные магазины и др. Все виды бизнеса, которые не успели перейти на предоставление товаров и услуг в онлайн-формате или бизнес-модель которых предполагает исключительно личное предоставление услуг, сейчас подвержены риску банкротства. </w:t>
      </w:r>
      <w:proofErr w:type="gramEnd"/>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Динамика оборота розничной торговли в базовом варианте на протяжении прогнозного периода будет выражена умеренным приростом и к 2026 году достигнет уровня 76,6 млрд. рублей. Объем платных услуг населению – 39,2 млрд. рублей.</w:t>
      </w:r>
    </w:p>
    <w:p w:rsidR="0018260A" w:rsidRPr="00E10048" w:rsidRDefault="0018260A" w:rsidP="00E10048">
      <w:pPr>
        <w:overflowPunct w:val="0"/>
        <w:autoSpaceDE w:val="0"/>
        <w:autoSpaceDN w:val="0"/>
        <w:adjustRightInd w:val="0"/>
        <w:spacing w:after="0" w:line="240" w:lineRule="auto"/>
        <w:ind w:firstLine="709"/>
        <w:jc w:val="center"/>
        <w:textAlignment w:val="baseline"/>
        <w:rPr>
          <w:rFonts w:eastAsia="Times New Roman"/>
          <w:szCs w:val="28"/>
          <w:lang w:eastAsia="ru-RU"/>
        </w:rPr>
      </w:pPr>
    </w:p>
    <w:p w:rsidR="0018260A" w:rsidRPr="00E10048" w:rsidRDefault="0018260A" w:rsidP="00E10048">
      <w:pPr>
        <w:overflowPunct w:val="0"/>
        <w:autoSpaceDE w:val="0"/>
        <w:autoSpaceDN w:val="0"/>
        <w:adjustRightInd w:val="0"/>
        <w:spacing w:after="0" w:line="240" w:lineRule="auto"/>
        <w:ind w:firstLine="709"/>
        <w:jc w:val="center"/>
        <w:textAlignment w:val="baseline"/>
        <w:rPr>
          <w:rFonts w:eastAsia="Times New Roman"/>
          <w:szCs w:val="28"/>
          <w:lang w:eastAsia="ru-RU"/>
        </w:rPr>
      </w:pPr>
      <w:r w:rsidRPr="00E10048">
        <w:rPr>
          <w:rFonts w:eastAsia="Times New Roman"/>
          <w:szCs w:val="28"/>
          <w:lang w:eastAsia="ru-RU"/>
        </w:rPr>
        <w:t>Малое и среднее предпринимательство</w:t>
      </w:r>
    </w:p>
    <w:p w:rsidR="0018260A" w:rsidRPr="00E81FA7"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highlight w:val="green"/>
          <w:lang w:eastAsia="ru-RU"/>
        </w:rPr>
      </w:pPr>
    </w:p>
    <w:p w:rsidR="00E81FA7" w:rsidRPr="00E81FA7" w:rsidRDefault="00E81FA7" w:rsidP="00E81FA7">
      <w:pPr>
        <w:widowControl w:val="0"/>
        <w:spacing w:after="0" w:line="240" w:lineRule="auto"/>
        <w:ind w:firstLine="567"/>
        <w:jc w:val="both"/>
        <w:rPr>
          <w:rFonts w:eastAsia="Times New Roman"/>
          <w:szCs w:val="28"/>
        </w:rPr>
      </w:pPr>
      <w:r w:rsidRPr="00E81FA7">
        <w:rPr>
          <w:rFonts w:eastAsia="Times New Roman"/>
          <w:szCs w:val="28"/>
        </w:rPr>
        <w:t xml:space="preserve">По текущим данным Единого реестра субъектов малого и среднего </w:t>
      </w:r>
      <w:r w:rsidRPr="00E81FA7">
        <w:rPr>
          <w:rFonts w:eastAsia="Times New Roman"/>
          <w:szCs w:val="28"/>
        </w:rPr>
        <w:lastRenderedPageBreak/>
        <w:t>предпринимательства</w:t>
      </w:r>
      <w:r w:rsidRPr="00E81FA7">
        <w:rPr>
          <w:rFonts w:eastAsia="Times New Roman"/>
          <w:szCs w:val="28"/>
          <w:vertAlign w:val="superscript"/>
        </w:rPr>
        <w:footnoteReference w:id="7"/>
      </w:r>
      <w:r w:rsidRPr="00E81FA7">
        <w:rPr>
          <w:rFonts w:eastAsia="Times New Roman"/>
          <w:szCs w:val="28"/>
        </w:rPr>
        <w:t xml:space="preserve"> (</w:t>
      </w:r>
      <w:hyperlink r:id="rId13" w:history="1">
        <w:r w:rsidRPr="00E81FA7">
          <w:rPr>
            <w:rFonts w:eastAsia="Times New Roman"/>
            <w:color w:val="0066CC"/>
            <w:szCs w:val="28"/>
            <w:u w:val="single"/>
          </w:rPr>
          <w:t>https://rmsp.nalog.ru/search.html</w:t>
        </w:r>
      </w:hyperlink>
      <w:r w:rsidRPr="00E81FA7">
        <w:rPr>
          <w:rFonts w:eastAsia="Times New Roman"/>
          <w:szCs w:val="28"/>
        </w:rPr>
        <w:t>) (далее – Реестр СМСП) количество субъектов малого и среднего предпринимательства (микр</w:t>
      </w:r>
      <w:proofErr w:type="gramStart"/>
      <w:r w:rsidRPr="00E81FA7">
        <w:rPr>
          <w:rFonts w:eastAsia="Times New Roman"/>
          <w:szCs w:val="28"/>
        </w:rPr>
        <w:t>о-</w:t>
      </w:r>
      <w:proofErr w:type="gramEnd"/>
      <w:r w:rsidRPr="00E81FA7">
        <w:rPr>
          <w:rFonts w:eastAsia="Times New Roman"/>
          <w:szCs w:val="28"/>
        </w:rPr>
        <w:t>, малые и средние предприятия, индивидуальные предприниматели) в городе Мурманске по состоянию на 10.01.2021 составило 14 009 единиц, в том числе:</w:t>
      </w:r>
    </w:p>
    <w:p w:rsidR="00E81FA7" w:rsidRPr="00E81FA7" w:rsidRDefault="00E81FA7" w:rsidP="00E81FA7">
      <w:pPr>
        <w:widowControl w:val="0"/>
        <w:spacing w:after="0" w:line="240" w:lineRule="auto"/>
        <w:ind w:firstLine="567"/>
        <w:jc w:val="both"/>
        <w:rPr>
          <w:rFonts w:eastAsia="Times New Roman"/>
          <w:szCs w:val="28"/>
        </w:rPr>
      </w:pPr>
      <w:r w:rsidRPr="00E81FA7">
        <w:rPr>
          <w:rFonts w:eastAsia="Times New Roman"/>
          <w:szCs w:val="28"/>
        </w:rPr>
        <w:t xml:space="preserve">- </w:t>
      </w:r>
      <w:proofErr w:type="spellStart"/>
      <w:r w:rsidRPr="00E81FA7">
        <w:rPr>
          <w:rFonts w:eastAsia="Times New Roman"/>
          <w:szCs w:val="28"/>
        </w:rPr>
        <w:t>микропредприятия</w:t>
      </w:r>
      <w:proofErr w:type="spellEnd"/>
      <w:r w:rsidRPr="00E81FA7">
        <w:rPr>
          <w:rFonts w:eastAsia="Times New Roman"/>
          <w:szCs w:val="28"/>
        </w:rPr>
        <w:t xml:space="preserve"> – 6 302 ед.;</w:t>
      </w:r>
    </w:p>
    <w:p w:rsidR="00E81FA7" w:rsidRPr="00E81FA7" w:rsidRDefault="00E81FA7" w:rsidP="00E81FA7">
      <w:pPr>
        <w:widowControl w:val="0"/>
        <w:spacing w:after="0" w:line="240" w:lineRule="auto"/>
        <w:ind w:firstLine="567"/>
        <w:jc w:val="both"/>
        <w:rPr>
          <w:rFonts w:eastAsia="Times New Roman"/>
          <w:szCs w:val="28"/>
        </w:rPr>
      </w:pPr>
      <w:r w:rsidRPr="00E81FA7">
        <w:rPr>
          <w:rFonts w:eastAsia="Times New Roman"/>
          <w:szCs w:val="28"/>
        </w:rPr>
        <w:t>- малые предприятия – 465 ед.;</w:t>
      </w:r>
    </w:p>
    <w:p w:rsidR="00E81FA7" w:rsidRPr="00E81FA7" w:rsidRDefault="00E81FA7" w:rsidP="00E81FA7">
      <w:pPr>
        <w:widowControl w:val="0"/>
        <w:spacing w:after="0" w:line="240" w:lineRule="auto"/>
        <w:ind w:firstLine="567"/>
        <w:jc w:val="both"/>
        <w:rPr>
          <w:rFonts w:eastAsia="Times New Roman"/>
          <w:szCs w:val="28"/>
        </w:rPr>
      </w:pPr>
      <w:r w:rsidRPr="00E81FA7">
        <w:rPr>
          <w:rFonts w:eastAsia="Times New Roman"/>
          <w:szCs w:val="28"/>
        </w:rPr>
        <w:t>- средние предприятия – 28 ед.;</w:t>
      </w:r>
    </w:p>
    <w:p w:rsidR="00E81FA7" w:rsidRPr="00E81FA7" w:rsidRDefault="00E81FA7" w:rsidP="00E81FA7">
      <w:pPr>
        <w:widowControl w:val="0"/>
        <w:spacing w:after="0" w:line="240" w:lineRule="auto"/>
        <w:ind w:firstLine="567"/>
        <w:jc w:val="both"/>
        <w:rPr>
          <w:rFonts w:eastAsia="Times New Roman"/>
          <w:szCs w:val="28"/>
        </w:rPr>
      </w:pPr>
      <w:r w:rsidRPr="00E81FA7">
        <w:rPr>
          <w:rFonts w:eastAsia="Times New Roman"/>
          <w:szCs w:val="28"/>
        </w:rPr>
        <w:t>- индивидуальные предприниматели – 7 214 ед.</w:t>
      </w:r>
    </w:p>
    <w:p w:rsidR="00E81FA7" w:rsidRPr="00E81FA7" w:rsidRDefault="00E81FA7" w:rsidP="00E81FA7">
      <w:pPr>
        <w:widowControl w:val="0"/>
        <w:spacing w:after="0" w:line="240" w:lineRule="auto"/>
        <w:ind w:firstLine="709"/>
        <w:jc w:val="both"/>
        <w:rPr>
          <w:rFonts w:eastAsia="Times New Roman"/>
          <w:szCs w:val="28"/>
        </w:rPr>
      </w:pPr>
      <w:r w:rsidRPr="00E81FA7">
        <w:rPr>
          <w:rFonts w:eastAsia="Times New Roman"/>
          <w:szCs w:val="28"/>
        </w:rPr>
        <w:t>Сравнительный анализ данных о количестве субъектов малого и среднего предпринимательства (далее – субъектов МСП) за 2019, 2020 и первое полугодие 2021 года выявил следующее:</w:t>
      </w:r>
    </w:p>
    <w:p w:rsidR="00E81FA7" w:rsidRPr="00E81FA7" w:rsidRDefault="00E81FA7" w:rsidP="00E81FA7">
      <w:pPr>
        <w:widowControl w:val="0"/>
        <w:spacing w:after="0" w:line="240" w:lineRule="auto"/>
        <w:ind w:firstLine="709"/>
        <w:jc w:val="both"/>
        <w:rPr>
          <w:rFonts w:eastAsia="Times New Roman"/>
          <w:szCs w:val="28"/>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1985"/>
        <w:gridCol w:w="2039"/>
      </w:tblGrid>
      <w:tr w:rsidR="00E81FA7" w:rsidRPr="00E81FA7" w:rsidTr="008A45AB">
        <w:trPr>
          <w:tblHeader/>
        </w:trPr>
        <w:tc>
          <w:tcPr>
            <w:tcW w:w="3510" w:type="dxa"/>
            <w:shd w:val="clear" w:color="auto" w:fill="auto"/>
            <w:vAlign w:val="center"/>
          </w:tcPr>
          <w:p w:rsidR="00E81FA7" w:rsidRPr="00E81FA7" w:rsidRDefault="00E81FA7" w:rsidP="00E81FA7">
            <w:pPr>
              <w:widowControl w:val="0"/>
              <w:spacing w:after="0" w:line="240" w:lineRule="auto"/>
              <w:jc w:val="center"/>
              <w:rPr>
                <w:szCs w:val="28"/>
              </w:rPr>
            </w:pPr>
            <w:r w:rsidRPr="00E81FA7">
              <w:rPr>
                <w:szCs w:val="28"/>
              </w:rPr>
              <w:t>Тип субъекта МСП/количество, ед.</w:t>
            </w:r>
          </w:p>
        </w:tc>
        <w:tc>
          <w:tcPr>
            <w:tcW w:w="2268" w:type="dxa"/>
            <w:shd w:val="clear" w:color="auto" w:fill="auto"/>
            <w:vAlign w:val="center"/>
          </w:tcPr>
          <w:p w:rsidR="00E81FA7" w:rsidRPr="00E81FA7" w:rsidRDefault="00E81FA7" w:rsidP="00E81FA7">
            <w:pPr>
              <w:widowControl w:val="0"/>
              <w:spacing w:after="0" w:line="240" w:lineRule="auto"/>
              <w:jc w:val="center"/>
              <w:rPr>
                <w:szCs w:val="28"/>
                <w:lang w:val="en-US"/>
              </w:rPr>
            </w:pPr>
            <w:r w:rsidRPr="00E81FA7">
              <w:rPr>
                <w:szCs w:val="28"/>
              </w:rPr>
              <w:t>На 10.</w:t>
            </w:r>
            <w:r w:rsidRPr="00E81FA7">
              <w:rPr>
                <w:szCs w:val="28"/>
                <w:lang w:val="en-US"/>
              </w:rPr>
              <w:t>01</w:t>
            </w:r>
            <w:r w:rsidRPr="00E81FA7">
              <w:rPr>
                <w:szCs w:val="28"/>
              </w:rPr>
              <w:t>.2020</w:t>
            </w:r>
          </w:p>
        </w:tc>
        <w:tc>
          <w:tcPr>
            <w:tcW w:w="1985" w:type="dxa"/>
            <w:shd w:val="clear" w:color="auto" w:fill="auto"/>
            <w:vAlign w:val="center"/>
          </w:tcPr>
          <w:p w:rsidR="00E81FA7" w:rsidRPr="00E81FA7" w:rsidRDefault="00E81FA7" w:rsidP="00E81FA7">
            <w:pPr>
              <w:widowControl w:val="0"/>
              <w:spacing w:after="0" w:line="240" w:lineRule="auto"/>
              <w:jc w:val="center"/>
              <w:rPr>
                <w:szCs w:val="28"/>
              </w:rPr>
            </w:pPr>
            <w:r w:rsidRPr="00E81FA7">
              <w:rPr>
                <w:szCs w:val="28"/>
              </w:rPr>
              <w:t>На 10.</w:t>
            </w:r>
            <w:r w:rsidRPr="00E81FA7">
              <w:rPr>
                <w:szCs w:val="28"/>
                <w:lang w:val="en-US"/>
              </w:rPr>
              <w:t>01</w:t>
            </w:r>
            <w:r w:rsidRPr="00E81FA7">
              <w:rPr>
                <w:szCs w:val="28"/>
              </w:rPr>
              <w:t>.20</w:t>
            </w:r>
            <w:r w:rsidRPr="00E81FA7">
              <w:rPr>
                <w:szCs w:val="28"/>
                <w:lang w:val="en-US"/>
              </w:rPr>
              <w:t>2</w:t>
            </w:r>
            <w:r w:rsidRPr="00E81FA7">
              <w:rPr>
                <w:szCs w:val="28"/>
              </w:rPr>
              <w:t>1</w:t>
            </w:r>
          </w:p>
        </w:tc>
        <w:tc>
          <w:tcPr>
            <w:tcW w:w="2039" w:type="dxa"/>
            <w:shd w:val="clear" w:color="auto" w:fill="auto"/>
            <w:vAlign w:val="center"/>
          </w:tcPr>
          <w:p w:rsidR="00E81FA7" w:rsidRPr="00E81FA7" w:rsidRDefault="00E81FA7" w:rsidP="00E81FA7">
            <w:pPr>
              <w:widowControl w:val="0"/>
              <w:spacing w:after="0" w:line="240" w:lineRule="auto"/>
              <w:jc w:val="center"/>
              <w:rPr>
                <w:szCs w:val="28"/>
              </w:rPr>
            </w:pPr>
            <w:r w:rsidRPr="00E81FA7">
              <w:rPr>
                <w:szCs w:val="28"/>
              </w:rPr>
              <w:t>На 10.07.2021</w:t>
            </w:r>
          </w:p>
        </w:tc>
      </w:tr>
      <w:tr w:rsidR="00E81FA7" w:rsidRPr="00E81FA7" w:rsidTr="008A45AB">
        <w:trPr>
          <w:trHeight w:val="429"/>
        </w:trPr>
        <w:tc>
          <w:tcPr>
            <w:tcW w:w="3510" w:type="dxa"/>
            <w:shd w:val="clear" w:color="auto" w:fill="auto"/>
            <w:vAlign w:val="center"/>
          </w:tcPr>
          <w:p w:rsidR="00E81FA7" w:rsidRPr="00E81FA7" w:rsidRDefault="00E81FA7" w:rsidP="00E81FA7">
            <w:pPr>
              <w:widowControl w:val="0"/>
              <w:spacing w:after="0" w:line="240" w:lineRule="auto"/>
              <w:rPr>
                <w:szCs w:val="28"/>
              </w:rPr>
            </w:pPr>
            <w:proofErr w:type="spellStart"/>
            <w:r w:rsidRPr="00E81FA7">
              <w:rPr>
                <w:szCs w:val="28"/>
              </w:rPr>
              <w:t>Микропредприятия</w:t>
            </w:r>
            <w:proofErr w:type="spellEnd"/>
          </w:p>
        </w:tc>
        <w:tc>
          <w:tcPr>
            <w:tcW w:w="2268"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6 743</w:t>
            </w:r>
          </w:p>
        </w:tc>
        <w:tc>
          <w:tcPr>
            <w:tcW w:w="1985"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6 302</w:t>
            </w:r>
          </w:p>
        </w:tc>
        <w:tc>
          <w:tcPr>
            <w:tcW w:w="2039" w:type="dxa"/>
            <w:shd w:val="clear" w:color="auto" w:fill="auto"/>
            <w:vAlign w:val="center"/>
          </w:tcPr>
          <w:p w:rsidR="00E81FA7" w:rsidRPr="00E81FA7" w:rsidRDefault="00E81FA7" w:rsidP="00E81FA7">
            <w:pPr>
              <w:widowControl w:val="0"/>
              <w:spacing w:after="0" w:line="240" w:lineRule="auto"/>
              <w:jc w:val="center"/>
              <w:rPr>
                <w:rFonts w:eastAsia="Times New Roman"/>
                <w:color w:val="FF0000"/>
                <w:szCs w:val="28"/>
              </w:rPr>
            </w:pPr>
            <w:r w:rsidRPr="00E81FA7">
              <w:rPr>
                <w:rFonts w:eastAsia="Times New Roman"/>
                <w:szCs w:val="28"/>
              </w:rPr>
              <w:t>5 896</w:t>
            </w:r>
          </w:p>
        </w:tc>
      </w:tr>
      <w:tr w:rsidR="00E81FA7" w:rsidRPr="00E81FA7" w:rsidTr="008A45AB">
        <w:trPr>
          <w:trHeight w:val="429"/>
        </w:trPr>
        <w:tc>
          <w:tcPr>
            <w:tcW w:w="3510" w:type="dxa"/>
            <w:shd w:val="clear" w:color="auto" w:fill="auto"/>
            <w:vAlign w:val="center"/>
          </w:tcPr>
          <w:p w:rsidR="00E81FA7" w:rsidRPr="00E81FA7" w:rsidRDefault="00E81FA7" w:rsidP="00E81FA7">
            <w:pPr>
              <w:widowControl w:val="0"/>
              <w:spacing w:after="0" w:line="240" w:lineRule="auto"/>
              <w:rPr>
                <w:szCs w:val="28"/>
              </w:rPr>
            </w:pPr>
            <w:r w:rsidRPr="00E81FA7">
              <w:rPr>
                <w:szCs w:val="28"/>
              </w:rPr>
              <w:t>Малые предприятия</w:t>
            </w:r>
          </w:p>
        </w:tc>
        <w:tc>
          <w:tcPr>
            <w:tcW w:w="2268"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515</w:t>
            </w:r>
          </w:p>
        </w:tc>
        <w:tc>
          <w:tcPr>
            <w:tcW w:w="1985"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465</w:t>
            </w:r>
          </w:p>
        </w:tc>
        <w:tc>
          <w:tcPr>
            <w:tcW w:w="2039"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440</w:t>
            </w:r>
          </w:p>
        </w:tc>
      </w:tr>
      <w:tr w:rsidR="00E81FA7" w:rsidRPr="00E81FA7" w:rsidTr="008A45AB">
        <w:trPr>
          <w:trHeight w:val="429"/>
        </w:trPr>
        <w:tc>
          <w:tcPr>
            <w:tcW w:w="3510" w:type="dxa"/>
            <w:shd w:val="clear" w:color="auto" w:fill="auto"/>
            <w:vAlign w:val="center"/>
          </w:tcPr>
          <w:p w:rsidR="00E81FA7" w:rsidRPr="00E81FA7" w:rsidRDefault="00E81FA7" w:rsidP="00E81FA7">
            <w:pPr>
              <w:widowControl w:val="0"/>
              <w:spacing w:after="0" w:line="240" w:lineRule="auto"/>
              <w:rPr>
                <w:szCs w:val="28"/>
              </w:rPr>
            </w:pPr>
            <w:r w:rsidRPr="00E81FA7">
              <w:rPr>
                <w:szCs w:val="28"/>
              </w:rPr>
              <w:t>Средние предприятия</w:t>
            </w:r>
          </w:p>
        </w:tc>
        <w:tc>
          <w:tcPr>
            <w:tcW w:w="2268"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22</w:t>
            </w:r>
          </w:p>
        </w:tc>
        <w:tc>
          <w:tcPr>
            <w:tcW w:w="1985"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28</w:t>
            </w:r>
          </w:p>
        </w:tc>
        <w:tc>
          <w:tcPr>
            <w:tcW w:w="2039"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30</w:t>
            </w:r>
          </w:p>
        </w:tc>
      </w:tr>
      <w:tr w:rsidR="00E81FA7" w:rsidRPr="00E81FA7" w:rsidTr="008A45AB">
        <w:trPr>
          <w:trHeight w:val="429"/>
        </w:trPr>
        <w:tc>
          <w:tcPr>
            <w:tcW w:w="3510" w:type="dxa"/>
            <w:shd w:val="clear" w:color="auto" w:fill="auto"/>
            <w:vAlign w:val="center"/>
          </w:tcPr>
          <w:p w:rsidR="00E81FA7" w:rsidRPr="00E81FA7" w:rsidRDefault="00E81FA7" w:rsidP="00E81FA7">
            <w:pPr>
              <w:widowControl w:val="0"/>
              <w:spacing w:after="0" w:line="240" w:lineRule="auto"/>
              <w:rPr>
                <w:szCs w:val="28"/>
              </w:rPr>
            </w:pPr>
            <w:r w:rsidRPr="00E81FA7">
              <w:rPr>
                <w:szCs w:val="28"/>
              </w:rPr>
              <w:t>Индивидуальные предприниматели</w:t>
            </w:r>
          </w:p>
        </w:tc>
        <w:tc>
          <w:tcPr>
            <w:tcW w:w="2268"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7 625</w:t>
            </w:r>
          </w:p>
        </w:tc>
        <w:tc>
          <w:tcPr>
            <w:tcW w:w="1985"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7 214</w:t>
            </w:r>
          </w:p>
        </w:tc>
        <w:tc>
          <w:tcPr>
            <w:tcW w:w="2039"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7 372</w:t>
            </w:r>
          </w:p>
        </w:tc>
      </w:tr>
      <w:tr w:rsidR="00E81FA7" w:rsidRPr="00E81FA7" w:rsidTr="008A45AB">
        <w:trPr>
          <w:trHeight w:val="429"/>
        </w:trPr>
        <w:tc>
          <w:tcPr>
            <w:tcW w:w="3510" w:type="dxa"/>
            <w:shd w:val="clear" w:color="auto" w:fill="auto"/>
            <w:vAlign w:val="center"/>
          </w:tcPr>
          <w:p w:rsidR="00E81FA7" w:rsidRPr="00E81FA7" w:rsidRDefault="00E81FA7" w:rsidP="00E81FA7">
            <w:pPr>
              <w:widowControl w:val="0"/>
              <w:spacing w:after="0" w:line="240" w:lineRule="auto"/>
              <w:rPr>
                <w:szCs w:val="28"/>
              </w:rPr>
            </w:pPr>
            <w:r w:rsidRPr="00E81FA7">
              <w:rPr>
                <w:szCs w:val="28"/>
              </w:rPr>
              <w:t>Всего</w:t>
            </w:r>
          </w:p>
        </w:tc>
        <w:tc>
          <w:tcPr>
            <w:tcW w:w="2268"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14 905</w:t>
            </w:r>
          </w:p>
        </w:tc>
        <w:tc>
          <w:tcPr>
            <w:tcW w:w="1985" w:type="dxa"/>
            <w:shd w:val="clear" w:color="auto" w:fill="auto"/>
            <w:vAlign w:val="center"/>
          </w:tcPr>
          <w:p w:rsidR="00E81FA7" w:rsidRPr="00E81FA7" w:rsidRDefault="00E81FA7" w:rsidP="00E81FA7">
            <w:pPr>
              <w:widowControl w:val="0"/>
              <w:spacing w:after="0" w:line="240" w:lineRule="auto"/>
              <w:jc w:val="center"/>
              <w:rPr>
                <w:rFonts w:eastAsia="Times New Roman"/>
                <w:color w:val="FF0000"/>
                <w:szCs w:val="28"/>
              </w:rPr>
            </w:pPr>
            <w:r w:rsidRPr="00E81FA7">
              <w:rPr>
                <w:rFonts w:eastAsia="Times New Roman"/>
                <w:szCs w:val="28"/>
              </w:rPr>
              <w:t>14 009</w:t>
            </w:r>
          </w:p>
        </w:tc>
        <w:tc>
          <w:tcPr>
            <w:tcW w:w="2039" w:type="dxa"/>
            <w:shd w:val="clear" w:color="auto" w:fill="auto"/>
            <w:vAlign w:val="center"/>
          </w:tcPr>
          <w:p w:rsidR="00E81FA7" w:rsidRPr="00E81FA7" w:rsidRDefault="00E81FA7" w:rsidP="00E81FA7">
            <w:pPr>
              <w:widowControl w:val="0"/>
              <w:spacing w:after="0" w:line="240" w:lineRule="auto"/>
              <w:jc w:val="center"/>
              <w:rPr>
                <w:rFonts w:eastAsia="Times New Roman"/>
                <w:szCs w:val="28"/>
              </w:rPr>
            </w:pPr>
            <w:r w:rsidRPr="00E81FA7">
              <w:rPr>
                <w:rFonts w:eastAsia="Times New Roman"/>
                <w:szCs w:val="28"/>
              </w:rPr>
              <w:t>13 738</w:t>
            </w:r>
          </w:p>
        </w:tc>
      </w:tr>
    </w:tbl>
    <w:p w:rsidR="00E81FA7" w:rsidRPr="00E81FA7" w:rsidRDefault="00E81FA7" w:rsidP="00E81FA7">
      <w:pPr>
        <w:widowControl w:val="0"/>
        <w:spacing w:after="0" w:line="240" w:lineRule="auto"/>
        <w:ind w:firstLine="709"/>
        <w:jc w:val="both"/>
        <w:rPr>
          <w:rFonts w:eastAsia="Times New Roman"/>
          <w:szCs w:val="28"/>
        </w:rPr>
      </w:pPr>
      <w:r w:rsidRPr="00E81FA7">
        <w:rPr>
          <w:rFonts w:eastAsia="Times New Roman"/>
          <w:szCs w:val="28"/>
        </w:rPr>
        <w:t>В 2020 году по сравнению с 2019 наблюдается снижение количества субъектов МСП на 896 единиц (на 6%) за счет уменьшения числа индивидуальных предпринимателей, микр</w:t>
      </w:r>
      <w:proofErr w:type="gramStart"/>
      <w:r w:rsidRPr="00E81FA7">
        <w:rPr>
          <w:rFonts w:eastAsia="Times New Roman"/>
          <w:szCs w:val="28"/>
        </w:rPr>
        <w:t>о-</w:t>
      </w:r>
      <w:proofErr w:type="gramEnd"/>
      <w:r w:rsidRPr="00E81FA7">
        <w:rPr>
          <w:rFonts w:eastAsia="Times New Roman"/>
          <w:szCs w:val="28"/>
        </w:rPr>
        <w:t xml:space="preserve"> и малых предприятий. Количество средних предприятий выросло на шесть единиц. Несмотря на экономический спад, вызванный пандемией новой </w:t>
      </w:r>
      <w:proofErr w:type="spellStart"/>
      <w:r w:rsidRPr="00E81FA7">
        <w:rPr>
          <w:rFonts w:eastAsia="Times New Roman"/>
          <w:szCs w:val="28"/>
        </w:rPr>
        <w:t>коронавирусной</w:t>
      </w:r>
      <w:proofErr w:type="spellEnd"/>
      <w:r w:rsidRPr="00E81FA7">
        <w:rPr>
          <w:rFonts w:eastAsia="Times New Roman"/>
          <w:szCs w:val="28"/>
        </w:rPr>
        <w:t xml:space="preserve"> инфекцией, снижение количества предпринимателей не является критическим в целом. </w:t>
      </w:r>
    </w:p>
    <w:p w:rsidR="00E81FA7" w:rsidRPr="00E81FA7" w:rsidRDefault="00E81FA7" w:rsidP="00E81FA7">
      <w:pPr>
        <w:widowControl w:val="0"/>
        <w:spacing w:after="0" w:line="240" w:lineRule="auto"/>
        <w:ind w:firstLine="709"/>
        <w:jc w:val="both"/>
        <w:rPr>
          <w:rFonts w:eastAsia="Times New Roman"/>
          <w:szCs w:val="28"/>
        </w:rPr>
      </w:pPr>
      <w:r w:rsidRPr="00E81FA7">
        <w:rPr>
          <w:rFonts w:eastAsia="Times New Roman"/>
          <w:szCs w:val="28"/>
        </w:rPr>
        <w:t>По официальным данным Инспекции ФНС по г. Мурманску количество вновь зарегистрированных индивидуальных предпринимателей составляет:</w:t>
      </w:r>
    </w:p>
    <w:p w:rsidR="00E81FA7" w:rsidRPr="00E81FA7" w:rsidRDefault="00E81FA7" w:rsidP="00E81FA7">
      <w:pPr>
        <w:widowControl w:val="0"/>
        <w:spacing w:after="0" w:line="240" w:lineRule="auto"/>
        <w:ind w:firstLine="709"/>
        <w:jc w:val="both"/>
        <w:rPr>
          <w:rFonts w:eastAsia="Times New Roman"/>
          <w:szCs w:val="28"/>
        </w:rPr>
      </w:pPr>
      <w:r w:rsidRPr="00E81FA7">
        <w:rPr>
          <w:rFonts w:eastAsia="Times New Roman"/>
          <w:szCs w:val="28"/>
        </w:rPr>
        <w:t>- в 2019 году – 1 561 ед.</w:t>
      </w:r>
    </w:p>
    <w:p w:rsidR="00E81FA7" w:rsidRPr="00E81FA7" w:rsidRDefault="00E81FA7" w:rsidP="00E81FA7">
      <w:pPr>
        <w:widowControl w:val="0"/>
        <w:spacing w:after="0" w:line="240" w:lineRule="auto"/>
        <w:ind w:firstLine="709"/>
        <w:jc w:val="both"/>
        <w:rPr>
          <w:rFonts w:eastAsia="Times New Roman"/>
          <w:szCs w:val="28"/>
        </w:rPr>
      </w:pPr>
      <w:r w:rsidRPr="00E81FA7">
        <w:rPr>
          <w:rFonts w:eastAsia="Times New Roman"/>
          <w:szCs w:val="28"/>
        </w:rPr>
        <w:t>- в 2020 году – 1 176 ед.</w:t>
      </w:r>
    </w:p>
    <w:p w:rsidR="00E81FA7" w:rsidRPr="00E81FA7" w:rsidRDefault="00E81FA7" w:rsidP="00E81FA7">
      <w:pPr>
        <w:widowControl w:val="0"/>
        <w:spacing w:after="0" w:line="240" w:lineRule="auto"/>
        <w:ind w:firstLine="709"/>
        <w:jc w:val="both"/>
        <w:rPr>
          <w:rFonts w:eastAsia="Times New Roman"/>
          <w:szCs w:val="28"/>
        </w:rPr>
      </w:pPr>
      <w:r w:rsidRPr="00E81FA7">
        <w:rPr>
          <w:rFonts w:eastAsia="Times New Roman"/>
          <w:szCs w:val="28"/>
        </w:rPr>
        <w:t>- за период с 01.01.2021 по 31.07.2021 – 972 ед.</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Наиболее привлекательными для малого бизнеса сферами являются: торговля, строительство, обрабатывающие производства, операции с недвижимым имуществом. Следует отметить, что крупнейшим сегментом малого бизнеса является оптовая и розничная торговля. Так, в соответствии с Реестром СМСП, в 2020 году на эту сферу приходилось 36% индивидуальных предпринимателей, 34% </w:t>
      </w:r>
      <w:proofErr w:type="spellStart"/>
      <w:r w:rsidRPr="00E81FA7">
        <w:rPr>
          <w:rFonts w:eastAsia="Times New Roman"/>
          <w:szCs w:val="28"/>
          <w:lang w:eastAsia="ru-RU"/>
        </w:rPr>
        <w:t>микропредприятий</w:t>
      </w:r>
      <w:proofErr w:type="spellEnd"/>
      <w:r w:rsidRPr="00E81FA7">
        <w:rPr>
          <w:rFonts w:eastAsia="Times New Roman"/>
          <w:szCs w:val="28"/>
          <w:lang w:eastAsia="ru-RU"/>
        </w:rPr>
        <w:t xml:space="preserve"> и 26% малых предприятий.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Наименее привлекательной сферой для малого и среднего бизнеса в городе остается производственный сектор экономики, </w:t>
      </w:r>
      <w:r w:rsidRPr="00E81FA7">
        <w:rPr>
          <w:szCs w:val="28"/>
          <w:lang w:eastAsia="ru-RU"/>
        </w:rPr>
        <w:t xml:space="preserve">что обусловлено </w:t>
      </w:r>
      <w:r w:rsidRPr="00E81FA7">
        <w:rPr>
          <w:szCs w:val="28"/>
          <w:lang w:eastAsia="ru-RU"/>
        </w:rPr>
        <w:lastRenderedPageBreak/>
        <w:t xml:space="preserve">ежегодно возрастающим уровнем затрат на электроэнергию и топливо, повышенной нагрузкой на бизнес, связанной с предоставлением северных надбавок </w:t>
      </w:r>
      <w:r w:rsidRPr="00E81FA7">
        <w:rPr>
          <w:rFonts w:eastAsia="Times New Roman"/>
          <w:szCs w:val="28"/>
          <w:lang w:eastAsia="ru-RU"/>
        </w:rPr>
        <w:t>и других льгот работникам (ежегодный дополнительный оплачиваемый отпуск; оплата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Дополнительной нагрузкой на предпринимателей стало решение Конституционного Суда Российской Федерации, принятое в декабре 2017 года, по включению в состав минимального </w:t>
      </w:r>
      <w:proofErr w:type="gramStart"/>
      <w:r w:rsidRPr="00E81FA7">
        <w:rPr>
          <w:rFonts w:eastAsia="Times New Roman"/>
          <w:szCs w:val="28"/>
          <w:lang w:eastAsia="ru-RU"/>
        </w:rPr>
        <w:t>размера оплаты труда</w:t>
      </w:r>
      <w:proofErr w:type="gramEnd"/>
      <w:r w:rsidRPr="00E81FA7">
        <w:rPr>
          <w:rFonts w:eastAsia="Times New Roman"/>
          <w:szCs w:val="28"/>
          <w:lang w:eastAsia="ru-RU"/>
        </w:rPr>
        <w:t xml:space="preserve"> (МРОТ), районных коэффициентов и процентных надбавок за работу в местностях с особыми климатическими условиями. </w:t>
      </w:r>
    </w:p>
    <w:p w:rsidR="00E81FA7" w:rsidRPr="00E81FA7" w:rsidRDefault="00E81FA7" w:rsidP="00E81FA7">
      <w:pPr>
        <w:overflowPunct w:val="0"/>
        <w:autoSpaceDE w:val="0"/>
        <w:autoSpaceDN w:val="0"/>
        <w:adjustRightInd w:val="0"/>
        <w:spacing w:after="0" w:line="240" w:lineRule="auto"/>
        <w:ind w:firstLine="709"/>
        <w:jc w:val="both"/>
        <w:textAlignment w:val="baseline"/>
        <w:rPr>
          <w:szCs w:val="28"/>
          <w:lang w:eastAsia="ru-RU"/>
        </w:rPr>
      </w:pPr>
      <w:r w:rsidRPr="00E81FA7">
        <w:rPr>
          <w:szCs w:val="28"/>
          <w:lang w:eastAsia="ru-RU"/>
        </w:rPr>
        <w:t>Кроме того, отрицательная динамика обусловлена исключением из баз данных налоговых органов СМСП, не предоставивших отчетность либо превысивших пороговые значения отнесения к СМСП в соответствии с Федеральным законом от 24.07.2007 № 209-ФЗ «О развития малого и среднего предпринимательства в Российской Федерации».</w:t>
      </w:r>
    </w:p>
    <w:p w:rsidR="00E81FA7" w:rsidRPr="00E81FA7" w:rsidRDefault="00E81FA7" w:rsidP="00E81FA7">
      <w:pPr>
        <w:overflowPunct w:val="0"/>
        <w:autoSpaceDE w:val="0"/>
        <w:autoSpaceDN w:val="0"/>
        <w:adjustRightInd w:val="0"/>
        <w:spacing w:after="0" w:line="240" w:lineRule="auto"/>
        <w:ind w:firstLine="567"/>
        <w:jc w:val="both"/>
        <w:textAlignment w:val="baseline"/>
        <w:rPr>
          <w:rFonts w:eastAsia="Times New Roman"/>
          <w:szCs w:val="28"/>
          <w:lang w:eastAsia="ru-RU"/>
        </w:rPr>
      </w:pPr>
      <w:r w:rsidRPr="00E81FA7">
        <w:rPr>
          <w:rFonts w:eastAsia="Times New Roman"/>
          <w:szCs w:val="28"/>
          <w:lang w:eastAsia="ru-RU"/>
        </w:rPr>
        <w:t xml:space="preserve">Неблагоприятными факторами, сдерживающими рост предпринимательства, помимо ситуации с </w:t>
      </w:r>
      <w:proofErr w:type="spellStart"/>
      <w:r w:rsidRPr="00E81FA7">
        <w:rPr>
          <w:rFonts w:eastAsia="Times New Roman"/>
          <w:szCs w:val="28"/>
          <w:lang w:eastAsia="ru-RU"/>
        </w:rPr>
        <w:t>коронавирусной</w:t>
      </w:r>
      <w:proofErr w:type="spellEnd"/>
      <w:r w:rsidRPr="00E81FA7">
        <w:rPr>
          <w:rFonts w:eastAsia="Times New Roman"/>
          <w:szCs w:val="28"/>
          <w:lang w:eastAsia="ru-RU"/>
        </w:rPr>
        <w:t xml:space="preserve"> инфекцией, остаются отсутствие начального капитала и затруднения с инвестициями для приобретения современного оборудования, строительства и реконструкции современной материальной базы, реализации необходимых инфраструктурных проектов. В значительной степени это нивелируется усилением мер поддержки бизнеса со стороны органов власти: увеличивается объем финансовой поддержки в виде грантов и субсидий, вводятся новые направления субсидирования, максимально упрощается доступ к обучающим мероприятиям, вводятся новые меры имущественной поддержки. </w:t>
      </w:r>
    </w:p>
    <w:p w:rsidR="00E81FA7" w:rsidRPr="00E81FA7" w:rsidRDefault="00E81FA7" w:rsidP="00E81FA7">
      <w:pPr>
        <w:overflowPunct w:val="0"/>
        <w:autoSpaceDE w:val="0"/>
        <w:autoSpaceDN w:val="0"/>
        <w:adjustRightInd w:val="0"/>
        <w:spacing w:after="0" w:line="240" w:lineRule="auto"/>
        <w:ind w:firstLine="567"/>
        <w:jc w:val="both"/>
        <w:textAlignment w:val="baseline"/>
        <w:rPr>
          <w:rFonts w:eastAsia="Times New Roman"/>
          <w:szCs w:val="28"/>
          <w:lang w:eastAsia="ru-RU"/>
        </w:rPr>
      </w:pPr>
      <w:r w:rsidRPr="00E81FA7">
        <w:rPr>
          <w:rFonts w:eastAsia="Times New Roman"/>
          <w:szCs w:val="28"/>
          <w:lang w:eastAsia="ru-RU"/>
        </w:rPr>
        <w:t xml:space="preserve">Формирование новых для города и региона ниш со стороны бизнеса затрудняется и низкой покупательской способностью населения, вызванной продолжающимися кризисными явлениями в экономике страны в целом.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Все указанные факторы не позволяют нашим предпринимателям быть конкурентоспособными по сравнению с предпринимателями, осуществляющими деятельность в более благоприятных регионах, создавать качественную, надежную и устойчивую производственную инфраструктуру. Это подтверждается тем, что количество государственных и муниципальных контрактов, заключенных по результатам конкурентных процедур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 местными производителям значительно ниже, чем с производителями из других регионов.</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Неблагоприятным фактором, влияющим на уровень развития МСП в городе Мурманске, является продолжающийся отток молодежи, имеющей высокий предпринимательский потенциал. Отток молодежи обусловлен, в значительной степени, тем, что ранее в регионе и, в частности, в Мурманске были закрыты многие учебные заведения. Ограничен круг специальностей, которые можно получить в городе. Вместе с тем следует отметить, что в </w:t>
      </w:r>
      <w:r w:rsidRPr="00E81FA7">
        <w:rPr>
          <w:rFonts w:eastAsia="Times New Roman"/>
          <w:szCs w:val="28"/>
          <w:lang w:eastAsia="ru-RU"/>
        </w:rPr>
        <w:lastRenderedPageBreak/>
        <w:t xml:space="preserve">настоящее время появились тенденции к возрождению некоторых образовательных направлений, а также внедрению востребованных в новых реалиях специальностей. </w:t>
      </w:r>
    </w:p>
    <w:p w:rsidR="00E81FA7" w:rsidRPr="00E81FA7" w:rsidRDefault="00E81FA7" w:rsidP="00E81FA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качестве позитивного фактора для сохранения и развития МСП можно рассматривать освоение Арктики, определенное Правительством РФ в качестве одного из приоритетов развития. Решение поставленных задач возложено на крупные, в том числе государственные, предприятия. А их появление на рынке, в свою очередь, даст новые возможности для создания и развития малых и средних предприятий (аутсорсинг, </w:t>
      </w:r>
      <w:proofErr w:type="spellStart"/>
      <w:r w:rsidRPr="00E81FA7">
        <w:rPr>
          <w:rFonts w:eastAsia="Times New Roman"/>
          <w:szCs w:val="28"/>
          <w:lang w:eastAsia="ru-RU"/>
        </w:rPr>
        <w:t>субконтрактинг</w:t>
      </w:r>
      <w:proofErr w:type="spellEnd"/>
      <w:r w:rsidRPr="00E81FA7">
        <w:rPr>
          <w:rFonts w:eastAsia="Times New Roman"/>
          <w:szCs w:val="28"/>
          <w:lang w:eastAsia="ru-RU"/>
        </w:rPr>
        <w:t xml:space="preserve"> и прочие формы взаимодействия).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color w:val="000000"/>
          <w:szCs w:val="28"/>
          <w:lang w:eastAsia="ru-RU"/>
        </w:rPr>
        <w:t xml:space="preserve">Так </w:t>
      </w:r>
      <w:r w:rsidRPr="00E81FA7">
        <w:rPr>
          <w:rFonts w:eastAsia="Times New Roman"/>
          <w:szCs w:val="28"/>
          <w:shd w:val="clear" w:color="auto" w:fill="FFFFFF"/>
          <w:lang w:eastAsia="ru-RU"/>
        </w:rPr>
        <w:t xml:space="preserve">в августе 2020 года вступил в силу новый Федеральный закон от 13.07.2020 № 193-ФЗ «О государственной поддержке предпринимательской деятельности в Арктической зоне РФ». </w:t>
      </w:r>
      <w:r w:rsidRPr="00E81FA7">
        <w:rPr>
          <w:rFonts w:eastAsia="Times New Roman"/>
          <w:color w:val="000000"/>
          <w:szCs w:val="28"/>
          <w:lang w:eastAsia="ru-RU"/>
        </w:rPr>
        <w:t xml:space="preserve">Учитывая, что Мурманская область входит в состав Арктической зоны Российской Федерации, весомой поддержкой для развития предпринимательства станет и сформированная система муниципальных и региональных преференций для резидентов Арктической зоны Российской Федерации. Данная система преференций позволит снизить так называемое «северное удорожание» прежде всего для субъектов малого и среднего предпринимательства и ставки по налогам. </w:t>
      </w:r>
      <w:r w:rsidRPr="00E81FA7">
        <w:rPr>
          <w:rFonts w:eastAsia="Times New Roman"/>
          <w:szCs w:val="28"/>
          <w:lang w:eastAsia="ru-RU"/>
        </w:rPr>
        <w:t xml:space="preserve">Инвестиционный порог для резидентов Арктической зоны РФ составит всего </w:t>
      </w:r>
      <w:r w:rsidRPr="00E81FA7">
        <w:rPr>
          <w:rFonts w:eastAsia="Times New Roman"/>
          <w:szCs w:val="28"/>
          <w:lang w:eastAsia="ru-RU"/>
        </w:rPr>
        <w:br/>
        <w:t>1 млн. рублей. В настоящее время осуществляется процедура включения потенциальных резидентов Арктической зоны РФ в соответствующий реестр.</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2020 году в связи с введением ограничительных карантинных мер в регионе сформирован комплекс мероприятий по поддержке бизнеса, в том числе введен ряд мер, предусматривающих налоговые преференции и прямую финансовую поддержку СМСП в наиболее пострадавших отраслях, с 01.07.2020 запущен специальный налоговый режим для </w:t>
      </w:r>
      <w:proofErr w:type="spellStart"/>
      <w:r w:rsidRPr="00E81FA7">
        <w:rPr>
          <w:rFonts w:eastAsia="Times New Roman"/>
          <w:szCs w:val="28"/>
          <w:lang w:eastAsia="ru-RU"/>
        </w:rPr>
        <w:t>самозанятых</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Стабилизации и улучшению ситуации в секторе малого и среднего предпринимательства также способствует существующая поддержка со стороны органов власти. Так, администрацией города Мурманска реализуется подпрограмма «Развитие и поддержка малого и среднего предпринимательства в городе Мурманске» муниципальной программы «Развитие конкурентоспособной экономики» на 2018-2024 годы, в рамках которой оказывается информационная, консультационная, имущественная и финансовая поддержка начинающим и уже действующим предпринимателям.</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Наиболее востребованной и эффективной является финансовая поддержка субъектов МСП города Мурманска в виде субсидий и грантов, предоставляемых в рамках программных мероприятий.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Основным видом финансовой поддержки для действующих предпринимателей является предоставление субсидий субъектам МСП по различным направлениям деятельности на конкурсной основе.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Для начинающих предпринимателей предусмотрена финансовая поддержка в виде грантов на открытие бизнеса в части финансового обеспечения затрат.</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Для субъектов потребительского рынка в целях повышения </w:t>
      </w:r>
      <w:r w:rsidRPr="00E81FA7">
        <w:rPr>
          <w:rFonts w:eastAsia="Times New Roman"/>
          <w:szCs w:val="28"/>
          <w:lang w:eastAsia="ru-RU"/>
        </w:rPr>
        <w:lastRenderedPageBreak/>
        <w:t>общественного статуса предпринимательства, развития конкуренции на потребительском рынке города Мурманска, выявления лучших предприятий, повышения качества обслуживания населения и профессионального мастерства, распространения передового опыта, стимулирования деятельности предприятий по совершенствованию форм и методов организации услуг проводятся городские конкурсы. Организуются мероприятия выездной торговли.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Следует отметить, что в настоящее время кредитные организации активизируют и расширяют свою деятельность в части антикризисной поддержки субъектов МСП, разрабатывают и внедряют новые пакеты услуг, привлекательные для бизнеса разного уровня, с учетом специфики северных регионов.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На региональном уровне расширяются программы поддержки для начинающих и действующих предпринимателей. Программы включают образовательные мероприятия различной направленности, консультирование и бухгалтерское сопровождение, предоставление займов и микро кредитов на выгодных для предпринимателей условиях, </w:t>
      </w:r>
      <w:proofErr w:type="spellStart"/>
      <w:r w:rsidRPr="00E81FA7">
        <w:rPr>
          <w:rFonts w:eastAsia="Times New Roman"/>
          <w:szCs w:val="28"/>
          <w:lang w:eastAsia="ru-RU"/>
        </w:rPr>
        <w:t>грантовую</w:t>
      </w:r>
      <w:proofErr w:type="spellEnd"/>
      <w:r w:rsidRPr="00E81FA7">
        <w:rPr>
          <w:rFonts w:eastAsia="Times New Roman"/>
          <w:szCs w:val="28"/>
          <w:lang w:eastAsia="ru-RU"/>
        </w:rPr>
        <w:t xml:space="preserve"> поддержку и субсидирование.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Реализация программ поддержки предпринимательства осуществляется за счет муниципального, областного и федерального бюджетов.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E81FA7">
        <w:rPr>
          <w:rFonts w:eastAsia="Times New Roman"/>
          <w:szCs w:val="28"/>
          <w:lang w:eastAsia="ru-RU"/>
        </w:rPr>
        <w:t xml:space="preserve">Таким образом, сохранение и развитие поддержки бизнеса со стороны органов власти, а также организаций инфраструктуры поддержки, банковской сферы в период ухудшения ситуации, вызванной новой </w:t>
      </w:r>
      <w:proofErr w:type="spellStart"/>
      <w:r w:rsidRPr="00E81FA7">
        <w:rPr>
          <w:rFonts w:eastAsia="Times New Roman"/>
          <w:szCs w:val="28"/>
          <w:lang w:eastAsia="ru-RU"/>
        </w:rPr>
        <w:t>коронавирусной</w:t>
      </w:r>
      <w:proofErr w:type="spellEnd"/>
      <w:r w:rsidRPr="00E81FA7">
        <w:rPr>
          <w:rFonts w:eastAsia="Times New Roman"/>
          <w:szCs w:val="28"/>
          <w:lang w:eastAsia="ru-RU"/>
        </w:rPr>
        <w:t xml:space="preserve"> инфекцией, в значительной мере способствует сохранению позиций малого и среднего предпринимательства в экономике города.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прогнозном периоде продолжится предоставление налоговой поддержки субъектов МСП, решения по которой были приняты в 2020 году, в целях восстановления предпринимательской активности.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Так, на активизацию деловой активности в данном секторе окажет продление до 2024 года на территории Мурманской области «налоговых каникул» для впервые зарегистрированных индивидуальных предпринимателей, применяющих упрощенную систему налогообложения и патентную систему налогообложения.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Также на период до 2022 года будут снижены ставки по налогу, взимаемому в связи с применением упрощенной системы налогообложения, для налогоплательщиков, осуществляющих деятельность в Мурманской области, без ограничений по видам экономической деятельности.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активной фазе применения будет специальный налоговый режим «Налог на профессиональный доход», который станет одним из факторов увеличения численности занятых в данном секторе.</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условиях пандемии </w:t>
      </w:r>
      <w:proofErr w:type="spellStart"/>
      <w:r w:rsidRPr="00E81FA7">
        <w:rPr>
          <w:rFonts w:eastAsia="Times New Roman"/>
          <w:szCs w:val="28"/>
          <w:lang w:eastAsia="ru-RU"/>
        </w:rPr>
        <w:t>коронавирусной</w:t>
      </w:r>
      <w:proofErr w:type="spellEnd"/>
      <w:r w:rsidRPr="00E81FA7">
        <w:rPr>
          <w:rFonts w:eastAsia="Times New Roman"/>
          <w:szCs w:val="28"/>
          <w:lang w:eastAsia="ru-RU"/>
        </w:rPr>
        <w:t xml:space="preserve"> инфекции одной из наиболее пострадавших в регионе отраслей является туризм. Вместе с тем при снятии ограничений в первую очередь открываются направления внутреннего туризма, что ведет к притоку туристов в регион и в город.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Мурманске, наряду с регионом в целом, до дестабилизации </w:t>
      </w:r>
      <w:r w:rsidRPr="00E81FA7">
        <w:rPr>
          <w:rFonts w:eastAsia="Times New Roman"/>
          <w:szCs w:val="28"/>
          <w:lang w:eastAsia="ru-RU"/>
        </w:rPr>
        <w:lastRenderedPageBreak/>
        <w:t>эпидемиологической обстановки, наблюдалось устойчивое увеличение потока туристов и расширение географии прибывающих туристов. Объем въездного туристического потока в 2019 году составил почти 145 тысяч человек. В 2020 году численность размещенных лиц в коллективных средствах размещения по городу Мурманску составила 140,7 тысяч человек. Это подтверждает привлекательность Заполярной столицы среди туристов. И после снятия ограничений направление арктического туризма восстанавливает свои позиции, развивая и реализуя новые направления и уникальные предложения. А стабилизация и развитие туристской отрасли благоприятно повлияет на ситуацию в сфере малого предпринимательства в городе Мурманске в целом.</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E81FA7">
        <w:rPr>
          <w:rFonts w:eastAsia="Times New Roman"/>
          <w:color w:val="000000"/>
          <w:szCs w:val="28"/>
          <w:lang w:eastAsia="ru-RU"/>
        </w:rPr>
        <w:t xml:space="preserve">Продолжает свою работу региональный туристский информационный центр, созданный для эффективного продвижения туристских продуктов Кольского Заполярья. Центр является площадкой для взаимодействия субъектов туристской отрасли и позволит объединить усилия всех участников рынка в привлечении туристов в </w:t>
      </w:r>
      <w:hyperlink r:id="rId14" w:history="1">
        <w:r w:rsidRPr="00E81FA7">
          <w:rPr>
            <w:rFonts w:eastAsia="Times New Roman"/>
            <w:color w:val="000000"/>
            <w:szCs w:val="28"/>
            <w:lang w:eastAsia="ru-RU"/>
          </w:rPr>
          <w:t>Мурманскую область</w:t>
        </w:r>
      </w:hyperlink>
      <w:r w:rsidRPr="00E81FA7">
        <w:rPr>
          <w:rFonts w:eastAsia="Times New Roman"/>
          <w:color w:val="000000"/>
          <w:szCs w:val="28"/>
          <w:lang w:eastAsia="ru-RU"/>
        </w:rPr>
        <w:t xml:space="preserve"> и в частности в город Мурманск. На базе центра можно получить достоверную информацию о турпродуктах, спланировать путешествие, заказать тур, приобрести карты и рекламно-информационную продукцию.</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E81FA7">
        <w:rPr>
          <w:rFonts w:eastAsia="Times New Roman"/>
          <w:color w:val="000000"/>
          <w:szCs w:val="28"/>
          <w:lang w:eastAsia="ru-RU"/>
        </w:rPr>
        <w:t xml:space="preserve">По оценке в 2021 году количество малых предприятий, в том числе </w:t>
      </w:r>
      <w:proofErr w:type="spellStart"/>
      <w:r w:rsidRPr="00E81FA7">
        <w:rPr>
          <w:rFonts w:eastAsia="Times New Roman"/>
          <w:color w:val="000000"/>
          <w:szCs w:val="28"/>
          <w:lang w:eastAsia="ru-RU"/>
        </w:rPr>
        <w:t>микропредприятий</w:t>
      </w:r>
      <w:proofErr w:type="spellEnd"/>
      <w:r w:rsidRPr="00E81FA7">
        <w:rPr>
          <w:rFonts w:eastAsia="Times New Roman"/>
          <w:color w:val="000000"/>
          <w:szCs w:val="28"/>
          <w:lang w:eastAsia="ru-RU"/>
        </w:rPr>
        <w:t>, составит 6 774 единицы, среднесписочная численность работников составит 26 418 человек. Численность индивидуальных предпринимателей увеличится и предположительно составит 7 503 человека.</w:t>
      </w:r>
    </w:p>
    <w:p w:rsid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proofErr w:type="gramStart"/>
      <w:r w:rsidRPr="00E81FA7">
        <w:rPr>
          <w:rFonts w:eastAsia="Times New Roman"/>
          <w:color w:val="000000"/>
          <w:szCs w:val="28"/>
          <w:lang w:eastAsia="ru-RU"/>
        </w:rPr>
        <w:t>С учетом реализации указанных мер поддержки, реализации Общенационального плана действий, обеспечивающих восстановление занятости и доходов населения, рост экономики и долгосрочные структурные изменения, от 31.05.2020, регионального проекта «Малое и среднее предпринимательство и поддержка индивидуальной предпринимательской инициативы», подпрограммы «Развитие и поддержка малого и среднего предпринимательства в городе Мурманске» муниципальной программы города Мурманска «Развитие конкурентоспособной экономики» на 2018-2024 годы по базовому варианту прогноза</w:t>
      </w:r>
      <w:proofErr w:type="gramEnd"/>
      <w:r w:rsidRPr="00E81FA7">
        <w:rPr>
          <w:rFonts w:eastAsia="Times New Roman"/>
          <w:color w:val="000000"/>
          <w:szCs w:val="28"/>
          <w:lang w:eastAsia="ru-RU"/>
        </w:rPr>
        <w:t xml:space="preserve"> в 2022 году и в период до 2026 года прогнозируется умеренный рост количества субъектов МСП, численности индивидуальных предпринимателей (на 11,4% к уровню 2020 года), а также среднесписочной численности работников малых предприятий (до 30,6 тыс. человек).</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bCs/>
          <w:szCs w:val="28"/>
          <w:lang w:eastAsia="ru-RU"/>
        </w:rPr>
      </w:pPr>
      <w:r w:rsidRPr="00E81FA7">
        <w:rPr>
          <w:rFonts w:eastAsia="Times New Roman"/>
          <w:bCs/>
          <w:szCs w:val="28"/>
          <w:lang w:eastAsia="ru-RU"/>
        </w:rPr>
        <w:t>Инвестиции и строительство</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Объем инвестиций в 2020 году составил 69,8 млрд. рублей (103,7% в действующих ценах к 2019 году). </w:t>
      </w:r>
      <w:proofErr w:type="gramStart"/>
      <w:r w:rsidRPr="00E81FA7">
        <w:rPr>
          <w:rFonts w:eastAsia="Times New Roman"/>
          <w:bCs/>
          <w:szCs w:val="28"/>
          <w:lang w:eastAsia="ru-RU"/>
        </w:rPr>
        <w:t>В структуре источников финансирования инвестиций уменьшилась доля привлеченных средств (с 73,1% до 65,6% по сравнению с 2019 годом) за счет уменьшения бюджетных средств до 38,8 млрд. рублей (92,1% к 2019 году), а также за счет уменьшения инвестиций из-за рубежа (7,2% к 2019 году), при этом отмечено увеличение доли собственных средств предприятий до 24,0 млрд. рублей (132,7% к 2019 году).</w:t>
      </w:r>
      <w:r w:rsidRPr="00E81FA7">
        <w:rPr>
          <w:rFonts w:eastAsia="Times New Roman"/>
          <w:szCs w:val="28"/>
          <w:lang w:eastAsia="ru-RU"/>
        </w:rPr>
        <w:t xml:space="preserve"> </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В 2020 году наиболее </w:t>
      </w:r>
      <w:proofErr w:type="spellStart"/>
      <w:r w:rsidRPr="00E81FA7">
        <w:rPr>
          <w:rFonts w:eastAsia="Times New Roman"/>
          <w:bCs/>
          <w:szCs w:val="28"/>
          <w:lang w:eastAsia="ru-RU"/>
        </w:rPr>
        <w:t>инвестиционно</w:t>
      </w:r>
      <w:proofErr w:type="spellEnd"/>
      <w:r w:rsidRPr="00E81FA7">
        <w:rPr>
          <w:rFonts w:eastAsia="Times New Roman"/>
          <w:bCs/>
          <w:szCs w:val="28"/>
          <w:lang w:eastAsia="ru-RU"/>
        </w:rPr>
        <w:t xml:space="preserve"> активными были предприятия в </w:t>
      </w:r>
      <w:r w:rsidRPr="00E81FA7">
        <w:rPr>
          <w:rFonts w:eastAsia="Times New Roman"/>
          <w:bCs/>
          <w:szCs w:val="28"/>
          <w:lang w:eastAsia="ru-RU"/>
        </w:rPr>
        <w:lastRenderedPageBreak/>
        <w:t>сфере транспортировки и хранения, на долю которых пришлось 50,8% объема инвестиций, увеличившие капиталовложения до 35,5 млрд. рублей, а также предприятия в области сельского, лесного хозяйства, охоты, рыболовства и рыбоводства (9,9%), увеличившие объем инвестиций до 6,9 млрд. рублей. Почти 9,4% объема инвестиций пришлось на предприятия в сфере государственного управления и обеспечения военной безопасности, социального обеспечения, 8,1% пришлось на профессиональную, научную и техническую деятельность в размере 5,7 млрд. рублей.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Значительно увеличилась инвестиционная активность в деятельности по операциям с недвижимым имуществом в 20,0 раз с 250,2 млн. рублей до </w:t>
      </w:r>
      <w:r w:rsidRPr="00E81FA7">
        <w:rPr>
          <w:rFonts w:eastAsia="Times New Roman"/>
          <w:bCs/>
          <w:szCs w:val="28"/>
          <w:lang w:eastAsia="ru-RU"/>
        </w:rPr>
        <w:br/>
        <w:t xml:space="preserve">5,0 млрд. рублей за счет увеличения собственных средств организаций с </w:t>
      </w:r>
      <w:r w:rsidRPr="00E81FA7">
        <w:rPr>
          <w:rFonts w:eastAsia="Times New Roman"/>
          <w:bCs/>
          <w:szCs w:val="28"/>
          <w:lang w:eastAsia="ru-RU"/>
        </w:rPr>
        <w:br/>
        <w:t xml:space="preserve">225,6 млн. рублей в 2019 году до 4,8 млрд. рублей в 2020 году. Также значительное увеличение объема инвестиций также наблюдается в сфере добычи полезных и ископаемых в 4,1 раза до 880,8 млн. рублей по сравнению с 2019 годом и в деятельности профессиональной, научной и технической с </w:t>
      </w:r>
      <w:r w:rsidRPr="00E81FA7">
        <w:rPr>
          <w:rFonts w:eastAsia="Times New Roman"/>
          <w:bCs/>
          <w:szCs w:val="28"/>
          <w:lang w:eastAsia="ru-RU"/>
        </w:rPr>
        <w:br/>
        <w:t>1,7 млрд. рублей в 2019 году до 5,7 млрд. рублей в 2020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proofErr w:type="gramStart"/>
      <w:r w:rsidRPr="00E81FA7">
        <w:rPr>
          <w:rFonts w:eastAsia="Times New Roman"/>
          <w:bCs/>
          <w:szCs w:val="28"/>
          <w:lang w:eastAsia="ru-RU"/>
        </w:rPr>
        <w:t>За 2020 год значительное снижение инвестиций в основной капитал по сравнению с 2019 годом отмечено в следующих сферах: деятельность гостиниц и предприятий общественного питания до 24,4 млн. рублей (22,3% к 2019 году), деятельность в области культуры, спорта, организации досуга и развлечений до 280,3 млн. рублей (29,7% к 2019 году) за счет снижения объема привлеченных средств, в том числе бюджетных средств</w:t>
      </w:r>
      <w:proofErr w:type="gramEnd"/>
      <w:r w:rsidRPr="00E81FA7">
        <w:rPr>
          <w:rFonts w:eastAsia="Times New Roman"/>
          <w:bCs/>
          <w:szCs w:val="28"/>
          <w:lang w:eastAsia="ru-RU"/>
        </w:rPr>
        <w:t>, строительство до 41,8 млн. рублей (35,7% к 2019 году), государственное управление и обеспечение военной безопасности, социальное обеспечение до 6,6 млрд. рублей (69,1%) за счет снижения объема бюджетных средств, в том числе из федерального бюджета.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По итогам мониторинга реализации инвестиционных проектов на территории муниципального образования город Мурманск в 2020 году успешно реализованы и перешли в категорию завершенных семь </w:t>
      </w:r>
      <w:proofErr w:type="spellStart"/>
      <w:r w:rsidRPr="00E81FA7">
        <w:rPr>
          <w:rFonts w:eastAsia="Times New Roman"/>
          <w:szCs w:val="28"/>
          <w:lang w:eastAsia="ru-RU"/>
        </w:rPr>
        <w:t>инвестпроектов</w:t>
      </w:r>
      <w:proofErr w:type="spellEnd"/>
      <w:r w:rsidRPr="00E81FA7">
        <w:rPr>
          <w:rFonts w:eastAsia="Times New Roman"/>
          <w:szCs w:val="28"/>
          <w:lang w:eastAsia="ru-RU"/>
        </w:rPr>
        <w:t xml:space="preserve">, в том числе: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Строительство крытого катка с искусственным льдом </w:t>
      </w:r>
      <w:r w:rsidRPr="00E81FA7">
        <w:rPr>
          <w:rFonts w:eastAsia="Times New Roman"/>
          <w:szCs w:val="28"/>
          <w:lang w:eastAsia="ru-RU"/>
        </w:rPr>
        <w:br/>
        <w:t xml:space="preserve">МАУ ГСЦ «Авангард», расположенного по адресу: г. Мурманск, ул. Капитана </w:t>
      </w:r>
      <w:proofErr w:type="spellStart"/>
      <w:r w:rsidRPr="00E81FA7">
        <w:rPr>
          <w:rFonts w:eastAsia="Times New Roman"/>
          <w:szCs w:val="28"/>
          <w:lang w:eastAsia="ru-RU"/>
        </w:rPr>
        <w:t>Орликовой</w:t>
      </w:r>
      <w:proofErr w:type="spellEnd"/>
      <w:r w:rsidRPr="00E81FA7">
        <w:rPr>
          <w:rFonts w:eastAsia="Times New Roman"/>
          <w:szCs w:val="28"/>
          <w:lang w:eastAsia="ru-RU"/>
        </w:rPr>
        <w:t>, 9 микрорайон;</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Капитальный ремонт здания ГОАУК «Мурманский областной театр кукол»;</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Реконструкция незавершенного строительством здания со строительством пристройки для размещения Мурманского областного суда;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Строительство </w:t>
      </w:r>
      <w:proofErr w:type="spellStart"/>
      <w:r w:rsidRPr="00E81FA7">
        <w:rPr>
          <w:rFonts w:eastAsia="Times New Roman"/>
          <w:szCs w:val="28"/>
          <w:lang w:eastAsia="ru-RU"/>
        </w:rPr>
        <w:t>рыбоперерабатывающего</w:t>
      </w:r>
      <w:proofErr w:type="spellEnd"/>
      <w:r w:rsidRPr="00E81FA7">
        <w:rPr>
          <w:rFonts w:eastAsia="Times New Roman"/>
          <w:szCs w:val="28"/>
          <w:lang w:eastAsia="ru-RU"/>
        </w:rPr>
        <w:t xml:space="preserve"> завод</w:t>
      </w:r>
      <w:proofErr w:type="gramStart"/>
      <w:r w:rsidRPr="00E81FA7">
        <w:rPr>
          <w:rFonts w:eastAsia="Times New Roman"/>
          <w:szCs w:val="28"/>
          <w:lang w:eastAsia="ru-RU"/>
        </w:rPr>
        <w:t>а ООО</w:t>
      </w:r>
      <w:proofErr w:type="gramEnd"/>
      <w:r w:rsidRPr="00E81FA7">
        <w:rPr>
          <w:rFonts w:eastAsia="Times New Roman"/>
          <w:szCs w:val="28"/>
          <w:lang w:eastAsia="ru-RU"/>
        </w:rPr>
        <w:t xml:space="preserve"> «Русская пикша»;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Строительство двух заводов по переработке трески, пикши и других видов рыб малой мощности и монтажа очистных сооружений и </w:t>
      </w:r>
      <w:proofErr w:type="spellStart"/>
      <w:r w:rsidRPr="00E81FA7">
        <w:rPr>
          <w:rFonts w:eastAsia="Times New Roman"/>
          <w:szCs w:val="28"/>
          <w:lang w:eastAsia="ru-RU"/>
        </w:rPr>
        <w:t>энергообеспечивающей</w:t>
      </w:r>
      <w:proofErr w:type="spellEnd"/>
      <w:r w:rsidRPr="00E81FA7">
        <w:rPr>
          <w:rFonts w:eastAsia="Times New Roman"/>
          <w:szCs w:val="28"/>
          <w:lang w:eastAsia="ru-RU"/>
        </w:rPr>
        <w:t xml:space="preserve"> инфраструктуры;</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Строительство завода по переработке трески, пикши и других видов рыб малой мощности;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Пылезащитные ограждения на территор</w:t>
      </w:r>
      <w:proofErr w:type="gramStart"/>
      <w:r w:rsidRPr="00E81FA7">
        <w:rPr>
          <w:rFonts w:eastAsia="Times New Roman"/>
          <w:szCs w:val="28"/>
          <w:lang w:eastAsia="ru-RU"/>
        </w:rPr>
        <w:t>ии АО</w:t>
      </w:r>
      <w:proofErr w:type="gramEnd"/>
      <w:r w:rsidRPr="00E81FA7">
        <w:rPr>
          <w:rFonts w:eastAsia="Times New Roman"/>
          <w:szCs w:val="28"/>
          <w:lang w:eastAsia="ru-RU"/>
        </w:rPr>
        <w:t xml:space="preserve"> «Мурманский морской торговый порт».</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Совместно с комитетом градостроительства и территориального развития </w:t>
      </w:r>
      <w:r w:rsidRPr="00E81FA7">
        <w:rPr>
          <w:rFonts w:eastAsia="Times New Roman"/>
          <w:szCs w:val="28"/>
          <w:lang w:eastAsia="ru-RU"/>
        </w:rPr>
        <w:lastRenderedPageBreak/>
        <w:t>администрации города Мурманска в 2020 году проводилась работа по формированию и актуализации перечня свободных земельных участков для осуществления инвестиционной деятельности (информация об инвестиционных площадках города Мурманска представлена в инвестиционном паспорте муниципального образования город Мурманск и размещена на официальном сайте администрации города Мурманска в разделе «Инвестиционная деятельность» комитета по экономическому развитию администрации города Мурманска</w:t>
      </w:r>
      <w:proofErr w:type="gramEnd"/>
      <w:r w:rsidRPr="00E81FA7">
        <w:rPr>
          <w:rFonts w:eastAsia="Times New Roman"/>
          <w:szCs w:val="28"/>
          <w:lang w:eastAsia="ru-RU"/>
        </w:rPr>
        <w:t xml:space="preserve">, а также на Инвестиционном портале города Мурманска). На настоящий момент в данный перечень включено 14 инвестиционных площадок.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Крупнейшие инвестиционные проекты в городе планируются к реализации ведущими транспортными предприятиями города в целях развития портовой инфраструктуры: строительство головного универсального атомного ледокола и четырех серийных универсальных атомных ледоколов, модернизация технологического оборудования и реконструкция причалов и объектов портовой инфраструктуры АО «Мурманский морской торговый порт», строительство ФГУП «</w:t>
      </w:r>
      <w:proofErr w:type="spellStart"/>
      <w:r w:rsidRPr="00E81FA7">
        <w:rPr>
          <w:rFonts w:eastAsia="Times New Roman"/>
          <w:szCs w:val="28"/>
          <w:lang w:eastAsia="ru-RU"/>
        </w:rPr>
        <w:t>Росморпорт</w:t>
      </w:r>
      <w:proofErr w:type="spellEnd"/>
      <w:r w:rsidRPr="00E81FA7">
        <w:rPr>
          <w:rFonts w:eastAsia="Times New Roman"/>
          <w:szCs w:val="28"/>
          <w:lang w:eastAsia="ru-RU"/>
        </w:rPr>
        <w:t>» экологического комплекса в районе причала № 20 Мурманского морского торгового порта, развитие терминалов третьего грузового</w:t>
      </w:r>
      <w:proofErr w:type="gramEnd"/>
      <w:r w:rsidRPr="00E81FA7">
        <w:rPr>
          <w:rFonts w:eastAsia="Times New Roman"/>
          <w:szCs w:val="28"/>
          <w:lang w:eastAsia="ru-RU"/>
        </w:rPr>
        <w:t xml:space="preserve"> </w:t>
      </w:r>
      <w:proofErr w:type="gramStart"/>
      <w:r w:rsidRPr="00E81FA7">
        <w:rPr>
          <w:rFonts w:eastAsia="Times New Roman"/>
          <w:szCs w:val="28"/>
          <w:lang w:eastAsia="ru-RU"/>
        </w:rPr>
        <w:t xml:space="preserve">района Мурманского морского торгового порта ООО «Мурманский </w:t>
      </w:r>
      <w:proofErr w:type="spellStart"/>
      <w:r w:rsidRPr="00E81FA7">
        <w:rPr>
          <w:rFonts w:eastAsia="Times New Roman"/>
          <w:szCs w:val="28"/>
          <w:lang w:eastAsia="ru-RU"/>
        </w:rPr>
        <w:t>балкерный</w:t>
      </w:r>
      <w:proofErr w:type="spellEnd"/>
      <w:r w:rsidRPr="00E81FA7">
        <w:rPr>
          <w:rFonts w:eastAsia="Times New Roman"/>
          <w:szCs w:val="28"/>
          <w:lang w:eastAsia="ru-RU"/>
        </w:rPr>
        <w:t xml:space="preserve"> терминал», строительство верфи по изготовлению модульных конструкций верхних строений нефтегазодобывающих сооружений для арктического шельфа на территории филиала «35 Судоремонтный завод» АО «Центр судоремонта «Звездочка», обновление подвижного состава транспортного парка АО «Электротранспорт», строительство опорной базы берегового обеспечения шельфовых проектов в Арктической зоне Российской Федерации с созданием промышленного кластера </w:t>
      </w:r>
      <w:proofErr w:type="spellStart"/>
      <w:r w:rsidRPr="00E81FA7">
        <w:rPr>
          <w:rFonts w:eastAsia="Times New Roman"/>
          <w:szCs w:val="28"/>
          <w:lang w:eastAsia="ru-RU"/>
        </w:rPr>
        <w:t>нефтесервисных</w:t>
      </w:r>
      <w:proofErr w:type="spellEnd"/>
      <w:r w:rsidRPr="00E81FA7">
        <w:rPr>
          <w:rFonts w:eastAsia="Times New Roman"/>
          <w:szCs w:val="28"/>
          <w:lang w:eastAsia="ru-RU"/>
        </w:rPr>
        <w:t xml:space="preserve"> производств и центра сервисного</w:t>
      </w:r>
      <w:proofErr w:type="gramEnd"/>
      <w:r w:rsidRPr="00E81FA7">
        <w:rPr>
          <w:rFonts w:eastAsia="Times New Roman"/>
          <w:szCs w:val="28"/>
          <w:lang w:eastAsia="ru-RU"/>
        </w:rPr>
        <w:t xml:space="preserve"> обслуживания кораблей и судов, осуществляющих плавание в акватории Северного морского пути, в районе </w:t>
      </w:r>
      <w:proofErr w:type="spellStart"/>
      <w:r w:rsidRPr="00E81FA7">
        <w:rPr>
          <w:rFonts w:eastAsia="Times New Roman"/>
          <w:szCs w:val="28"/>
          <w:lang w:eastAsia="ru-RU"/>
        </w:rPr>
        <w:t>Росляково</w:t>
      </w:r>
      <w:proofErr w:type="spellEnd"/>
      <w:r w:rsidRPr="00E81FA7">
        <w:rPr>
          <w:rFonts w:eastAsia="Times New Roman"/>
          <w:szCs w:val="28"/>
          <w:lang w:eastAsia="ru-RU"/>
        </w:rPr>
        <w:t xml:space="preserve"> на базе АО </w:t>
      </w:r>
      <w:r w:rsidRPr="00E81FA7">
        <w:rPr>
          <w:rFonts w:eastAsia="Times New Roman"/>
          <w:szCs w:val="28"/>
          <w:lang w:eastAsia="ru-RU"/>
        </w:rPr>
        <w:br/>
        <w:t>«82 Судоремонтный завод».</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В настоящее время в городе достаточно много социальных и других объектов, требующих капитальных вложений в реконструкцию (Драматический театр Северного флота, кинотеатр «Родина» (Дворец молодежи), школы искусств, ДК «Маяк» и «Первомайский», спорткомплекс «Снежинка» (КП-2), Ледовый дворец спорта и др.), которые могут способствовать в перспективе развитию государственно-частного и </w:t>
      </w:r>
      <w:proofErr w:type="spellStart"/>
      <w:r w:rsidRPr="00E81FA7">
        <w:rPr>
          <w:rFonts w:eastAsia="Times New Roman"/>
          <w:szCs w:val="28"/>
          <w:lang w:eastAsia="ru-RU"/>
        </w:rPr>
        <w:t>муниципально</w:t>
      </w:r>
      <w:proofErr w:type="spellEnd"/>
      <w:r w:rsidRPr="00E81FA7">
        <w:rPr>
          <w:rFonts w:eastAsia="Times New Roman"/>
          <w:szCs w:val="28"/>
          <w:lang w:eastAsia="ru-RU"/>
        </w:rPr>
        <w:t xml:space="preserve">-частного партнерства в городе Мурманске. </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Требуются инвестиции для реализации проектов, запланированных в рамках муниципальных программ, по реконструкции и модернизации объектов муниципальных дошкольных образовательных учреждений города Мурманска, модернизации зданий средних общеобразовательных школ города Мурманска, реконструкции объектов муниципальных спортивных школ и модернизации школьных спортивных площадок, устройству игровых площадок на территории общеобразовательных учреждений. Также требуются инвестиции для реализации проектов по рекультивации городской свалки твердых отходов, строительству (реконструкции) комплекса инженерных сооружений для очистки сточных вод, модернизации улично-дорожной сети и строительству, </w:t>
      </w:r>
      <w:r w:rsidRPr="00E81FA7">
        <w:rPr>
          <w:rFonts w:eastAsia="Times New Roman"/>
          <w:szCs w:val="28"/>
          <w:lang w:eastAsia="ru-RU"/>
        </w:rPr>
        <w:lastRenderedPageBreak/>
        <w:t>благоустройству и ремонту общественных и дворовых территорий города Мурманска.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Для повышения инвестиционной привлекательности города Мурманска и привлечения инвесторов администрацией города Мурманска в рамках подпрограммы «Повышение инвестиционной и туристской привлекательности города Мурманска» муниципальной программы города Мурманска «Развитие конкурентоспособной экономики» на 2018-2024 годы реализуются мероприятия по продвижению бренда города Мурманска (в том числе </w:t>
      </w:r>
      <w:proofErr w:type="spellStart"/>
      <w:r w:rsidRPr="00E81FA7">
        <w:rPr>
          <w:rFonts w:eastAsia="Times New Roman"/>
          <w:szCs w:val="28"/>
          <w:lang w:eastAsia="ru-RU"/>
        </w:rPr>
        <w:t>имиджевая</w:t>
      </w:r>
      <w:proofErr w:type="spellEnd"/>
      <w:r w:rsidRPr="00E81FA7">
        <w:rPr>
          <w:rFonts w:eastAsia="Times New Roman"/>
          <w:szCs w:val="28"/>
          <w:lang w:eastAsia="ru-RU"/>
        </w:rPr>
        <w:t xml:space="preserve"> символика города используется при производстве сувенирной продукции, декадных транспортных карт для туристов). </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рамках реализации </w:t>
      </w:r>
      <w:proofErr w:type="spellStart"/>
      <w:r w:rsidRPr="00E81FA7">
        <w:rPr>
          <w:rFonts w:eastAsia="Times New Roman"/>
          <w:szCs w:val="28"/>
          <w:lang w:eastAsia="ru-RU"/>
        </w:rPr>
        <w:t>вышеобозначенной</w:t>
      </w:r>
      <w:proofErr w:type="spellEnd"/>
      <w:r w:rsidRPr="00E81FA7">
        <w:rPr>
          <w:rFonts w:eastAsia="Times New Roman"/>
          <w:szCs w:val="28"/>
          <w:lang w:eastAsia="ru-RU"/>
        </w:rPr>
        <w:t xml:space="preserve"> муниципальной программы инвестиционные возможности города Мурманска представляются на деловых мероприятиях в России и за рубежом, реализуются мероприятия по развитию международных связей, преимущественно с Белоруссией, Норвегией, Финляндией, Швецией, Турцией, Китаем, в том числе в рамках побратимских отношений.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Ежегодно в соответствии со Стандартом развития конкуренции в субъектах Российской Федерации (распоряжение Правительства Российской Федерации от 17.04.2019 № 768-р) формируется рейтинг органов местного самоуправления Мурманской области по содействию развитию конкуренции и обеспечению благоприятного инвестиционного климата. В 2020 году город Мурманск набрал наибольшее среди городских округов Мурманской области количество баллов по результатам данного рейтинга - 120 баллов, среднее значение среди городских округов - 93,5 балла.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составе информации, направляемой для формирования рейтинга, городские округа указывают потенциально лучшие муниципальные практики содействию развитию конкуренции. Муниципальное образование город Мурманск представило </w:t>
      </w:r>
      <w:proofErr w:type="gramStart"/>
      <w:r w:rsidRPr="00E81FA7">
        <w:rPr>
          <w:rFonts w:eastAsia="Times New Roman"/>
          <w:szCs w:val="28"/>
          <w:lang w:eastAsia="ru-RU"/>
        </w:rPr>
        <w:t>четыре лучшие практики</w:t>
      </w:r>
      <w:proofErr w:type="gramEnd"/>
      <w:r w:rsidRPr="00E81FA7">
        <w:rPr>
          <w:rFonts w:eastAsia="Times New Roman"/>
          <w:szCs w:val="28"/>
          <w:lang w:eastAsia="ru-RU"/>
        </w:rPr>
        <w:t xml:space="preserve"> и получило максимальное количество баллов за указанный показатель:</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разработка и реализация на муниципальном уровне Плана мероприятий («дорожной карты») по содействию развитию конкуренции на территории муниципального образования город Мурманск, утвержден постановлением администрации города Мурманска от 29.12.2020 № 3101;</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общегородской конкурс «Гермес»;</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конкурс на предоставление грантов начинающим предпринимателям;</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конкурс на предоставление субсидий для возмещения части затрат субъектам малого и среднего предпринимательства в городе Мурманске.</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color w:val="000000"/>
          <w:szCs w:val="27"/>
          <w:lang w:eastAsia="ru-RU"/>
        </w:rPr>
        <w:t>06 апреля 2021 года Национальным центром государственно-частного партнерства совместно с Государственной корпорацией развития «ВЭБ</w:t>
      </w:r>
      <w:proofErr w:type="gramStart"/>
      <w:r w:rsidRPr="00E81FA7">
        <w:rPr>
          <w:rFonts w:eastAsia="Times New Roman"/>
          <w:color w:val="000000"/>
          <w:szCs w:val="27"/>
          <w:lang w:eastAsia="ru-RU"/>
        </w:rPr>
        <w:t>.Р</w:t>
      </w:r>
      <w:proofErr w:type="gramEnd"/>
      <w:r w:rsidRPr="00E81FA7">
        <w:rPr>
          <w:rFonts w:eastAsia="Times New Roman"/>
          <w:color w:val="000000"/>
          <w:szCs w:val="27"/>
          <w:lang w:eastAsia="ru-RU"/>
        </w:rPr>
        <w:t>Ф» в ходе онлайн-мероприятия были представлены результаты Рейтинга городов по уровню развития государственно-частного партнерства (далее – ГЧП).</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color w:val="000000"/>
          <w:szCs w:val="27"/>
          <w:lang w:eastAsia="ru-RU"/>
        </w:rPr>
        <w:t xml:space="preserve">Рейтинг сформирован по результатам анализа 100 городов областного, краевого и республиканского значения (показатели городов федерального значения – Москвы и Санкт-Петербурга не учитывались, показатели Севастополя учтены). По итогам работы за 2020 год город Мурманск занял в </w:t>
      </w:r>
      <w:r w:rsidRPr="00E81FA7">
        <w:rPr>
          <w:rFonts w:eastAsia="Times New Roman"/>
          <w:color w:val="000000"/>
          <w:szCs w:val="27"/>
          <w:lang w:eastAsia="ru-RU"/>
        </w:rPr>
        <w:lastRenderedPageBreak/>
        <w:t>рейтинге 25 место. В качестве ключевой отрасли ГЧП определена физическая культура и спорт, что связано с реализацией концессионного соглашения «Создание и эксплуатация объекта спорта «Крытый каток с искусственным льдом МАУ ГСЦ «Авангард».</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color w:val="000000"/>
          <w:szCs w:val="27"/>
          <w:lang w:eastAsia="ru-RU"/>
        </w:rPr>
        <w:t xml:space="preserve">При составлении рейтинга учитывалось наличие компетенций в сфере проектного управления и применения механизмов ГЧП у муниципальных управленческих команд, наличие реализованных проектов ГЧП, наличие нормативно-правовой базы для реализации ГЧП-проектов, уровень информационной открытости и применения различных механизмов информирования инвесторов о возможности реализации проектов на основе ГЧП.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color w:val="000000"/>
          <w:szCs w:val="27"/>
          <w:lang w:eastAsia="ru-RU"/>
        </w:rPr>
        <w:t xml:space="preserve">В соответствии с постановлением Правительства Мурманской области от 18.03.2021 № 139-ПП «Об инвестиционных уполномоченных в Мурманской области» заместитель главы администрации города Мурманска Р.Р. </w:t>
      </w:r>
      <w:proofErr w:type="spellStart"/>
      <w:r w:rsidRPr="00E81FA7">
        <w:rPr>
          <w:rFonts w:eastAsia="Times New Roman"/>
          <w:color w:val="000000"/>
          <w:szCs w:val="27"/>
          <w:lang w:eastAsia="ru-RU"/>
        </w:rPr>
        <w:t>Синякаев</w:t>
      </w:r>
      <w:proofErr w:type="spellEnd"/>
      <w:r w:rsidRPr="00E81FA7">
        <w:rPr>
          <w:rFonts w:eastAsia="Times New Roman"/>
          <w:color w:val="000000"/>
          <w:szCs w:val="27"/>
          <w:lang w:eastAsia="ru-RU"/>
        </w:rPr>
        <w:t xml:space="preserve"> назначен инвестиционным уполномоченным администрации города Мурманска.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color w:val="000000"/>
          <w:szCs w:val="27"/>
          <w:lang w:eastAsia="ru-RU"/>
        </w:rPr>
        <w:t>Основными задачами инвестиционного уполномоченного являются:</w:t>
      </w:r>
      <w:r w:rsidRPr="00E81FA7">
        <w:rPr>
          <w:rFonts w:eastAsia="Times New Roman"/>
          <w:szCs w:val="28"/>
          <w:lang w:eastAsia="ru-RU"/>
        </w:rPr>
        <w:t xml:space="preserve"> снижение административных барьеров при реализации инвестиционных проектов, участие в инвестиционной деятельности с целью разрешения возникающих проблем и противоречий, оперативное рассмотрение вопросов, возникающих у инвесторов, связанных с реализацией инвестиционных проектов, анализ действующего законодательства и правоприменительной практики на предмет наличия в них положений, создающих препятствия для реализации в Мурманской области инвестиционных проектов, и подготовка предложений </w:t>
      </w:r>
      <w:proofErr w:type="gramStart"/>
      <w:r w:rsidRPr="00E81FA7">
        <w:rPr>
          <w:rFonts w:eastAsia="Times New Roman"/>
          <w:szCs w:val="28"/>
          <w:lang w:eastAsia="ru-RU"/>
        </w:rPr>
        <w:t>по</w:t>
      </w:r>
      <w:proofErr w:type="gramEnd"/>
      <w:r w:rsidRPr="00E81FA7">
        <w:rPr>
          <w:rFonts w:eastAsia="Times New Roman"/>
          <w:szCs w:val="28"/>
          <w:lang w:eastAsia="ru-RU"/>
        </w:rPr>
        <w:t xml:space="preserve"> </w:t>
      </w:r>
      <w:proofErr w:type="gramStart"/>
      <w:r w:rsidRPr="00E81FA7">
        <w:rPr>
          <w:rFonts w:eastAsia="Times New Roman"/>
          <w:szCs w:val="28"/>
          <w:lang w:eastAsia="ru-RU"/>
        </w:rPr>
        <w:t>его</w:t>
      </w:r>
      <w:proofErr w:type="gramEnd"/>
      <w:r w:rsidRPr="00E81FA7">
        <w:rPr>
          <w:rFonts w:eastAsia="Times New Roman"/>
          <w:szCs w:val="28"/>
          <w:lang w:eastAsia="ru-RU"/>
        </w:rPr>
        <w:t xml:space="preserve"> совершенствованию, выявление и устранение причин возникновения проблем в процессе реализации инвестиционных проектов.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Инвестиционные проекты, реализуемые и планируемые к реализации на территории города Мурманска за счет средств бюджета муниципального образования город Мурманск, включены в муниципальные программы города Мурманска на 2018-2024 годы, которые в свою очередь направлены на реализацию национальных проектов Российской Федерации, установленных Указом Президента РФ от 07.05.2018 № 204 «О национальных целях и стратегических задачах развития Российской Федерации на период до 2024 года». </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2021 году в городе Мурманске реализуются 10 региональных проектов, направленных на достижение показателей шести национальных проектов, которые предусмотрены Указом Президента РФ от 07.05.2018 № 204 «О национальных целях и стратегических задачах развития Российской Федерации на период до 2024 года»: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1. В рамках национального проекта «Культура» - региональный проект «Культурная среда».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2. В рамках национального проекта «Образование» - региональные проекты «Современная школа» и «Цифровая культура».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3. В рамках национального проекта «Жилье и городская среда» - региональные проекты «Жилье», «Формирование комфортной городской </w:t>
      </w:r>
      <w:r w:rsidRPr="00E81FA7">
        <w:rPr>
          <w:rFonts w:eastAsia="Times New Roman"/>
          <w:szCs w:val="28"/>
          <w:lang w:eastAsia="ru-RU"/>
        </w:rPr>
        <w:lastRenderedPageBreak/>
        <w:t>среды» и «Обеспечение устойчивого сокращения непригодного для проживания жилищного фонда».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4. В рамках национального проекта «Демография» - региональные проекты «Спорт – норма жизни» и «Содействие занятости женщин – создание условий дошкольного образования для детей в возрасте до трех лет».</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5. В рамках национального проекта «Безопасные и качественные автомобильные дороги» - региональный проект «Дорожная сеть».</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6. В рамках национального проекта «Экология» - региональный проект «Чистая страна».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rPr>
        <w:t xml:space="preserve">Город Мурманск достаточно успешно вошел в процесс реализации национальных проектов. Практически все цели и задачи, поставленные Президентом в Указе № 204 от 07.05.2018 года, в рамках имеющихся полномочий реализуются через мероприятия муниципальных программ города Мурманска на 2018-2024 годы.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rPr>
        <w:t>На реализацию региональных проектов на территории города Мурманска заключены соответствующие соглашения. Разработана нормативно-правовая база по проектному управлению и проектной деятельности в администрации города Мурманска. Создан проектный комитет города Мурманска.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MS Mincho"/>
          <w:bCs/>
          <w:szCs w:val="28"/>
          <w:lang w:eastAsia="ja-JP"/>
        </w:rPr>
      </w:pPr>
      <w:r w:rsidRPr="00E81FA7">
        <w:rPr>
          <w:rFonts w:eastAsia="Times New Roman"/>
          <w:szCs w:val="28"/>
          <w:lang w:eastAsia="ru-RU"/>
        </w:rPr>
        <w:t xml:space="preserve">Дальнейшему наращиванию инвестиционного потенциала города и региона в целом будет способствовать созданная ТОР «Столица Арктики», </w:t>
      </w:r>
      <w:r w:rsidRPr="00E81FA7">
        <w:rPr>
          <w:rFonts w:eastAsia="MS Mincho"/>
          <w:bCs/>
          <w:szCs w:val="28"/>
          <w:lang w:eastAsia="ja-JP"/>
        </w:rPr>
        <w:t>которая может стать одним из генераторов инвестиционного роста.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 xml:space="preserve">Первыми резидентами ТОР «Столица Арктики» будет осуществляться реализация проектов по созданию Центра строительства крупнотоннажных морских сооружений в селе </w:t>
      </w:r>
      <w:proofErr w:type="spellStart"/>
      <w:r w:rsidRPr="00E81FA7">
        <w:rPr>
          <w:rFonts w:eastAsia="Times New Roman"/>
          <w:szCs w:val="28"/>
          <w:lang w:eastAsia="ru-RU"/>
        </w:rPr>
        <w:t>Белокаменка</w:t>
      </w:r>
      <w:proofErr w:type="spellEnd"/>
      <w:r w:rsidRPr="00E81FA7">
        <w:rPr>
          <w:rFonts w:eastAsia="Times New Roman"/>
          <w:szCs w:val="28"/>
          <w:lang w:eastAsia="ru-RU"/>
        </w:rPr>
        <w:t xml:space="preserve">, современного рефрижераторного морского терминала для рыбопромышленных компаний с полным сервисом по обслуживанию рыбопромысловых судов и доставке </w:t>
      </w:r>
      <w:proofErr w:type="spellStart"/>
      <w:r w:rsidRPr="00E81FA7">
        <w:rPr>
          <w:rFonts w:eastAsia="Times New Roman"/>
          <w:szCs w:val="28"/>
          <w:lang w:eastAsia="ru-RU"/>
        </w:rPr>
        <w:t>рыбопродукции</w:t>
      </w:r>
      <w:proofErr w:type="spellEnd"/>
      <w:r w:rsidRPr="00E81FA7">
        <w:rPr>
          <w:rFonts w:eastAsia="Times New Roman"/>
          <w:szCs w:val="28"/>
          <w:lang w:eastAsia="ru-RU"/>
        </w:rPr>
        <w:t xml:space="preserve"> на внутренний и внешний рынки (ООО «Терминал Ударник»), технологического комплекса для производства и укрупнительной сборке металлоконструкций (</w:t>
      </w:r>
      <w:proofErr w:type="spellStart"/>
      <w:r w:rsidRPr="00E81FA7">
        <w:rPr>
          <w:rFonts w:eastAsia="Times New Roman"/>
          <w:szCs w:val="28"/>
          <w:lang w:eastAsia="ru-RU"/>
        </w:rPr>
        <w:t>сабдэков</w:t>
      </w:r>
      <w:proofErr w:type="spellEnd"/>
      <w:r w:rsidRPr="00E81FA7">
        <w:rPr>
          <w:rFonts w:eastAsia="Times New Roman"/>
          <w:szCs w:val="28"/>
          <w:lang w:eastAsia="ru-RU"/>
        </w:rPr>
        <w:t>) и трубопроводных узлов (ООО «</w:t>
      </w:r>
      <w:proofErr w:type="spellStart"/>
      <w:r w:rsidRPr="00E81FA7">
        <w:rPr>
          <w:rFonts w:eastAsia="Times New Roman"/>
          <w:szCs w:val="28"/>
          <w:lang w:eastAsia="ru-RU"/>
        </w:rPr>
        <w:t>Ренейссанс</w:t>
      </w:r>
      <w:proofErr w:type="spellEnd"/>
      <w:r w:rsidRPr="00E81FA7">
        <w:rPr>
          <w:rFonts w:eastAsia="Times New Roman"/>
          <w:szCs w:val="28"/>
          <w:lang w:eastAsia="ru-RU"/>
        </w:rPr>
        <w:t xml:space="preserve"> Арктик»).</w:t>
      </w:r>
      <w:proofErr w:type="gramEnd"/>
      <w:r w:rsidRPr="00E81FA7">
        <w:rPr>
          <w:rFonts w:eastAsia="Times New Roman"/>
          <w:szCs w:val="28"/>
          <w:lang w:eastAsia="ru-RU"/>
        </w:rPr>
        <w:t xml:space="preserve"> В рамках ТОР планируется привлечение более 120 млрд. рублей частных инвестиций.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E81FA7">
        <w:rPr>
          <w:rFonts w:eastAsia="Times New Roman"/>
          <w:szCs w:val="28"/>
          <w:lang w:eastAsia="ru-RU"/>
        </w:rPr>
        <w:t>Резидентами Арктической зоны РФ будут реализовываться проекты по строительству новых краболовных судов (ООО «Антей Север», ООО «</w:t>
      </w:r>
      <w:proofErr w:type="spellStart"/>
      <w:r w:rsidRPr="00E81FA7">
        <w:rPr>
          <w:rFonts w:eastAsia="Times New Roman"/>
          <w:szCs w:val="28"/>
          <w:lang w:eastAsia="ru-RU"/>
        </w:rPr>
        <w:t>Фростер</w:t>
      </w:r>
      <w:proofErr w:type="spellEnd"/>
      <w:r w:rsidRPr="00E81FA7">
        <w:rPr>
          <w:rFonts w:eastAsia="Times New Roman"/>
          <w:szCs w:val="28"/>
          <w:lang w:eastAsia="ru-RU"/>
        </w:rPr>
        <w:t>», ООО «Альфа Трейд», ООО «Эта-трейд»), строительству многофункционального комплекса по хранению и переработке рыбы и краба (ООО «Арктическая компания морских технологий»), созданию предприятия, оказывающего транспортные, гидротехнические и иные сопутствующие услуги на территории Арктической зоны РФ (АО «Арктик Флот»), строительству логистического центра с полным циклом</w:t>
      </w:r>
      <w:proofErr w:type="gramEnd"/>
      <w:r w:rsidRPr="00E81FA7">
        <w:rPr>
          <w:rFonts w:eastAsia="Times New Roman"/>
          <w:szCs w:val="28"/>
          <w:lang w:eastAsia="ru-RU"/>
        </w:rPr>
        <w:t xml:space="preserve"> логистических услуг в г. Мурманске (ООО «Мега </w:t>
      </w:r>
      <w:proofErr w:type="spellStart"/>
      <w:r w:rsidRPr="00E81FA7">
        <w:rPr>
          <w:rFonts w:eastAsia="Times New Roman"/>
          <w:szCs w:val="28"/>
          <w:lang w:eastAsia="ru-RU"/>
        </w:rPr>
        <w:t>Фуд</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E81FA7">
        <w:rPr>
          <w:rFonts w:eastAsia="Times New Roman"/>
          <w:color w:val="000000"/>
          <w:szCs w:val="28"/>
          <w:lang w:eastAsia="ru-RU"/>
        </w:rPr>
        <w:t xml:space="preserve">Федеральный пакет арктических законов, а также соответствующие региональные и муниципальные системы преференций для резидентов Арктической зоны Российской Федерации будут способствовать формированию инвестиционного роста в прогнозном периоде, новый цикл которого запущен в 2020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Предположительно в 2021 году индекс физического объема инвестиций </w:t>
      </w:r>
      <w:r w:rsidRPr="00E81FA7">
        <w:rPr>
          <w:rFonts w:eastAsia="Times New Roman"/>
          <w:szCs w:val="28"/>
          <w:lang w:eastAsia="ru-RU"/>
        </w:rPr>
        <w:lastRenderedPageBreak/>
        <w:t xml:space="preserve">составит до 100,5%. Незначительная волатильность интенсивности роста и снижения в течение прогнозного периода будет обусловлена изменением характера выполняемых работ в зависимости от этапов реализации инвестиционных проектов.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2026 году объем инвестиций в основной капитал за счет всех источников финансирования предположительно составит 93,8 млрд. рублей в базовом варианте прогноза, 98,4 млрд. рублей - в целевом варианте прогноза.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proofErr w:type="gramStart"/>
      <w:r w:rsidRPr="00E81FA7">
        <w:rPr>
          <w:rFonts w:eastAsia="Times New Roman"/>
          <w:szCs w:val="28"/>
          <w:lang w:eastAsia="ru-RU"/>
        </w:rPr>
        <w:t xml:space="preserve">Динамика роста инвестиций в целевом варианте прогноза определяется основными драйверами формирования инвестиционной активности: реализацией инвестиционных проектов по строительству опорной базы берегового обеспечения шельфовых проектов в Арктической зоне Российской Федерации с созданием промышленного кластера </w:t>
      </w:r>
      <w:proofErr w:type="spellStart"/>
      <w:r w:rsidRPr="00E81FA7">
        <w:rPr>
          <w:rFonts w:eastAsia="Times New Roman"/>
          <w:szCs w:val="28"/>
          <w:lang w:eastAsia="ru-RU"/>
        </w:rPr>
        <w:t>нефтесервисных</w:t>
      </w:r>
      <w:proofErr w:type="spellEnd"/>
      <w:r w:rsidRPr="00E81FA7">
        <w:rPr>
          <w:rFonts w:eastAsia="Times New Roman"/>
          <w:szCs w:val="28"/>
          <w:lang w:eastAsia="ru-RU"/>
        </w:rPr>
        <w:t xml:space="preserve"> производств и центра сервисного обслуживания кораблей и судов, осуществляющих плавание в акватории Северного морского пути, в районе </w:t>
      </w:r>
      <w:proofErr w:type="spellStart"/>
      <w:r w:rsidRPr="00E81FA7">
        <w:rPr>
          <w:rFonts w:eastAsia="Times New Roman"/>
          <w:szCs w:val="28"/>
          <w:lang w:eastAsia="ru-RU"/>
        </w:rPr>
        <w:t>Росляково</w:t>
      </w:r>
      <w:proofErr w:type="spellEnd"/>
      <w:r w:rsidRPr="00E81FA7">
        <w:rPr>
          <w:rFonts w:eastAsia="Times New Roman"/>
          <w:szCs w:val="28"/>
          <w:lang w:eastAsia="ru-RU"/>
        </w:rPr>
        <w:t xml:space="preserve"> города Мурманска на базе АО «82 Судоремонтный завод</w:t>
      </w:r>
      <w:proofErr w:type="gramEnd"/>
      <w:r w:rsidRPr="00E81FA7">
        <w:rPr>
          <w:rFonts w:eastAsia="Times New Roman"/>
          <w:szCs w:val="28"/>
          <w:lang w:eastAsia="ru-RU"/>
        </w:rPr>
        <w:t xml:space="preserve">»; </w:t>
      </w:r>
      <w:r w:rsidRPr="00E81FA7">
        <w:rPr>
          <w:rFonts w:eastAsia="Times New Roman"/>
          <w:bCs/>
          <w:color w:val="000000"/>
          <w:szCs w:val="28"/>
          <w:lang w:eastAsia="ru-RU"/>
        </w:rPr>
        <w:t>модернизации производственных мощностей филиала «35 Судоремонтный завод» АО «Центр судоремонта «Звездочка», а также реализацией крупных инвестиционных проектов резидентов ТОР «Столица Арктики» и Арктической зоны Российской Федерации.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E81FA7">
        <w:rPr>
          <w:rFonts w:eastAsia="Times New Roman"/>
          <w:bCs/>
          <w:color w:val="000000"/>
          <w:szCs w:val="28"/>
          <w:lang w:eastAsia="ru-RU"/>
        </w:rPr>
        <w:t xml:space="preserve">Соответственно, к основным рискам </w:t>
      </w:r>
      <w:proofErr w:type="spellStart"/>
      <w:r w:rsidRPr="00E81FA7">
        <w:rPr>
          <w:rFonts w:eastAsia="Times New Roman"/>
          <w:bCs/>
          <w:color w:val="000000"/>
          <w:szCs w:val="28"/>
          <w:lang w:eastAsia="ru-RU"/>
        </w:rPr>
        <w:t>недостижения</w:t>
      </w:r>
      <w:proofErr w:type="spellEnd"/>
      <w:r w:rsidRPr="00E81FA7">
        <w:rPr>
          <w:rFonts w:eastAsia="Times New Roman"/>
          <w:bCs/>
          <w:color w:val="000000"/>
          <w:szCs w:val="28"/>
          <w:lang w:eastAsia="ru-RU"/>
        </w:rPr>
        <w:t xml:space="preserve"> прогнозных значений показателей относятся: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bCs/>
          <w:color w:val="000000"/>
          <w:szCs w:val="28"/>
          <w:lang w:eastAsia="ru-RU"/>
        </w:rPr>
        <w:t xml:space="preserve">- </w:t>
      </w:r>
      <w:r w:rsidRPr="00E81FA7">
        <w:rPr>
          <w:rFonts w:eastAsia="Times New Roman"/>
          <w:szCs w:val="28"/>
          <w:lang w:eastAsia="ru-RU"/>
        </w:rPr>
        <w:t>отсрочка реализации инвестиционных проектов на территории города Мурманска;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E81FA7">
        <w:rPr>
          <w:rFonts w:eastAsia="Times New Roman"/>
          <w:bCs/>
          <w:color w:val="000000"/>
          <w:szCs w:val="28"/>
          <w:lang w:eastAsia="ru-RU"/>
        </w:rPr>
        <w:t>- сокращение объемов и/или перенос сроков планового финансирования проектов, реализуемых за счет средств федерального и областного бюджетов.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Объем работ строительного подряда в действующих ценах снизился до 523,1 млн. рублей (83,7% к 2019 году). Снижение связано с изменением объема работ по строительству зданий и производству электромонтажных работ, а также с окончанием строительства и вводом объектов в эксплуатацию. За 2020 год введено 40 зданий общей площадью 35,0 тыс.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 xml:space="preserve"> (42,6% к 2019 году),</w:t>
      </w:r>
      <w:r w:rsidRPr="00E81FA7">
        <w:rPr>
          <w:rFonts w:eastAsia="Times New Roman"/>
          <w:color w:val="FF0000"/>
          <w:szCs w:val="28"/>
          <w:lang w:eastAsia="ru-RU"/>
        </w:rPr>
        <w:t xml:space="preserve"> </w:t>
      </w:r>
      <w:r w:rsidRPr="00E81FA7">
        <w:rPr>
          <w:rFonts w:eastAsia="Times New Roman"/>
          <w:szCs w:val="28"/>
          <w:lang w:eastAsia="ru-RU"/>
        </w:rPr>
        <w:t xml:space="preserve">в том числе 12 жилых домов (включая индивидуальные жилые дома, построенные населением, введенные в эксплуатацию в установленном порядке) общей площадью 5,6 тыс. </w:t>
      </w:r>
      <w:proofErr w:type="spellStart"/>
      <w:r w:rsidRPr="00E81FA7">
        <w:rPr>
          <w:rFonts w:eastAsia="Times New Roman"/>
          <w:szCs w:val="28"/>
          <w:lang w:eastAsia="ru-RU"/>
        </w:rPr>
        <w:t>кв.м</w:t>
      </w:r>
      <w:proofErr w:type="spellEnd"/>
      <w:r w:rsidRPr="00E81FA7">
        <w:rPr>
          <w:rFonts w:eastAsia="Times New Roman"/>
          <w:szCs w:val="28"/>
          <w:lang w:eastAsia="ru-RU"/>
        </w:rPr>
        <w:t xml:space="preserve">. Также введено 28 нежилых зданий (65,1% к 2019 году) общей площадью 29,4 тыс. </w:t>
      </w:r>
      <w:proofErr w:type="spellStart"/>
      <w:r w:rsidRPr="00E81FA7">
        <w:rPr>
          <w:rFonts w:eastAsia="Times New Roman"/>
          <w:szCs w:val="28"/>
          <w:lang w:eastAsia="ru-RU"/>
        </w:rPr>
        <w:t>кв.м</w:t>
      </w:r>
      <w:proofErr w:type="spellEnd"/>
      <w:r w:rsidRPr="00E81FA7">
        <w:rPr>
          <w:rFonts w:eastAsia="Times New Roman"/>
          <w:szCs w:val="28"/>
          <w:lang w:eastAsia="ru-RU"/>
        </w:rPr>
        <w:t>, включая 16 коммерческих, три промышленных и четыре административных здания.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течение 2020 года выданы разрешения на ввод в эксплуатацию следующих наиболее крупных социально-значимых объектов: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«Межшкольный стадион в г. Мурманске (первый этап)» площадью застройки 6 970,0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«Реконструкция стадиона МБУ ДО г. Мурманска ДЮСШ № 6 по улице Беринга, 14а. </w:t>
      </w:r>
      <w:r w:rsidRPr="00E81FA7">
        <w:rPr>
          <w:rFonts w:eastAsia="Times New Roman"/>
          <w:szCs w:val="28"/>
          <w:lang w:val="en-US" w:eastAsia="ru-RU"/>
        </w:rPr>
        <w:t>II</w:t>
      </w:r>
      <w:r w:rsidRPr="00E81FA7">
        <w:rPr>
          <w:rFonts w:eastAsia="Times New Roman"/>
          <w:szCs w:val="28"/>
          <w:lang w:eastAsia="ru-RU"/>
        </w:rPr>
        <w:t xml:space="preserve"> этап (корпус 1</w:t>
      </w:r>
      <w:proofErr w:type="gramStart"/>
      <w:r w:rsidRPr="00E81FA7">
        <w:rPr>
          <w:rFonts w:eastAsia="Times New Roman"/>
          <w:szCs w:val="28"/>
          <w:lang w:eastAsia="ru-RU"/>
        </w:rPr>
        <w:t>)»</w:t>
      </w:r>
      <w:proofErr w:type="gramEnd"/>
      <w:r w:rsidRPr="00E81FA7">
        <w:rPr>
          <w:rFonts w:eastAsia="Times New Roman"/>
          <w:szCs w:val="28"/>
          <w:lang w:eastAsia="ru-RU"/>
        </w:rPr>
        <w:t xml:space="preserve"> общей площадью 307,13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«Реконструкция существующего здания под </w:t>
      </w:r>
      <w:proofErr w:type="spellStart"/>
      <w:r w:rsidRPr="00E81FA7">
        <w:rPr>
          <w:rFonts w:eastAsia="Times New Roman"/>
          <w:szCs w:val="28"/>
          <w:lang w:eastAsia="ru-RU"/>
        </w:rPr>
        <w:t>зоогостиницу</w:t>
      </w:r>
      <w:proofErr w:type="spellEnd"/>
      <w:r w:rsidRPr="00E81FA7">
        <w:rPr>
          <w:rFonts w:eastAsia="Times New Roman"/>
          <w:szCs w:val="28"/>
          <w:lang w:eastAsia="ru-RU"/>
        </w:rPr>
        <w:t xml:space="preserve"> по адресу: </w:t>
      </w:r>
      <w:r w:rsidRPr="00E81FA7">
        <w:rPr>
          <w:rFonts w:eastAsia="Times New Roman"/>
          <w:szCs w:val="28"/>
          <w:lang w:eastAsia="ru-RU"/>
        </w:rPr>
        <w:br/>
        <w:t xml:space="preserve">г. Мурманск, ул. Фролова, д. 28а» общей площадью 346,2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ввод в эксплуатацию двух объектов «Завод – объект капитального строительства по переработке трески, пикши и иных видов рыб малой </w:t>
      </w:r>
      <w:r w:rsidRPr="00E81FA7">
        <w:rPr>
          <w:rFonts w:eastAsia="Times New Roman"/>
          <w:szCs w:val="28"/>
          <w:lang w:eastAsia="ru-RU"/>
        </w:rPr>
        <w:lastRenderedPageBreak/>
        <w:t xml:space="preserve">мощности № 4» ООО «КЕДР ПЛЮС» </w:t>
      </w:r>
      <w:proofErr w:type="gramStart"/>
      <w:r w:rsidRPr="00E81FA7">
        <w:rPr>
          <w:rFonts w:eastAsia="Times New Roman"/>
          <w:szCs w:val="28"/>
          <w:lang w:eastAsia="ru-RU"/>
        </w:rPr>
        <w:t>и ООО</w:t>
      </w:r>
      <w:proofErr w:type="gramEnd"/>
      <w:r w:rsidRPr="00E81FA7">
        <w:rPr>
          <w:rFonts w:eastAsia="Times New Roman"/>
          <w:szCs w:val="28"/>
          <w:lang w:eastAsia="ru-RU"/>
        </w:rPr>
        <w:t xml:space="preserve"> «Парк»;</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ввод в эксплуатацию объектов «Завод – объект капитального строительства по переработке трески, пикши и иных видов рыб малой мощности» ООО «Причал-Л»;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«Хостел – объект придорожного сервиса, расположенного по адресу: </w:t>
      </w:r>
      <w:r w:rsidRPr="00E81FA7">
        <w:rPr>
          <w:rFonts w:eastAsia="Times New Roman"/>
          <w:szCs w:val="28"/>
          <w:lang w:eastAsia="ru-RU"/>
        </w:rPr>
        <w:br/>
        <w:t xml:space="preserve">г. Мурманск, ул. </w:t>
      </w:r>
      <w:proofErr w:type="spellStart"/>
      <w:r w:rsidRPr="00E81FA7">
        <w:rPr>
          <w:rFonts w:eastAsia="Times New Roman"/>
          <w:szCs w:val="28"/>
          <w:lang w:eastAsia="ru-RU"/>
        </w:rPr>
        <w:t>Рогозерская</w:t>
      </w:r>
      <w:proofErr w:type="spellEnd"/>
      <w:r w:rsidRPr="00E81FA7">
        <w:rPr>
          <w:rFonts w:eastAsia="Times New Roman"/>
          <w:szCs w:val="28"/>
          <w:lang w:eastAsia="ru-RU"/>
        </w:rPr>
        <w:t>, д. 10 (реконструкция)»;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«Гостиница (гостевой дом) № 1, в г. Мурманске в районе ул. Сполохи» общей площадью 70,2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«Многоквартирный дом со встроенным предприятием торговли (торговой площадью до 250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 xml:space="preserve">) в Первомайском районе г. Мурманска» общей площадью 3 027,1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«Реконструкция незавершенного строительства здания со строительством пристройки для размещения Мурманского областного суда» общей площадью 37 044,0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Кроме того, за 2020 год выданы разрешения на строительство следующих наиболее крупных социально-значимых объектов: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«Рыбообрабатывающее предприятие (как имущественный комплекс) производительностью 25 т готовой продукции в сутки и не менее 3 т в сутки продукции из отходов рыбного производства» общей площадью 808,2 </w:t>
      </w:r>
      <w:proofErr w:type="spellStart"/>
      <w:r w:rsidRPr="00E81FA7">
        <w:rPr>
          <w:rFonts w:eastAsia="Times New Roman"/>
          <w:szCs w:val="28"/>
          <w:lang w:eastAsia="ru-RU"/>
        </w:rPr>
        <w:t>кв.м</w:t>
      </w:r>
      <w:proofErr w:type="spellEnd"/>
      <w:r w:rsidRPr="00E81FA7">
        <w:rPr>
          <w:rFonts w:eastAsia="Times New Roman"/>
          <w:szCs w:val="28"/>
          <w:lang w:eastAsia="ru-RU"/>
        </w:rPr>
        <w:t xml:space="preserve">.;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«Гостиница (гостевой дом) № 2 в г. Мурманске, в районе ул. Сполохи» общей площадью 66,9 </w:t>
      </w:r>
      <w:proofErr w:type="spellStart"/>
      <w:r w:rsidRPr="00E81FA7">
        <w:rPr>
          <w:rFonts w:eastAsia="Times New Roman"/>
          <w:szCs w:val="28"/>
          <w:lang w:eastAsia="ru-RU"/>
        </w:rPr>
        <w:t>кв.м</w:t>
      </w:r>
      <w:proofErr w:type="spellEnd"/>
      <w:r w:rsidRPr="00E81FA7">
        <w:rPr>
          <w:rFonts w:eastAsia="Times New Roman"/>
          <w:szCs w:val="28"/>
          <w:lang w:eastAsia="ru-RU"/>
        </w:rPr>
        <w:t xml:space="preserve">.;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«Спортивно-оздоровительное сооружение в районе дома № 7 по ул. Зои Космодемьянской территория Долины Уюта г. Мурманск. </w:t>
      </w:r>
      <w:proofErr w:type="gramStart"/>
      <w:r w:rsidRPr="00E81FA7">
        <w:rPr>
          <w:rFonts w:eastAsia="Times New Roman"/>
          <w:szCs w:val="28"/>
          <w:lang w:val="en-US" w:eastAsia="ru-RU"/>
        </w:rPr>
        <w:t>II</w:t>
      </w:r>
      <w:r w:rsidRPr="00E81FA7">
        <w:rPr>
          <w:rFonts w:eastAsia="Times New Roman"/>
          <w:szCs w:val="28"/>
          <w:lang w:eastAsia="ru-RU"/>
        </w:rPr>
        <w:t xml:space="preserve"> этап.</w:t>
      </w:r>
      <w:proofErr w:type="gramEnd"/>
      <w:r w:rsidRPr="00E81FA7">
        <w:rPr>
          <w:rFonts w:eastAsia="Times New Roman"/>
          <w:szCs w:val="28"/>
          <w:lang w:eastAsia="ru-RU"/>
        </w:rPr>
        <w:t xml:space="preserve"> Электронный тир» общей площадью 53,2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«Строительство земляного полотна дорожной инфраструктуры к земельным участкам, предоставленным для индивидуального жилищного строительства многодетным семьям в районе ул. Солнечной» общей строительной длиной 564 м.;</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«Строительство детского сада в районе домов №№ 31, 32 по улице Достоевского в городе Мурманске» общей площадью 3 794,3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«Строительство детского сада на 80 мест в районе дома № 44 по улице Капитана </w:t>
      </w:r>
      <w:proofErr w:type="spellStart"/>
      <w:r w:rsidRPr="00E81FA7">
        <w:rPr>
          <w:rFonts w:eastAsia="Times New Roman"/>
          <w:szCs w:val="28"/>
          <w:lang w:eastAsia="ru-RU"/>
        </w:rPr>
        <w:t>Орликовой</w:t>
      </w:r>
      <w:proofErr w:type="spellEnd"/>
      <w:r w:rsidRPr="00E81FA7">
        <w:rPr>
          <w:rFonts w:eastAsia="Times New Roman"/>
          <w:szCs w:val="28"/>
          <w:lang w:eastAsia="ru-RU"/>
        </w:rPr>
        <w:t xml:space="preserve"> в городе Мурманске» общей площадью 2 149,7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 «База отдыха для экскурсий на лодках и лыжах» общей площадью 140,2 </w:t>
      </w:r>
      <w:proofErr w:type="spellStart"/>
      <w:r w:rsidRPr="00E81FA7">
        <w:rPr>
          <w:rFonts w:eastAsia="Times New Roman"/>
          <w:szCs w:val="28"/>
          <w:lang w:eastAsia="ru-RU"/>
        </w:rPr>
        <w:t>кв</w:t>
      </w:r>
      <w:proofErr w:type="gramStart"/>
      <w:r w:rsidRPr="00E81FA7">
        <w:rPr>
          <w:rFonts w:eastAsia="Times New Roman"/>
          <w:szCs w:val="28"/>
          <w:lang w:eastAsia="ru-RU"/>
        </w:rPr>
        <w:t>.м</w:t>
      </w:r>
      <w:proofErr w:type="spellEnd"/>
      <w:proofErr w:type="gram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w:t>
      </w:r>
      <w:proofErr w:type="spellStart"/>
      <w:r w:rsidRPr="00E81FA7">
        <w:rPr>
          <w:rFonts w:eastAsia="Times New Roman"/>
          <w:szCs w:val="28"/>
          <w:lang w:eastAsia="ru-RU"/>
        </w:rPr>
        <w:t>Среднеэтажный</w:t>
      </w:r>
      <w:proofErr w:type="spellEnd"/>
      <w:r w:rsidRPr="00E81FA7">
        <w:rPr>
          <w:rFonts w:eastAsia="Times New Roman"/>
          <w:szCs w:val="28"/>
          <w:lang w:eastAsia="ru-RU"/>
        </w:rPr>
        <w:t xml:space="preserve"> жилой дом, расположенный в Октябрьском административном округе г. Мурманска» общей площадью 115,32 </w:t>
      </w:r>
      <w:proofErr w:type="spellStart"/>
      <w:r w:rsidRPr="00E81FA7">
        <w:rPr>
          <w:rFonts w:eastAsia="Times New Roman"/>
          <w:szCs w:val="28"/>
          <w:lang w:eastAsia="ru-RU"/>
        </w:rPr>
        <w:t>кв.м</w:t>
      </w:r>
      <w:proofErr w:type="spellEnd"/>
      <w:r w:rsidRPr="00E81FA7">
        <w:rPr>
          <w:rFonts w:eastAsia="Times New Roman"/>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Строительство и ввод в эксплуатацию данных объектов обеспечат рост объема работ строительного подряда в прогнозном периоде.</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В рамках реализации региональных проектов «Жилье» и «Обеспечение устойчивого сокращения непригодного для проживания жилищного фонда» планируется строительство многоквартирных жилых домов для переселения граждан из аварийного жилищного фонда и формирование жилищного фонда социального использования (арендного жилья).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 xml:space="preserve">В прогнозном периоде планируется реализация масштабного проекта комплексного освоения территории площадью 33,4 га микрорайонов </w:t>
      </w:r>
      <w:r w:rsidRPr="00E81FA7">
        <w:rPr>
          <w:rFonts w:eastAsia="Times New Roman"/>
          <w:szCs w:val="28"/>
          <w:lang w:eastAsia="ru-RU"/>
        </w:rPr>
        <w:lastRenderedPageBreak/>
        <w:t xml:space="preserve">«Больничный городок» и «1 микрорайон» в городе Мурманске в целях строительства стандартного жилья. Всего на территории города Мурманска планируется построить порядка 200 тыс. </w:t>
      </w:r>
      <w:proofErr w:type="spellStart"/>
      <w:r w:rsidRPr="00E81FA7">
        <w:rPr>
          <w:rFonts w:eastAsia="Times New Roman"/>
          <w:szCs w:val="28"/>
          <w:lang w:eastAsia="ru-RU"/>
        </w:rPr>
        <w:t>кв</w:t>
      </w:r>
      <w:proofErr w:type="spellEnd"/>
      <w:r w:rsidRPr="00E81FA7">
        <w:rPr>
          <w:rFonts w:eastAsia="Times New Roman"/>
          <w:szCs w:val="28"/>
          <w:lang w:eastAsia="ru-RU"/>
        </w:rPr>
        <w:t xml:space="preserve"> м. общей площади жилья для 3,7 тысяч семей, в том числе в рамках указанного проекта. В рамках подготовки территории будет переселено 2,3 тыс. человек из 98 аварийных домов.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С участием Минобороны России, «ДОМ</w:t>
      </w:r>
      <w:proofErr w:type="gramStart"/>
      <w:r w:rsidRPr="00E81FA7">
        <w:rPr>
          <w:rFonts w:eastAsia="Times New Roman"/>
          <w:szCs w:val="28"/>
          <w:lang w:eastAsia="ru-RU"/>
        </w:rPr>
        <w:t>.Р</w:t>
      </w:r>
      <w:proofErr w:type="gramEnd"/>
      <w:r w:rsidRPr="00E81FA7">
        <w:rPr>
          <w:rFonts w:eastAsia="Times New Roman"/>
          <w:szCs w:val="28"/>
          <w:lang w:eastAsia="ru-RU"/>
        </w:rPr>
        <w:t xml:space="preserve">Ф» и крупными застройщиками также прорабатывается вопрос по точечной застройке жилья в городе Мурманске на условиях корпоративной аренды, что создаст условия для строительства нового жилья для жителей, приезжающих на работу в Мурманскую область.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E81FA7">
        <w:rPr>
          <w:rFonts w:eastAsia="Times New Roman"/>
          <w:szCs w:val="28"/>
          <w:lang w:eastAsia="ru-RU"/>
        </w:rPr>
        <w:t>Рост автомобилизации требует расширения деятельности по реконструкции автомобильных дорог. Износ жилого и нежилого фонда, требующего ремонта, также будет способствовать сохранению работ строительного подряда в городе Мурманске. Кроме того, в рамках регионального проекта «Формирование комфортной городской среды» и программы «Формирование современной городской среды на территории муниципального образования город Мурманск» на 2018-2024 годы, направленной на повышение качества жизни населения, реализуются мероприятия по повышению уровня благоустройства дворовых территорий и территорий общего пользования города Мурманска, выбранных с привлечением жителей. В 2021 году планируется благоустройство 22 дворовых территорий, а также благоустройство двух общественных территорий в районе дома 101 по пр. Кольскому и сквер у памятника В.И. Ленину. Таким образом, в прогнозном периоде ожидается рост объема строительного подряда в пределах 103% - 107% ежегодно.</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E81FA7">
        <w:rPr>
          <w:rFonts w:eastAsia="Times New Roman"/>
          <w:bCs/>
          <w:szCs w:val="28"/>
          <w:lang w:eastAsia="ru-RU"/>
        </w:rPr>
        <w:t xml:space="preserve">Сальдированный финансовый результат (прибыль, убыток) </w:t>
      </w:r>
      <w:r w:rsidRPr="00E81FA7">
        <w:rPr>
          <w:rFonts w:eastAsia="Times New Roman"/>
          <w:bCs/>
          <w:szCs w:val="28"/>
          <w:lang w:eastAsia="ru-RU"/>
        </w:rPr>
        <w:br/>
        <w:t>деятельности крупных и средних предприятий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kern w:val="32"/>
          <w:szCs w:val="28"/>
          <w:lang w:eastAsia="ru-RU"/>
        </w:rPr>
      </w:pPr>
      <w:r w:rsidRPr="00E81FA7">
        <w:rPr>
          <w:rFonts w:eastAsia="Times New Roman"/>
          <w:szCs w:val="28"/>
          <w:lang w:eastAsia="ru-RU"/>
        </w:rPr>
        <w:t xml:space="preserve">Наблюдается увеличение в январе-ноябре 2020 года сальдированного финансового результата деятельности организаций до 83,1 млрд. рублей (136,2% к 2019 году). Данное увеличение обусловлено ростом прибыли предприятий в сфере обрабатывающих производств (в 27,9 раза), в сфере образования (в 4,4 раза), в сфере строительства (в 3,7 раза), в сфере водоснабжения; водоотведения, организации сбора и утилизации отходов, деятельности по ликвидации загрязнений (в 2,8 раза). Увеличение связано с ростом выручки предприятий.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kern w:val="32"/>
          <w:szCs w:val="28"/>
          <w:lang w:eastAsia="ru-RU"/>
        </w:rPr>
      </w:pPr>
      <w:proofErr w:type="gramStart"/>
      <w:r w:rsidRPr="00E81FA7">
        <w:rPr>
          <w:rFonts w:eastAsia="Times New Roman"/>
          <w:szCs w:val="28"/>
          <w:lang w:eastAsia="ru-RU"/>
        </w:rPr>
        <w:t>Положительный финансовый результат сложился в сфере сельского, лесного хозяйства, охоты, рыболовства и рыбоводства – 49,5 млрд. рублей, в сфере обрабатывающих производств - 22,1 млрд. рублей, в сфере транспортировки и хранения – 4,4 млрд. рублей, деятельности профессиональной, научной и технической – 1,6 млрд. рублей, торговле оптовой и розничной; ремонту автотранспортн6ых средств и мотоциклов – 715,1 млн. рублей.</w:t>
      </w:r>
      <w:proofErr w:type="gramEnd"/>
      <w:r w:rsidRPr="00E81FA7">
        <w:rPr>
          <w:rFonts w:eastAsia="Times New Roman"/>
          <w:szCs w:val="28"/>
          <w:lang w:eastAsia="ru-RU"/>
        </w:rPr>
        <w:t xml:space="preserve"> Общее количество прибыльных организаций составило </w:t>
      </w:r>
      <w:r w:rsidRPr="00E81FA7">
        <w:rPr>
          <w:rFonts w:eastAsia="Times New Roman"/>
          <w:szCs w:val="28"/>
          <w:lang w:eastAsia="ru-RU"/>
        </w:rPr>
        <w:br/>
        <w:t xml:space="preserve">90 единиц (118,4% к январю-ноябрю 2019 года), сумма прибыли – 87,9 млрд. </w:t>
      </w:r>
      <w:r w:rsidRPr="00E81FA7">
        <w:rPr>
          <w:rFonts w:eastAsia="Times New Roman"/>
          <w:szCs w:val="28"/>
          <w:lang w:eastAsia="ru-RU"/>
        </w:rPr>
        <w:lastRenderedPageBreak/>
        <w:t>рублей (136,6%).</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kern w:val="32"/>
          <w:szCs w:val="28"/>
          <w:lang w:eastAsia="ru-RU"/>
        </w:rPr>
      </w:pPr>
      <w:r w:rsidRPr="00E81FA7">
        <w:rPr>
          <w:rFonts w:eastAsia="Times New Roman"/>
          <w:szCs w:val="28"/>
          <w:lang w:eastAsia="ru-RU"/>
        </w:rPr>
        <w:t xml:space="preserve">Отрицательный финансовый результат сложился в деятельности гостиниц и предприятий общественного питания в сумме 169,0 млн. рублей, а также в строительной сфере – 160,5 млн. рублей. Общее число убыточных организаций – 37 единиц (100,0% к аналогичному периоду 2019 года), сумма убытка – 4,8 млрд. рублей (142,5%).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szCs w:val="28"/>
          <w:lang w:eastAsia="ru-RU"/>
        </w:rPr>
        <w:t>В январе-ноябре 2020 года доля прибыльных организаций составила 70,9% (в январе-ноябре 2019 года – 73,2%). 100% прибыльными являются организации по видам экономической деятельности «Добыча полезных ископаемых», «Водоснабжение; водоотведение, организация сбора и утилизации отходов, деятельности по ликвидации загрязнений», «Торговля оптовая и розничная; ремонт автотранспортных средств и мотоциклов» и «Деятельность административная и сопутствующие дополнительные услуги».</w:t>
      </w:r>
      <w:proofErr w:type="gramEnd"/>
      <w:r w:rsidRPr="00E81FA7">
        <w:rPr>
          <w:rFonts w:eastAsia="Times New Roman"/>
          <w:szCs w:val="28"/>
          <w:lang w:eastAsia="ru-RU"/>
        </w:rPr>
        <w:t xml:space="preserve"> Доля убыточных организаций составила 29,1% (в январе-ноябре 2019 года – 26,8%). 100% убыточные организации по виду экономической деятельности «Деятельность финансовая и страховая».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2020 году отмечено увеличение дебиторской задолженности до </w:t>
      </w:r>
      <w:r w:rsidRPr="00E81FA7">
        <w:rPr>
          <w:rFonts w:eastAsia="Times New Roman"/>
          <w:bCs/>
          <w:szCs w:val="28"/>
          <w:lang w:eastAsia="ru-RU"/>
        </w:rPr>
        <w:br/>
        <w:t xml:space="preserve">142,1 млрд. рублей (128,4% по сравнению с 2019 годом). Кредиторская задолженность увеличилась до 91,8 млрд. рублей (128,4% к 2019 году). Следует отметить увеличение задолженности по платежам в бюджеты всех уровней (122,6% к уровню 2019 года), также задолженности в государственные внебюджетные фонды до 242,1 млн. рублей (в 1,4 раза к уровню 2019 года). Незначительно сократилась задолженность поставщикам и подрядчикам за товары, работы и услуги из общей суммы кредиторской задолженности до </w:t>
      </w:r>
      <w:r w:rsidRPr="00E81FA7">
        <w:rPr>
          <w:rFonts w:eastAsia="Times New Roman"/>
          <w:bCs/>
          <w:szCs w:val="28"/>
          <w:lang w:eastAsia="ru-RU"/>
        </w:rPr>
        <w:br/>
        <w:t>2,3 млрд. рублей (75,3% к 2019 году).</w:t>
      </w:r>
    </w:p>
    <w:p w:rsid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Анализ динамики и структуры сальдированного финансового результата (прибыль, убыток) деятельности крупных и средних предприятий с 2012 года свидетельствует об устойчивом росте финансового результата предприятий по всем видам экономической деятельности. Таким образом, в прогнозном периоде ожидается рост сальдированного финансового результата в среднем на 4% ежегодно. В 2026 году прогнозное значение показателя – 93,5 млрд. рублей (в базовом варианте прогноза).</w:t>
      </w:r>
    </w:p>
    <w:p w:rsid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E81FA7">
        <w:rPr>
          <w:rFonts w:eastAsia="Times New Roman"/>
          <w:kern w:val="32"/>
          <w:szCs w:val="28"/>
          <w:lang w:eastAsia="ru-RU"/>
        </w:rPr>
        <w:t>Труд и занятость</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2020 году сложившаяся в городе Мурманске ситуация на рынке труда характеризовалась ростом уровня безработицы в связи с негативными последствиями распространения новой </w:t>
      </w:r>
      <w:proofErr w:type="spellStart"/>
      <w:r w:rsidRPr="00E81FA7">
        <w:rPr>
          <w:rFonts w:eastAsia="Times New Roman"/>
          <w:bCs/>
          <w:szCs w:val="28"/>
          <w:lang w:eastAsia="ru-RU"/>
        </w:rPr>
        <w:t>коронавирусной</w:t>
      </w:r>
      <w:proofErr w:type="spellEnd"/>
      <w:r w:rsidRPr="00E81FA7">
        <w:rPr>
          <w:rFonts w:eastAsia="Times New Roman"/>
          <w:bCs/>
          <w:szCs w:val="28"/>
          <w:lang w:eastAsia="ru-RU"/>
        </w:rPr>
        <w:t xml:space="preserve"> инфекции.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Негативные процессы в демографии города (снижение уровня рождаемости, значительный миграционный отток населения) обусловили сокращение в 2020 году среднегодовой численности населения в трудоспособном возрасте до 164,50 тыс. человек (снижение составило 1,1% к уровню 2019 года). При этом в прогнозном периоде меры, принимаемые в целях привлечения высококвалифицированных кадров из других регионов, недопущения оттока молодых специалистов, а также в целях </w:t>
      </w:r>
      <w:proofErr w:type="gramStart"/>
      <w:r w:rsidRPr="00E81FA7">
        <w:rPr>
          <w:rFonts w:eastAsia="Times New Roman"/>
          <w:bCs/>
          <w:szCs w:val="28"/>
          <w:lang w:eastAsia="ru-RU"/>
        </w:rPr>
        <w:t xml:space="preserve">повышения </w:t>
      </w:r>
      <w:r w:rsidRPr="00E81FA7">
        <w:rPr>
          <w:rFonts w:eastAsia="Times New Roman"/>
          <w:bCs/>
          <w:szCs w:val="28"/>
          <w:lang w:eastAsia="ru-RU"/>
        </w:rPr>
        <w:lastRenderedPageBreak/>
        <w:t>уровня жизни населения города</w:t>
      </w:r>
      <w:proofErr w:type="gramEnd"/>
      <w:r w:rsidRPr="00E81FA7">
        <w:rPr>
          <w:rFonts w:eastAsia="Times New Roman"/>
          <w:bCs/>
          <w:szCs w:val="28"/>
          <w:lang w:eastAsia="ru-RU"/>
        </w:rPr>
        <w:t xml:space="preserve"> приведет к снижению темпов сокращения численности населения в трудоспособном возрасте. Таким образом, в 2021 году среднегодовая численность населения в трудоспособном возрасте предположительно составит 162,56 тыс. человек, в 2026 году – 153,20 тыс. человек.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Более значительное снижение </w:t>
      </w:r>
      <w:proofErr w:type="gramStart"/>
      <w:r w:rsidRPr="00E81FA7">
        <w:rPr>
          <w:rFonts w:eastAsia="Times New Roman"/>
          <w:bCs/>
          <w:szCs w:val="28"/>
          <w:lang w:eastAsia="ru-RU"/>
        </w:rPr>
        <w:t>темпов сокращения численности населения города</w:t>
      </w:r>
      <w:proofErr w:type="gramEnd"/>
      <w:r w:rsidRPr="00E81FA7">
        <w:rPr>
          <w:rFonts w:eastAsia="Times New Roman"/>
          <w:bCs/>
          <w:szCs w:val="28"/>
          <w:lang w:eastAsia="ru-RU"/>
        </w:rPr>
        <w:t xml:space="preserve"> в трудоспособном возрасте представляется маловероятным в связи с ухудшением возрастной структуры населения.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Численность работников организаций (без субъектов малого предпринимательства) в 2020 году составила 88,2 тыс. человек, увеличившись к уровню 2019 года на 0,7%.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2021 году вследствие постепенного преодоления негативных последствий пандемии, роста инвестиционной активности на территории муниципального образования численность работников организаций предположительно возрастет до 88,48 тыс. человек (на 0,3% к уровню 2020 года).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В среднесрочной перспективе отрицательное влияние общее сокращение численности населения в трудоспособном возрасте будет сдерживать дальнейший рост числа работников организаций. Вместе с тем создание ТОР «Столица Арктики», реализация арктического пакета преференций и прогнозируемое повышение инвестиционной активности на территории региона позволяют ожидать, что в 2026 году численность работников организаций составит 89,81 тыс. человек.</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highlight w:val="yellow"/>
          <w:lang w:eastAsia="ru-RU"/>
        </w:rPr>
      </w:pPr>
      <w:r w:rsidRPr="00E81FA7">
        <w:rPr>
          <w:rFonts w:eastAsia="Times New Roman"/>
          <w:bCs/>
          <w:szCs w:val="28"/>
          <w:lang w:eastAsia="ru-RU"/>
        </w:rPr>
        <w:t xml:space="preserve">В 2020 году среднегодовая численность безработных, зарегистрированных в службах занятости населения, составила 3,72 тыс. человек, что больше показателя 2019 года в 2,4 раза. Уровень безработицы </w:t>
      </w:r>
      <w:r w:rsidRPr="00E81FA7">
        <w:rPr>
          <w:rFonts w:eastAsia="Times New Roman"/>
          <w:bCs/>
          <w:szCs w:val="28"/>
          <w:lang w:eastAsia="ru-RU"/>
        </w:rPr>
        <w:br/>
        <w:t xml:space="preserve">(к трудоспособному населению) увеличился на 1,26 процентных пунктов и составил 2,2%. Основной фактор, обусловивший рост уровня безработицы, -  многочисленные случаи сокращения работников вследствие приостановки деятельности коммерческих организаций в рамках ограничительных мер, введенных на территории Мурманской области в связи с угрозой распространения новой </w:t>
      </w:r>
      <w:proofErr w:type="spellStart"/>
      <w:r w:rsidRPr="00E81FA7">
        <w:rPr>
          <w:rFonts w:eastAsia="Times New Roman"/>
          <w:bCs/>
          <w:szCs w:val="28"/>
          <w:lang w:eastAsia="ru-RU"/>
        </w:rPr>
        <w:t>коронавирусной</w:t>
      </w:r>
      <w:proofErr w:type="spellEnd"/>
      <w:r w:rsidRPr="00E81FA7">
        <w:rPr>
          <w:rFonts w:eastAsia="Times New Roman"/>
          <w:bCs/>
          <w:szCs w:val="28"/>
          <w:lang w:eastAsia="ru-RU"/>
        </w:rPr>
        <w:t xml:space="preserve"> инфекции (COVID-19).</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связи с постепенным смягчением ограничительных мер  и благодаря мерам, принимаемым на региональном и муниципальном уровне для поддержки предпринимательства, ожидается, что в 2021 году уровень безработицы снизится до 1,9% к трудоспособному населению, при этом среднегодовая численность безработных, зарегистрированных в службах занятости населения, предположительно составит 3,32 тыс. человек.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bCs/>
          <w:szCs w:val="28"/>
          <w:lang w:eastAsia="ru-RU"/>
        </w:rPr>
        <w:t xml:space="preserve">В прогнозном периоде ожидается дальнейшее снижение уровня безработицы за счет стабилизации эпидемиологической обстановки, реализуемых мер поддержки бизнеса в период пандемии, увеличения потребности в рабочей силе, обусловленной реализацией крупных инвестиционных проектов (в том числе резидентами ТОР «Столица Арктики»), а также мероприятий государственной программы Мурманской области «Управление развитием регионального рынка труда» (далее – Программа </w:t>
      </w:r>
      <w:r w:rsidRPr="00E81FA7">
        <w:rPr>
          <w:rFonts w:eastAsia="Times New Roman"/>
          <w:bCs/>
          <w:szCs w:val="28"/>
          <w:lang w:eastAsia="ru-RU"/>
        </w:rPr>
        <w:lastRenderedPageBreak/>
        <w:t>развития рынка труда).</w:t>
      </w:r>
      <w:proofErr w:type="gramEnd"/>
      <w:r w:rsidRPr="00E81FA7">
        <w:rPr>
          <w:rFonts w:eastAsia="Times New Roman"/>
          <w:bCs/>
          <w:szCs w:val="28"/>
          <w:lang w:eastAsia="ru-RU"/>
        </w:rPr>
        <w:t xml:space="preserve"> Таким образом, ожидается, что уровень безработицы (к трудоспособному населению) в 2026 году составит 1,0%.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Более значительное снижение уровня безработицы представляется маловероятным в связи с влиянием на состояние рынка труда следующих факторов: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приток трудовых мигрантов;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увеличение числа работающих пенсионеров;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последствия реформы пенсионной системы Российской Федерации;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 постепенное снижение общей трудоемкости производственных процессов.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bCs/>
          <w:szCs w:val="28"/>
          <w:lang w:eastAsia="ru-RU"/>
        </w:rPr>
        <w:t>Программа развития рынка труда определяет приоритеты и основные направления развития рынка труда с учетом необходимости решения задач по достижению сбалансированности спроса и предложения рабочей силы, повышению ее конкурентоспособности, развитию профориентации и переподготовки кадров, привлечению дополнительных трудовых ресурсов за счет внешней трудовой миграции, а также соотечественников, проживающих за рубежом, в соответствии с потребностями экономики города и региона в целом.</w:t>
      </w:r>
      <w:proofErr w:type="gramEnd"/>
      <w:r w:rsidRPr="00E81FA7">
        <w:rPr>
          <w:rFonts w:eastAsia="Times New Roman"/>
          <w:bCs/>
          <w:szCs w:val="28"/>
          <w:lang w:eastAsia="ru-RU"/>
        </w:rPr>
        <w:t xml:space="preserve"> </w:t>
      </w:r>
      <w:proofErr w:type="gramStart"/>
      <w:r w:rsidRPr="00E81FA7">
        <w:rPr>
          <w:rFonts w:eastAsia="Times New Roman"/>
          <w:bCs/>
          <w:szCs w:val="28"/>
          <w:lang w:eastAsia="ru-RU"/>
        </w:rPr>
        <w:t>Таким образом, в соответствии с Программой развития рынка труда в прогнозном периоде продолжится реализация мероприятий по оказанию содействия в трудоустройстве и профессиональной реабилитации незанятых инвалидов, в том числе путем создания специально оборудованных (оснащенных) рабочих мест, по организации профессионального обучения и повышения квалификации женщин, находящихся в отпуске по уходу за ребенком до трех лет.</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В результате принимаемых мер уровень зарегистрированной безработицы к трудоспособному населению будет постепенно снижаться. В прогнозном периоде среднегодовая численность безработных, зарегистрированных в службе занятости населения, в 2026 году составит 2,1 тыс. человек.</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Размер среднемесячной заработной платы работников организаций города в 2020 году в номинальном выражении увеличился на 6,3% (в реальном выражении – на 1,54%) и составил 79 025 руб</w:t>
      </w:r>
      <w:r w:rsidR="007314E4">
        <w:rPr>
          <w:rFonts w:eastAsia="Times New Roman"/>
          <w:bCs/>
          <w:szCs w:val="28"/>
          <w:lang w:eastAsia="ru-RU"/>
        </w:rPr>
        <w:t>лей</w:t>
      </w:r>
      <w:r w:rsidRPr="00E81FA7">
        <w:rPr>
          <w:rFonts w:eastAsia="Times New Roman"/>
          <w:bCs/>
          <w:szCs w:val="28"/>
          <w:lang w:eastAsia="ru-RU"/>
        </w:rPr>
        <w:t xml:space="preserve">.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Рост среднемесячной начисленной заработной платы в реальном выражении отмечен в следующих отраслях: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производство компьютеров, электронных и оптических изделий (7,36%);</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строительство инженерных сооружений (1,4%);</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торговля розничная, кроме торговли автотранспортными средствами и мотоциклами (10,17%);</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деятельность по предоставлению продуктов питания и напитков (5,88%);</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производство кинофильмов, видеофильмов и телевизионных программ, издание звукозаписей и нот (9,84%);</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страхование, перестрахование, деятельность негосударственных пенсионных фондов, кроме обязательного социального обеспечения (2,90%);</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lastRenderedPageBreak/>
        <w:t>- деятельность в области архитектуры и инженерно-технического проектирования; технических испытаний, исследований и анализа (3,03%);</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деятельность рекламная и исследование конъюнктуры рынка (6,64%);</w:t>
      </w:r>
    </w:p>
    <w:p w:rsidR="00E81FA7" w:rsidRPr="00E81FA7" w:rsidRDefault="00E81FA7" w:rsidP="00BE423F">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highlight w:val="yellow"/>
          <w:lang w:eastAsia="ru-RU"/>
        </w:rPr>
      </w:pPr>
      <w:r w:rsidRPr="00E81FA7">
        <w:rPr>
          <w:rFonts w:eastAsia="Times New Roman"/>
          <w:kern w:val="32"/>
          <w:szCs w:val="28"/>
          <w:lang w:eastAsia="ru-RU"/>
        </w:rPr>
        <w:t>- деятельность творческая, деятельность в области искусства и организации развлечений (1,7%).</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С учетом итогов за первое полугодие 2021 года, а также с учетом негативных последствий пандемии ожидается, что в текущем году размер среднемесячной заработной платы увеличится в номинальном (</w:t>
      </w:r>
      <w:r w:rsidR="00BE423F">
        <w:rPr>
          <w:rFonts w:eastAsia="Times New Roman"/>
          <w:bCs/>
          <w:szCs w:val="28"/>
          <w:lang w:eastAsia="ru-RU"/>
        </w:rPr>
        <w:t>108,18</w:t>
      </w:r>
      <w:r w:rsidRPr="00E81FA7">
        <w:rPr>
          <w:rFonts w:eastAsia="Times New Roman"/>
          <w:bCs/>
          <w:szCs w:val="28"/>
          <w:lang w:eastAsia="ru-RU"/>
        </w:rPr>
        <w:t xml:space="preserve">% к </w:t>
      </w:r>
      <w:r w:rsidRPr="00E81FA7">
        <w:rPr>
          <w:rFonts w:eastAsia="Times New Roman"/>
          <w:bCs/>
          <w:szCs w:val="28"/>
          <w:lang w:eastAsia="ru-RU"/>
        </w:rPr>
        <w:br/>
        <w:t>2020 году) и незначительно увеличится в реальном выражении (</w:t>
      </w:r>
      <w:r w:rsidR="00BE423F">
        <w:rPr>
          <w:rFonts w:eastAsia="Times New Roman"/>
          <w:bCs/>
          <w:szCs w:val="28"/>
          <w:lang w:eastAsia="ru-RU"/>
        </w:rPr>
        <w:t>100,2</w:t>
      </w:r>
      <w:r w:rsidRPr="00E81FA7">
        <w:rPr>
          <w:rFonts w:eastAsia="Times New Roman"/>
          <w:bCs/>
          <w:szCs w:val="28"/>
          <w:lang w:eastAsia="ru-RU"/>
        </w:rPr>
        <w:t xml:space="preserve">% к 2020 году) и составит </w:t>
      </w:r>
      <w:r w:rsidR="00BE423F">
        <w:rPr>
          <w:rFonts w:eastAsia="Times New Roman"/>
          <w:bCs/>
          <w:szCs w:val="28"/>
          <w:lang w:eastAsia="ru-RU"/>
        </w:rPr>
        <w:t>85 490</w:t>
      </w:r>
      <w:r w:rsidRPr="00E81FA7">
        <w:rPr>
          <w:rFonts w:eastAsia="Times New Roman"/>
          <w:bCs/>
          <w:szCs w:val="28"/>
          <w:lang w:eastAsia="ru-RU"/>
        </w:rPr>
        <w:t xml:space="preserve"> рублей в номинальном выражении.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прогнозном периоде с учетом действующих мер прогнозируется дальнейший рост среднемесячной заработной платы. Ожидается, что в </w:t>
      </w:r>
      <w:r w:rsidRPr="00E81FA7">
        <w:rPr>
          <w:rFonts w:eastAsia="Times New Roman"/>
          <w:bCs/>
          <w:szCs w:val="28"/>
          <w:lang w:eastAsia="ru-RU"/>
        </w:rPr>
        <w:br/>
        <w:t xml:space="preserve">2026 году номинальная среднемесячная заработная плата предположительно составит </w:t>
      </w:r>
      <w:r w:rsidR="00BE423F">
        <w:rPr>
          <w:rFonts w:eastAsia="Times New Roman"/>
          <w:bCs/>
          <w:szCs w:val="28"/>
          <w:lang w:eastAsia="ru-RU"/>
        </w:rPr>
        <w:t>108 041 рубль</w:t>
      </w:r>
      <w:r w:rsidRPr="00E81FA7">
        <w:rPr>
          <w:rFonts w:eastAsia="Times New Roman"/>
          <w:bCs/>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highlight w:val="yellow"/>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E81FA7">
        <w:rPr>
          <w:rFonts w:eastAsia="Times New Roman"/>
          <w:bCs/>
          <w:szCs w:val="28"/>
          <w:lang w:eastAsia="ru-RU"/>
        </w:rPr>
        <w:t>Развитие социальной сферы</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Одним из приоритетных направлений развития социальной сферы является повышение доступности качественного образования для всех категорий граждан, сохранение и укрепление здоровья обучающихся и воспитанников.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Система образования города Мурманска представлена дифференцированной сетью образовательных учреждений. По состоянию </w:t>
      </w:r>
      <w:proofErr w:type="gramStart"/>
      <w:r w:rsidRPr="00E81FA7">
        <w:rPr>
          <w:rFonts w:eastAsia="Times New Roman"/>
          <w:bCs/>
          <w:szCs w:val="28"/>
          <w:lang w:eastAsia="ru-RU"/>
        </w:rPr>
        <w:t>на конец</w:t>
      </w:r>
      <w:proofErr w:type="gramEnd"/>
      <w:r w:rsidRPr="00E81FA7">
        <w:rPr>
          <w:rFonts w:eastAsia="Times New Roman"/>
          <w:bCs/>
          <w:szCs w:val="28"/>
          <w:lang w:eastAsia="ru-RU"/>
        </w:rPr>
        <w:t xml:space="preserve"> 2020 года в городе Мурманске функционировало 141 муниципальное образовательное учреждение и учреждение образования, в том числе:</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- 49 общеобразовательных учреждений, из них: 27 средних общеобразовательных школ (с 01.07.2020 приостановлена образовательная деятельность МБОУ города Мурманска «СОШ № 1»), пять основных общеобразовательных школ, девять гимназий, четыре лицея, четыре прогимназии;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- 68 дошкольных образовательных учреждений (МАДОУ г. Мурманска </w:t>
      </w:r>
      <w:r w:rsidRPr="00E81FA7">
        <w:rPr>
          <w:rFonts w:eastAsia="Times New Roman"/>
          <w:bCs/>
          <w:szCs w:val="28"/>
          <w:lang w:eastAsia="ru-RU"/>
        </w:rPr>
        <w:br/>
        <w:t>№ 110 реорганизовано в форме присоединения к нему МАДОУ г. Мурманска № 21, МБДОУ № 38 г. Мурманска реорганизовано в форме присоединения к нему МБДОУ г. Мурманска № 46);</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- 19 учреждений дополнительного образования, в том числе: 11 детско-юношеских спортивных школ,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w:t>
      </w:r>
      <w:proofErr w:type="spellStart"/>
      <w:r w:rsidRPr="00E81FA7">
        <w:rPr>
          <w:rFonts w:eastAsia="Times New Roman"/>
          <w:bCs/>
          <w:szCs w:val="28"/>
          <w:lang w:eastAsia="ru-RU"/>
        </w:rPr>
        <w:t>ПрофСтарт</w:t>
      </w:r>
      <w:proofErr w:type="spellEnd"/>
      <w:r w:rsidRPr="00E81FA7">
        <w:rPr>
          <w:rFonts w:eastAsia="Times New Roman"/>
          <w:bCs/>
          <w:szCs w:val="28"/>
          <w:lang w:eastAsia="ru-RU"/>
        </w:rPr>
        <w:t xml:space="preserve">», муниципальное бюджетное учреждение дополнительного образования г. Мурманска «Центр психолого-педагогической, медицинской и социальной помощи»;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муниципальное бюджетное учреждение дополнительного профессионального образования г. Мурманска «Городской информационно-методический центр работников образования»;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 четыре прочих учреждения образования, обеспечивающих </w:t>
      </w:r>
      <w:r w:rsidRPr="00E81FA7">
        <w:rPr>
          <w:rFonts w:eastAsia="Times New Roman"/>
          <w:bCs/>
          <w:szCs w:val="28"/>
          <w:lang w:eastAsia="ru-RU"/>
        </w:rPr>
        <w:lastRenderedPageBreak/>
        <w:t>предоставление услуг (выполнение работ) в сфере образования.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В 2020 году в муниципальных ДОУ услугу дошкольного образования получали 16 670 человек.</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связи с отрицательными демографическими тенденциями (сокращением численности женщин репродуктивного возраста, уменьшением числа родившихся) ожидается некоторое уменьшение численности воспитанников дошкольных образовательных учреждений в среднесрочной перспективе - до 15 453 человек в 2026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городе Мурманске полностью решена проблема предоставления мест в муниципальные дошкольные образовательные учреждения детям в возрасте от трех до семи лет.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szCs w:val="28"/>
          <w:lang w:eastAsia="ru-RU"/>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в </w:t>
      </w:r>
      <w:proofErr w:type="gramStart"/>
      <w:r w:rsidRPr="00E81FA7">
        <w:rPr>
          <w:rFonts w:eastAsia="Times New Roman"/>
          <w:szCs w:val="28"/>
          <w:lang w:eastAsia="ru-RU"/>
        </w:rPr>
        <w:t>муниципальных</w:t>
      </w:r>
      <w:proofErr w:type="gramEnd"/>
      <w:r w:rsidRPr="00E81FA7">
        <w:rPr>
          <w:rFonts w:eastAsia="Times New Roman"/>
          <w:szCs w:val="28"/>
          <w:lang w:eastAsia="ru-RU"/>
        </w:rPr>
        <w:t xml:space="preserve"> ДОУ функционируют: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szCs w:val="28"/>
          <w:lang w:eastAsia="ru-RU"/>
        </w:rPr>
        <w:t xml:space="preserve">- центры игровой поддержки ребенка в количестве 22 ед.;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szCs w:val="28"/>
          <w:lang w:eastAsia="ru-RU"/>
        </w:rPr>
        <w:t xml:space="preserve">- консультативные пункты в девяти ДОУ.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szCs w:val="28"/>
          <w:lang w:eastAsia="ru-RU"/>
        </w:rPr>
        <w:t xml:space="preserve">В центрах игровой поддержки ребенка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szCs w:val="28"/>
          <w:lang w:eastAsia="ru-RU"/>
        </w:rPr>
        <w:t>Также в ДОУ функционируют 35 логопедических пунктов, в которых по адаптированной программе обучались более 800 детей.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bCs/>
          <w:szCs w:val="28"/>
          <w:lang w:eastAsia="ru-RU"/>
        </w:rPr>
        <w:t>В целях повышения обеспеченности населения города Мурманска местами в дошкольных образовательных учреждениях практически ежегодно проводятся мероприятия по созданию дополнительных мест в муниципальных ДОУ.</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E81FA7">
        <w:rPr>
          <w:rFonts w:eastAsia="Times New Roman"/>
          <w:bCs/>
          <w:szCs w:val="28"/>
          <w:lang w:eastAsia="ru-RU"/>
        </w:rPr>
        <w:t xml:space="preserve">В частности, в 2021 году планируется ввод в эксплуатацию детского сада на 80 мест в районе ул. Капитана </w:t>
      </w:r>
      <w:proofErr w:type="spellStart"/>
      <w:r w:rsidRPr="00E81FA7">
        <w:rPr>
          <w:rFonts w:eastAsia="Times New Roman"/>
          <w:bCs/>
          <w:szCs w:val="28"/>
          <w:lang w:eastAsia="ru-RU"/>
        </w:rPr>
        <w:t>Орликовой</w:t>
      </w:r>
      <w:proofErr w:type="spellEnd"/>
      <w:r w:rsidRPr="00E81FA7">
        <w:rPr>
          <w:rFonts w:eastAsia="Times New Roman"/>
          <w:bCs/>
          <w:szCs w:val="28"/>
          <w:lang w:eastAsia="ru-RU"/>
        </w:rPr>
        <w:t xml:space="preserve"> и на 196 мест в районе </w:t>
      </w:r>
      <w:r w:rsidRPr="00E81FA7">
        <w:rPr>
          <w:rFonts w:eastAsia="Times New Roman"/>
          <w:bCs/>
          <w:szCs w:val="28"/>
          <w:lang w:eastAsia="ru-RU"/>
        </w:rPr>
        <w:br/>
        <w:t xml:space="preserve">ул. Достоевского в рамках регионального проекта «Содействие занятости женщин – создание условий дошкольного образования для детей в возрасте до трех лет» (национальный проект «Демография»).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Ожидается, что в результате принимаемых мер количество мест в муниципальных дошкольных образовательных учреждениях увеличится с </w:t>
      </w:r>
      <w:r w:rsidRPr="00E81FA7">
        <w:rPr>
          <w:rFonts w:eastAsia="Times New Roman"/>
          <w:bCs/>
          <w:szCs w:val="28"/>
          <w:lang w:eastAsia="ru-RU"/>
        </w:rPr>
        <w:br/>
        <w:t xml:space="preserve">15 290 мест в 2020 году до 15 566 мест в 2026 году. В результате этого обеспеченность населения местами в дошкольных образовательных учреждениях возрастет с 78,79 мест на 100 детей дошкольного возраста в </w:t>
      </w:r>
      <w:r w:rsidRPr="00E81FA7">
        <w:rPr>
          <w:rFonts w:eastAsia="Times New Roman"/>
          <w:bCs/>
          <w:szCs w:val="28"/>
          <w:lang w:eastAsia="ru-RU"/>
        </w:rPr>
        <w:br/>
        <w:t xml:space="preserve">2020 году до 81,78 мест на 100 детей дошкольного возраста в 2026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Система общего образования города Мурманска представлена </w:t>
      </w:r>
      <w:r w:rsidRPr="00E81FA7">
        <w:rPr>
          <w:rFonts w:eastAsia="Times New Roman"/>
          <w:bCs/>
          <w:szCs w:val="28"/>
          <w:lang w:eastAsia="ru-RU"/>
        </w:rPr>
        <w:br/>
        <w:t xml:space="preserve">49 учреждениями, в том числе 27 средними общеобразовательными школами, пятью основными общеобразовательными школами, девятью гимназиями, четырьмя лицеями, четырьмя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w:t>
      </w:r>
      <w:proofErr w:type="gramStart"/>
      <w:r w:rsidRPr="00E81FA7">
        <w:rPr>
          <w:rFonts w:eastAsia="Times New Roman"/>
          <w:bCs/>
          <w:szCs w:val="28"/>
          <w:lang w:eastAsia="ru-RU"/>
        </w:rPr>
        <w:t>обучающимися</w:t>
      </w:r>
      <w:proofErr w:type="gramEnd"/>
      <w:r w:rsidRPr="00E81FA7">
        <w:rPr>
          <w:rFonts w:eastAsia="Times New Roman"/>
          <w:bCs/>
          <w:szCs w:val="28"/>
          <w:lang w:eastAsia="ru-RU"/>
        </w:rPr>
        <w:t xml:space="preserve"> общеобразовательных программ основного общего </w:t>
      </w:r>
      <w:r w:rsidRPr="00E81FA7">
        <w:rPr>
          <w:rFonts w:eastAsia="Times New Roman"/>
          <w:bCs/>
          <w:szCs w:val="28"/>
          <w:lang w:eastAsia="ru-RU"/>
        </w:rPr>
        <w:lastRenderedPageBreak/>
        <w:t>образования, условия для воспитания и формирования личности обучающегося, для развития его способности к социальному самоопределению.</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2020 году средняя численность обучающихся муниципальных общеобразовательных учреждений составила 30 201 человек (100,1% к уровню 2019 года).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Федеральный государственный образовательный стандарт реализован на всем уровне начального общего образования, осуществляется поэтапный переход на ФГОС основного общего образования.</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С учетом данных ведомственной статистики за первое полугодие </w:t>
      </w:r>
      <w:r w:rsidRPr="00E81FA7">
        <w:rPr>
          <w:rFonts w:eastAsia="Times New Roman"/>
          <w:bCs/>
          <w:szCs w:val="28"/>
          <w:lang w:eastAsia="ru-RU"/>
        </w:rPr>
        <w:br/>
        <w:t>2021 года ожидается, что в 2021 году общее количество обучающихся общеобразовательных учреждений составит 30 999 человек (в том числе муниципальных – 30 584 человек). В прогнозном периоде в связи с сокращением численности населения города Мурманска ожидается незначительное сокращение численности обучающихся – до 30 430 человек в 2026 году (в базовом варианте прогноза).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При этом достаточно высокой остается доля обучающихся в государственных (муниципальных) общеобразовательных организациях, занимающихся в одну смену, в общей </w:t>
      </w:r>
      <w:proofErr w:type="gramStart"/>
      <w:r w:rsidRPr="00E81FA7">
        <w:rPr>
          <w:rFonts w:eastAsia="Times New Roman"/>
          <w:bCs/>
          <w:szCs w:val="28"/>
          <w:lang w:eastAsia="ru-RU"/>
        </w:rPr>
        <w:t>численности</w:t>
      </w:r>
      <w:proofErr w:type="gramEnd"/>
      <w:r w:rsidRPr="00E81FA7">
        <w:rPr>
          <w:rFonts w:eastAsia="Times New Roman"/>
          <w:bCs/>
          <w:szCs w:val="28"/>
          <w:lang w:eastAsia="ru-RU"/>
        </w:rPr>
        <w:t xml:space="preserve"> обучающихся в государственных (муниципальных) общеобразовательных организациях. Так в 2020 году данный показатель составил 97,4%. В прогнозном периоде ожидается, что в одну смену будут заниматься 98% обучающихся общеобразовательных учреждений.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Численность обучающихся по программам среднего профессионального образования в 2020 году составила 10 499 человек, увеличившись к уровню предыдущего года на 450 человек. В прогнозном периоде ожидается, что значение показателя сохранится на том же уровне и составит 10 499 человек в 2026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Численность обучающихся по программам высшего образования в 2020 году сократилась на 575 человек по сравнению с 2019 годом и составила 5 299 человек. В прогнозном периоде за счет миграционного оттока молодежи соответствующей возрастной категории ожидается сокращение количества студентов, обучающихся по программам высшего профессионального образования, до 4 191 человек в 2026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2020 году в городе Мурманске функционировало 33 общедоступных (публичных) библиотеки, в том числе: три областные библиотеки, две муниципальные центральные библиотеки с 30 филиалами, из которых 12 – детских. В 2021 году количество библиотек уменьшилось на 1 ед. (в связи с прекращением деятельности информационного </w:t>
      </w:r>
      <w:proofErr w:type="gramStart"/>
      <w:r w:rsidRPr="00E81FA7">
        <w:rPr>
          <w:rFonts w:eastAsia="Times New Roman"/>
          <w:bCs/>
          <w:szCs w:val="28"/>
          <w:lang w:eastAsia="ru-RU"/>
        </w:rPr>
        <w:t>интеллект-центра</w:t>
      </w:r>
      <w:proofErr w:type="gramEnd"/>
      <w:r w:rsidRPr="00E81FA7">
        <w:rPr>
          <w:rFonts w:eastAsia="Times New Roman"/>
          <w:bCs/>
          <w:szCs w:val="28"/>
          <w:lang w:eastAsia="ru-RU"/>
        </w:rPr>
        <w:t xml:space="preserve"> № 10 МБУК «ЦГБ г. Мурманска»).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17 информационных </w:t>
      </w:r>
      <w:proofErr w:type="gramStart"/>
      <w:r w:rsidRPr="00E81FA7">
        <w:rPr>
          <w:rFonts w:eastAsia="Times New Roman"/>
          <w:bCs/>
          <w:szCs w:val="28"/>
          <w:lang w:eastAsia="ru-RU"/>
        </w:rPr>
        <w:t>интеллект-центров</w:t>
      </w:r>
      <w:proofErr w:type="gramEnd"/>
      <w:r w:rsidRPr="00E81FA7">
        <w:rPr>
          <w:rFonts w:eastAsia="Times New Roman"/>
          <w:bCs/>
          <w:szCs w:val="28"/>
          <w:lang w:eastAsia="ru-RU"/>
        </w:rPr>
        <w:t xml:space="preserve">, обеспечивающих доступ различных категорий граждан к литературе и </w:t>
      </w:r>
      <w:r w:rsidRPr="00E81FA7">
        <w:rPr>
          <w:rFonts w:eastAsia="Times New Roman"/>
          <w:bCs/>
          <w:szCs w:val="28"/>
          <w:lang w:eastAsia="ru-RU"/>
        </w:rPr>
        <w:lastRenderedPageBreak/>
        <w:t>информации в сети Интернет.</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В рамках национального проекта «Культура» в 2019-2020 годах на базе МБУК «Центральная детская библиотека города Мурманска» и МБУК «Центральная городская библиотека г. Мурманска» открыты три модельные библиотеки.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bCs/>
          <w:szCs w:val="28"/>
          <w:lang w:eastAsia="ru-RU"/>
        </w:rPr>
        <w:t xml:space="preserve">В 2020 году обеспеченность общедоступными библиотеками в расчете на 100 тыс. человек населения увеличилась на 1,7% и составила 11,56 ед. В </w:t>
      </w:r>
      <w:r w:rsidRPr="00E81FA7">
        <w:rPr>
          <w:rFonts w:eastAsia="Times New Roman"/>
          <w:bCs/>
          <w:szCs w:val="28"/>
          <w:lang w:eastAsia="ru-RU"/>
        </w:rPr>
        <w:br/>
        <w:t xml:space="preserve">2021 году данный показатель предположительно составит 11,4 ед. Ввиду сокращения численности населения города Мурманска в прогнозном периоде ожидается увеличение значения показателя обеспеченности общедоступными библиотеками до 12,1 ед. на 100 тыс. населения в 2026 году. </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bCs/>
          <w:szCs w:val="28"/>
          <w:lang w:eastAsia="ru-RU"/>
        </w:rPr>
        <w:t>В 2020 году в городе Мурманске осуществляли деятельность пять учреждений культурно-досугового типа, в том числе одно областное учреждение (ГОАУК «Мурманский областной Дворец культуры и народного творчества им. С.М. Кирова») и четыре муниципальных учреждения (МБУК «Дом культуры «Первомайский» г. Мурманска», МАУК «Дом культуры Ленинского округа г. Мурманска», МБУК «Центр досуга и семейного творчества», МБУК «Дворец культуры Судоремонтник» города Мурманска).</w:t>
      </w:r>
      <w:proofErr w:type="gramEnd"/>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Показатель обеспеченности населения учреждениями культурно-досугового типа в 2020 году практически не изменился и составил 3,65 ед. на 100 тыс. населения против 3,61 ед. в 2019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2021 году с учетом </w:t>
      </w:r>
      <w:proofErr w:type="gramStart"/>
      <w:r w:rsidRPr="00E81FA7">
        <w:rPr>
          <w:rFonts w:eastAsia="Times New Roman"/>
          <w:bCs/>
          <w:szCs w:val="28"/>
          <w:lang w:eastAsia="ru-RU"/>
        </w:rPr>
        <w:t>уменьшения численности населения города Мурманска</w:t>
      </w:r>
      <w:proofErr w:type="gramEnd"/>
      <w:r w:rsidRPr="00E81FA7">
        <w:rPr>
          <w:rFonts w:eastAsia="Times New Roman"/>
          <w:bCs/>
          <w:szCs w:val="28"/>
          <w:lang w:eastAsia="ru-RU"/>
        </w:rPr>
        <w:t xml:space="preserve"> обеспеченность учреждениями культурно-досугового типа предположительно составит 3,69 ед. на 100 тыс. населения, а в прогнозном периоде значение данного показателя увеличится до 3,92 ед. на 100 тыс. населения в 2026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bCs/>
          <w:szCs w:val="28"/>
          <w:lang w:eastAsia="ru-RU"/>
        </w:rPr>
        <w:t xml:space="preserve">В сфере физической культуры и спорта в результате проводимых в городе Мурманске официальных физкультурных и спортивных мероприятий (порядка 211 мероприятий в год, в 2020 году количество мероприятий сократилось до 60 ед. в связи с ограничениями, связанными с распространением новой </w:t>
      </w:r>
      <w:proofErr w:type="spellStart"/>
      <w:r w:rsidRPr="00E81FA7">
        <w:rPr>
          <w:rFonts w:eastAsia="Times New Roman"/>
          <w:bCs/>
          <w:szCs w:val="28"/>
          <w:lang w:eastAsia="ru-RU"/>
        </w:rPr>
        <w:t>коронавирусной</w:t>
      </w:r>
      <w:proofErr w:type="spellEnd"/>
      <w:r w:rsidRPr="00E81FA7">
        <w:rPr>
          <w:rFonts w:eastAsia="Times New Roman"/>
          <w:bCs/>
          <w:szCs w:val="28"/>
          <w:lang w:eastAsia="ru-RU"/>
        </w:rPr>
        <w:t xml:space="preserve"> инфекции), активной пропаганды спорта в СМИ численность населения, систематически занимающегося физической культурой и спортом, увеличилась в 2020 году до 133</w:t>
      </w:r>
      <w:proofErr w:type="gramEnd"/>
      <w:r w:rsidRPr="00E81FA7">
        <w:rPr>
          <w:rFonts w:eastAsia="Times New Roman"/>
          <w:bCs/>
          <w:szCs w:val="28"/>
          <w:lang w:eastAsia="ru-RU"/>
        </w:rPr>
        <w:t xml:space="preserve"> 462 человек (101,1% к 2019 году). При этом удельный вес населения, систематически занимающегося физической культурой и спортом, увеличился на 0,8 процентных пункта по сравнению с уровнем 2019 года и составил 48,7%.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w:t>
      </w:r>
      <w:r w:rsidRPr="00E81FA7">
        <w:rPr>
          <w:rFonts w:eastAsia="Times New Roman"/>
          <w:bCs/>
          <w:szCs w:val="28"/>
          <w:lang w:eastAsia="ru-RU"/>
        </w:rPr>
        <w:br/>
        <w:t>МАУ ГСЦ «Авангард».</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С учетом данных ведомственной статистики за первое полугодие в </w:t>
      </w:r>
      <w:r w:rsidRPr="00E81FA7">
        <w:rPr>
          <w:rFonts w:eastAsia="Times New Roman"/>
          <w:bCs/>
          <w:szCs w:val="28"/>
          <w:lang w:eastAsia="ru-RU"/>
        </w:rPr>
        <w:br/>
        <w:t xml:space="preserve">2021 году ожидается увеличение удельного веса населения, систематически занимающегося физической культурой и спортом, до 50%. Рост данного показателя в текущем году сдерживается приостановкой деятельности спортивных учреждений в соответствии с ограничительными мерами, введенными в связи с распространением новой </w:t>
      </w:r>
      <w:proofErr w:type="spellStart"/>
      <w:r w:rsidRPr="00E81FA7">
        <w:rPr>
          <w:rFonts w:eastAsia="Times New Roman"/>
          <w:bCs/>
          <w:szCs w:val="28"/>
          <w:lang w:eastAsia="ru-RU"/>
        </w:rPr>
        <w:t>коронавирусной</w:t>
      </w:r>
      <w:proofErr w:type="spellEnd"/>
      <w:r w:rsidRPr="00E81FA7">
        <w:rPr>
          <w:rFonts w:eastAsia="Times New Roman"/>
          <w:bCs/>
          <w:szCs w:val="28"/>
          <w:lang w:eastAsia="ru-RU"/>
        </w:rPr>
        <w:t xml:space="preserve"> инфекции </w:t>
      </w:r>
      <w:r w:rsidRPr="00E81FA7">
        <w:rPr>
          <w:rFonts w:eastAsia="Times New Roman"/>
          <w:bCs/>
          <w:szCs w:val="28"/>
          <w:lang w:eastAsia="ru-RU"/>
        </w:rPr>
        <w:lastRenderedPageBreak/>
        <w:t>(</w:t>
      </w:r>
      <w:r w:rsidRPr="00E81FA7">
        <w:rPr>
          <w:rFonts w:eastAsia="Times New Roman"/>
          <w:bCs/>
          <w:szCs w:val="28"/>
          <w:lang w:val="en-US" w:eastAsia="ru-RU"/>
        </w:rPr>
        <w:t>COVID</w:t>
      </w:r>
      <w:r w:rsidRPr="00E81FA7">
        <w:rPr>
          <w:rFonts w:eastAsia="Times New Roman"/>
          <w:bCs/>
          <w:szCs w:val="28"/>
          <w:lang w:eastAsia="ru-RU"/>
        </w:rPr>
        <w:t xml:space="preserve">-19).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Вместе с тем реализуемые меры по развитию материально-технической базы спорта города Мурманска, а также по пропаганде здорового образа жизни среди </w:t>
      </w:r>
      <w:proofErr w:type="spellStart"/>
      <w:r w:rsidRPr="00E81FA7">
        <w:rPr>
          <w:rFonts w:eastAsia="Times New Roman"/>
          <w:bCs/>
          <w:szCs w:val="28"/>
          <w:lang w:eastAsia="ru-RU"/>
        </w:rPr>
        <w:t>мурманчан</w:t>
      </w:r>
      <w:proofErr w:type="spellEnd"/>
      <w:r w:rsidRPr="00E81FA7">
        <w:rPr>
          <w:rFonts w:eastAsia="Times New Roman"/>
          <w:bCs/>
          <w:szCs w:val="28"/>
          <w:lang w:eastAsia="ru-RU"/>
        </w:rPr>
        <w:t xml:space="preserve"> позволяют ожидать сохранения тенденции роста данного показателя в среднесрочной перспективе. В 2026 году его значение предположительно составит 59%.</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целях создания условий для обеспечения населения комфортным жильем в городе реализуется подпрограмма «Поддержка и стимулирование строительства на территории муниципального образования город Мурманск» на 2018-2024 годы муниципальной программы города Мурманска «Градостроительная политика» на 2018-2024 годы. В рамках программы реализуются следующие мероприятия: формирование (образование) земельных участков для предоставления под строительство, в том числе для предоставления на безвозмездной основе многодетным семьям; проведение работ по обеспечению таких земельных участков объектами коммунальной инфраструктуры. Так в 2020 году сформировано 252 </w:t>
      </w:r>
      <w:proofErr w:type="gramStart"/>
      <w:r w:rsidRPr="00E81FA7">
        <w:rPr>
          <w:rFonts w:eastAsia="Times New Roman"/>
          <w:bCs/>
          <w:szCs w:val="28"/>
          <w:lang w:eastAsia="ru-RU"/>
        </w:rPr>
        <w:t>земельных</w:t>
      </w:r>
      <w:proofErr w:type="gramEnd"/>
      <w:r w:rsidRPr="00E81FA7">
        <w:rPr>
          <w:rFonts w:eastAsia="Times New Roman"/>
          <w:bCs/>
          <w:szCs w:val="28"/>
          <w:lang w:eastAsia="ru-RU"/>
        </w:rPr>
        <w:t xml:space="preserve"> участка для предоставления под строительство.</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2020 году в эксплуатацию введено 5,62 тыс.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жилых помещений. Ожидается, что в текущем году в эксплуатацию будет введено порядка 3,01 тыс.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жилых помещений. Предполагается, что в прогнозном периоде за счет планируемой реализации мероприятий по реновации  микрорайона Больничный городок объем ежегодно вводимого в эксплуатацию жилья будет увеличиваться и составит 6,61 тыс.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в 2026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Средняя обеспеченность населения площадью жилых квартир в 2020 году увеличилась по сравнению с 2019 годом на 8,2% и составила 26,5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на одного жителя. С учетом планируемых объемов ввода жилья, в том числе в рамках переселения граждан из аварийного жилищного фонда, а также сноса расселенных аварийных многоквартирных домов в текущем году, ожидается, что в 2021 году средняя обеспеченность населения площадью жилых квартир незначительно сократится и составит 26,1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на человека.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прогнозном периоде ожидается увеличение темпов роста объемов жилищного строительства. В сочетании с тенденцией сокращения численности населения это обусловит увеличение обеспеченности населения площадью жилых квартир до 28,26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на одного жителя к 2026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На реализацию мер по сокращению площади аварийного жилого фонда направлена реализация муниципальной программы города Мурманска «Управление имуществом и жилищная политика» на 2018-2024 годы.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рамках указанной муниципальной программы в 2020 году расселено 289 человек с высвобождением 118 жилых помещений в аварийных домах общей площадью 4 767,4 </w:t>
      </w:r>
      <w:proofErr w:type="spellStart"/>
      <w:r w:rsidRPr="00E81FA7">
        <w:rPr>
          <w:rFonts w:eastAsia="Times New Roman"/>
          <w:bCs/>
          <w:szCs w:val="28"/>
          <w:lang w:eastAsia="ru-RU"/>
        </w:rPr>
        <w:t>кв.м</w:t>
      </w:r>
      <w:proofErr w:type="spellEnd"/>
      <w:r w:rsidRPr="00E81FA7">
        <w:rPr>
          <w:rFonts w:eastAsia="Times New Roman"/>
          <w:bCs/>
          <w:szCs w:val="28"/>
          <w:lang w:eastAsia="ru-RU"/>
        </w:rPr>
        <w:t>.</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В 2020 году, несмотря на реализуемые в рамках указанной муниципальной программы мероприятия, общая площадь аварийного жилищного фонда незначительно увеличилась на 4,04% по сравнению с 2019 </w:t>
      </w:r>
      <w:r w:rsidRPr="00E81FA7">
        <w:rPr>
          <w:rFonts w:eastAsia="Times New Roman"/>
          <w:bCs/>
          <w:szCs w:val="28"/>
          <w:lang w:eastAsia="ru-RU"/>
        </w:rPr>
        <w:lastRenderedPageBreak/>
        <w:t xml:space="preserve">годом: значение показателя составило 126 024,5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или 1,79% от общей площади жилого фонда (против 1,72% в 2019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Ожидается, что к концу текущего года общая площадь аварийного жилищного фонда увеличится до 128 338,6 </w:t>
      </w:r>
      <w:proofErr w:type="spellStart"/>
      <w:r w:rsidRPr="00E81FA7">
        <w:rPr>
          <w:rFonts w:eastAsia="Times New Roman"/>
          <w:bCs/>
          <w:szCs w:val="28"/>
          <w:lang w:eastAsia="ru-RU"/>
        </w:rPr>
        <w:t>кв</w:t>
      </w:r>
      <w:proofErr w:type="gramStart"/>
      <w:r w:rsidRPr="00E81FA7">
        <w:rPr>
          <w:rFonts w:eastAsia="Times New Roman"/>
          <w:bCs/>
          <w:szCs w:val="28"/>
          <w:lang w:eastAsia="ru-RU"/>
        </w:rPr>
        <w:t>.м</w:t>
      </w:r>
      <w:proofErr w:type="spellEnd"/>
      <w:proofErr w:type="gramEnd"/>
      <w:r w:rsidRPr="00E81FA7">
        <w:rPr>
          <w:rFonts w:eastAsia="Times New Roman"/>
          <w:bCs/>
          <w:szCs w:val="28"/>
          <w:lang w:eastAsia="ru-RU"/>
        </w:rPr>
        <w:t xml:space="preserve"> (до 1,87% от общей площади жилого фонда). В прогнозном периоде доля площади аварийного жилищного фонда в общей площади жилого фонда предположительно незначительно увеличится до 1,82% к 2026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 xml:space="preserve">Уровень собираемости платежей за жилье и коммунальные услуги в </w:t>
      </w:r>
      <w:r w:rsidRPr="00E81FA7">
        <w:rPr>
          <w:rFonts w:eastAsia="Times New Roman"/>
          <w:bCs/>
          <w:szCs w:val="28"/>
          <w:lang w:eastAsia="ru-RU"/>
        </w:rPr>
        <w:br/>
        <w:t>2020 году составил 91,3%. Данные ведомственной статистики о фактическом возмещении населением затрат за предоставленные жилищно-коммунальные услуги в первом полугодии 2021 года позволяют предположить, что в текущем году уровень собираемости платежей незначительно возрастет до 95%.</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bCs/>
          <w:szCs w:val="28"/>
          <w:lang w:eastAsia="ru-RU"/>
        </w:rPr>
        <w:t>В прогнозном периоде на фоне прогнозируемого роста реальных располагаемых доходов населения ожидается, что уровень собираемости платежей за жилищно-коммунальные услуги продолжит расти и составит 95,2% в 2026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E81FA7">
        <w:rPr>
          <w:rFonts w:eastAsia="Times New Roman"/>
          <w:bCs/>
          <w:szCs w:val="28"/>
          <w:lang w:eastAsia="ru-RU"/>
        </w:rPr>
        <w:t>Доходы бюджета</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Бюджет муниципального образования город Мурманск (далее – бюджет города Мурманска) по налоговым и неналоговым доходам за 2020 год исполнен в сумме 8 917 875,2 тыс. руб</w:t>
      </w:r>
      <w:r w:rsidR="007314E4">
        <w:rPr>
          <w:rFonts w:eastAsia="Times New Roman"/>
          <w:kern w:val="32"/>
          <w:szCs w:val="28"/>
          <w:lang w:eastAsia="ru-RU"/>
        </w:rPr>
        <w:t>лей</w:t>
      </w:r>
      <w:r w:rsidRPr="00E81FA7">
        <w:rPr>
          <w:rFonts w:eastAsia="Times New Roman"/>
          <w:kern w:val="32"/>
          <w:szCs w:val="28"/>
          <w:lang w:eastAsia="ru-RU"/>
        </w:rPr>
        <w:t>, что по сравнению с 2019 годом ниже на 201 542,1 тыс. руб</w:t>
      </w:r>
      <w:r w:rsidR="007314E4">
        <w:rPr>
          <w:rFonts w:eastAsia="Times New Roman"/>
          <w:kern w:val="32"/>
          <w:szCs w:val="28"/>
          <w:lang w:eastAsia="ru-RU"/>
        </w:rPr>
        <w:t>лей</w:t>
      </w:r>
      <w:r w:rsidRPr="00E81FA7">
        <w:rPr>
          <w:rFonts w:eastAsia="Times New Roman"/>
          <w:kern w:val="32"/>
          <w:szCs w:val="28"/>
          <w:lang w:eastAsia="ru-RU"/>
        </w:rPr>
        <w:t>, или на 2,2 %.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xml:space="preserve">Основные причины снижения поступлений в 2020 году: </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kern w:val="32"/>
          <w:szCs w:val="28"/>
          <w:lang w:eastAsia="ru-RU"/>
        </w:rPr>
        <w:t>- уменьшение с 01.01.2020 налоговой ставки по упрощенной системе налогообложения по объекту налогообложения «Доходы» с 6 % до 1 %, по объекту «Доходы-расходы» - c 15% до 5%, а также в связи с предоставлением отсрочки уплаты налога в соответствии с Постановлением Правительства Российской Федерации от 02.04.2020 № 409 «О мерах по обеспечению устойчивого развития экономики» и отмены платежей по налогу в соответствии с Федеральным законом</w:t>
      </w:r>
      <w:proofErr w:type="gramEnd"/>
      <w:r w:rsidRPr="00E81FA7">
        <w:rPr>
          <w:rFonts w:eastAsia="Times New Roman"/>
          <w:kern w:val="32"/>
          <w:szCs w:val="28"/>
          <w:lang w:eastAsia="ru-RU"/>
        </w:rPr>
        <w:t xml:space="preserve"> от 08.06.2020 № 172-ФЗ «О внесении изменений в часть вторую Налогового кодекса Российской Федерации»;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уменьшение налоговой базы по единому сельскохозяйственному налогу на величину расходов (строительство рыболовных судов тремя крупными налогоплательщиками), а также снижение объема вылова краба и зачет переплаты данного налога на налог на добавленную стоимость;</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осуществление возвратов земельного налога плательщикам в результате снижения кадастровой стоимости земельных участков;</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снижение поступлений в результате проведения перерасчетов размера арендной платы в отношении земельных участков, имеющих ограничение права на приобретение их в собственность;</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сокращение площадей муниципального имущества, сдаваемого в аренду;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lastRenderedPageBreak/>
        <w:t>- снижение спроса на муниципальные земельные участки.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Оценка поступлений налоговых и неналоговых доходов в 2021 году составляет 10 457 817,0 тыс. руб</w:t>
      </w:r>
      <w:r w:rsidR="00282F3F">
        <w:rPr>
          <w:rFonts w:eastAsia="Times New Roman"/>
          <w:kern w:val="32"/>
          <w:szCs w:val="28"/>
          <w:lang w:eastAsia="ru-RU"/>
        </w:rPr>
        <w:t>лей</w:t>
      </w:r>
      <w:r w:rsidRPr="00E81FA7">
        <w:rPr>
          <w:rFonts w:eastAsia="Times New Roman"/>
          <w:kern w:val="32"/>
          <w:szCs w:val="28"/>
          <w:lang w:eastAsia="ru-RU"/>
        </w:rPr>
        <w:t>, что по сравнению с исполнением за 2020 год выше на 1 539 941,8 тыс. руб</w:t>
      </w:r>
      <w:r w:rsidR="00282F3F">
        <w:rPr>
          <w:rFonts w:eastAsia="Times New Roman"/>
          <w:kern w:val="32"/>
          <w:szCs w:val="28"/>
          <w:lang w:eastAsia="ru-RU"/>
        </w:rPr>
        <w:t>лей</w:t>
      </w:r>
      <w:r w:rsidRPr="00E81FA7">
        <w:rPr>
          <w:rFonts w:eastAsia="Times New Roman"/>
          <w:kern w:val="32"/>
          <w:szCs w:val="28"/>
          <w:lang w:eastAsia="ru-RU"/>
        </w:rPr>
        <w:t xml:space="preserve"> или на 17,3%.</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Основные причины роста поступлений в 2021 году:</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увеличение поступлений налога на доходы физических лиц с доходов, которые превышают 5 миллионов рублей, и от источников за границей;</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xml:space="preserve">- увеличение поступлений единого сельскохозяйственного налога за счет улучшения результатов </w:t>
      </w:r>
      <w:proofErr w:type="spellStart"/>
      <w:r w:rsidRPr="00E81FA7">
        <w:rPr>
          <w:rFonts w:eastAsia="Times New Roman"/>
          <w:kern w:val="32"/>
          <w:szCs w:val="28"/>
          <w:lang w:eastAsia="ru-RU"/>
        </w:rPr>
        <w:t>хозяй</w:t>
      </w:r>
      <w:proofErr w:type="gramStart"/>
      <w:r w:rsidRPr="00E81FA7">
        <w:rPr>
          <w:rFonts w:eastAsia="Times New Roman"/>
          <w:kern w:val="32"/>
          <w:szCs w:val="28"/>
          <w:lang w:eastAsia="ru-RU"/>
        </w:rPr>
        <w:t>c</w:t>
      </w:r>
      <w:proofErr w:type="gramEnd"/>
      <w:r w:rsidRPr="00E81FA7">
        <w:rPr>
          <w:rFonts w:eastAsia="Times New Roman"/>
          <w:kern w:val="32"/>
          <w:szCs w:val="28"/>
          <w:lang w:eastAsia="ru-RU"/>
        </w:rPr>
        <w:t>твенной</w:t>
      </w:r>
      <w:proofErr w:type="spellEnd"/>
      <w:r w:rsidRPr="00E81FA7">
        <w:rPr>
          <w:rFonts w:eastAsia="Times New Roman"/>
          <w:kern w:val="32"/>
          <w:szCs w:val="28"/>
          <w:lang w:eastAsia="ru-RU"/>
        </w:rPr>
        <w:t xml:space="preserve"> деятельности налогоплательщиков и роста курса валюты;</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xml:space="preserve">- увеличение поступлений арендной платы за земельные участки за счет платежей, по которым в 2020 году была предоставлена отсрочка в связи с введением режима повышенной готовности на территории Мурманской области в результате распространения </w:t>
      </w:r>
      <w:proofErr w:type="spellStart"/>
      <w:r w:rsidRPr="00E81FA7">
        <w:rPr>
          <w:rFonts w:eastAsia="Times New Roman"/>
          <w:kern w:val="32"/>
          <w:szCs w:val="28"/>
          <w:lang w:eastAsia="ru-RU"/>
        </w:rPr>
        <w:t>короновирусной</w:t>
      </w:r>
      <w:proofErr w:type="spellEnd"/>
      <w:r w:rsidRPr="00E81FA7">
        <w:rPr>
          <w:rFonts w:eastAsia="Times New Roman"/>
          <w:kern w:val="32"/>
          <w:szCs w:val="28"/>
          <w:lang w:eastAsia="ru-RU"/>
        </w:rPr>
        <w:t xml:space="preserve"> инфекции;</w:t>
      </w:r>
    </w:p>
    <w:p w:rsidR="00E81FA7" w:rsidRPr="00E81FA7" w:rsidRDefault="00E81FA7" w:rsidP="00E81FA7">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E81FA7">
        <w:rPr>
          <w:rFonts w:eastAsia="Times New Roman"/>
          <w:kern w:val="32"/>
          <w:szCs w:val="28"/>
          <w:lang w:eastAsia="ru-RU"/>
        </w:rPr>
        <w:t>- увеличение спроса на муниципальное имущество и земельные участки.</w:t>
      </w:r>
    </w:p>
    <w:p w:rsidR="00282F3F" w:rsidRDefault="00E81FA7" w:rsidP="00282F3F">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roofErr w:type="gramStart"/>
      <w:r w:rsidRPr="00E81FA7">
        <w:rPr>
          <w:rFonts w:eastAsia="Times New Roman"/>
          <w:kern w:val="32"/>
          <w:szCs w:val="28"/>
          <w:lang w:eastAsia="ru-RU"/>
        </w:rPr>
        <w:t xml:space="preserve">Прогноз поступлений налоговых и неналоговых доходов </w:t>
      </w:r>
      <w:r w:rsidR="00282F3F">
        <w:rPr>
          <w:rFonts w:eastAsia="Times New Roman"/>
          <w:kern w:val="32"/>
          <w:szCs w:val="28"/>
          <w:lang w:eastAsia="ru-RU"/>
        </w:rPr>
        <w:br/>
      </w:r>
      <w:r w:rsidRPr="00E81FA7">
        <w:rPr>
          <w:rFonts w:eastAsia="Times New Roman"/>
          <w:kern w:val="32"/>
          <w:szCs w:val="28"/>
          <w:lang w:eastAsia="ru-RU"/>
        </w:rPr>
        <w:t>в 2022 – 2030 годах разработан с учетом прогноза социально-экономического развития Российской Федерации на период до 2036 года, прогноза долгосрочного социально-экономического развития Российской Федерации на период до 2030 года, прогноза индекса потребительских цен на товары и платные услуги населению по Мурманской области на 2021 – 2024 годы (письмо Министерства развития Арктики и экономики Мурманской области от</w:t>
      </w:r>
      <w:proofErr w:type="gramEnd"/>
      <w:r w:rsidRPr="00E81FA7">
        <w:rPr>
          <w:rFonts w:eastAsia="Times New Roman"/>
          <w:kern w:val="32"/>
          <w:szCs w:val="28"/>
          <w:lang w:eastAsia="ru-RU"/>
        </w:rPr>
        <w:t xml:space="preserve"> </w:t>
      </w:r>
      <w:proofErr w:type="gramStart"/>
      <w:r w:rsidRPr="00E81FA7">
        <w:rPr>
          <w:rFonts w:eastAsia="Times New Roman"/>
          <w:kern w:val="32"/>
          <w:szCs w:val="28"/>
          <w:lang w:eastAsia="ru-RU"/>
        </w:rPr>
        <w:t>15.06.2021 № 04-04/3211-ТР), а также информации, представленной главными администраторами доходов бюджета города Мурманск.</w:t>
      </w:r>
      <w:proofErr w:type="gramEnd"/>
    </w:p>
    <w:p w:rsidR="00282F3F" w:rsidRDefault="00282F3F" w:rsidP="00282F3F">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center"/>
        <w:textAlignment w:val="baseline"/>
        <w:rPr>
          <w:rFonts w:eastAsia="Times New Roman"/>
          <w:kern w:val="32"/>
          <w:szCs w:val="28"/>
          <w:lang w:eastAsia="ru-RU"/>
        </w:rPr>
      </w:pPr>
    </w:p>
    <w:p w:rsidR="0018260A" w:rsidRPr="00E81FA7" w:rsidRDefault="0018260A" w:rsidP="00282F3F">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center"/>
        <w:textAlignment w:val="baseline"/>
        <w:rPr>
          <w:rFonts w:eastAsia="Times New Roman"/>
          <w:b/>
          <w:bCs/>
          <w:szCs w:val="28"/>
          <w:lang w:eastAsia="ru-RU"/>
        </w:rPr>
      </w:pPr>
      <w:r w:rsidRPr="00282F3F">
        <w:rPr>
          <w:rFonts w:eastAsia="Times New Roman"/>
          <w:b/>
          <w:bCs/>
          <w:szCs w:val="28"/>
          <w:lang w:eastAsia="ru-RU"/>
        </w:rPr>
        <w:t>_________________________</w:t>
      </w:r>
    </w:p>
    <w:p w:rsidR="00E81FA7" w:rsidRDefault="00E81FA7">
      <w:pPr>
        <w:spacing w:after="200" w:line="276" w:lineRule="auto"/>
        <w:rPr>
          <w:rFonts w:eastAsia="Times New Roman"/>
          <w:bCs/>
          <w:szCs w:val="28"/>
          <w:lang w:eastAsia="x-none"/>
        </w:rPr>
      </w:pPr>
      <w:r>
        <w:rPr>
          <w:rFonts w:eastAsia="Times New Roman"/>
          <w:bCs/>
          <w:szCs w:val="28"/>
          <w:lang w:eastAsia="x-none"/>
        </w:rPr>
        <w:br w:type="page"/>
      </w:r>
    </w:p>
    <w:p w:rsidR="0018260A" w:rsidRPr="0018260A" w:rsidRDefault="0018260A" w:rsidP="0018260A">
      <w:pPr>
        <w:keepNext/>
        <w:spacing w:after="0" w:line="240" w:lineRule="auto"/>
        <w:jc w:val="right"/>
        <w:outlineLvl w:val="0"/>
        <w:rPr>
          <w:rFonts w:eastAsia="Times New Roman"/>
          <w:bCs/>
          <w:szCs w:val="28"/>
          <w:lang w:eastAsia="x-none"/>
        </w:rPr>
      </w:pPr>
      <w:r w:rsidRPr="0018260A">
        <w:rPr>
          <w:rFonts w:eastAsia="Times New Roman"/>
          <w:bCs/>
          <w:szCs w:val="28"/>
          <w:lang w:eastAsia="x-none"/>
        </w:rPr>
        <w:lastRenderedPageBreak/>
        <w:t xml:space="preserve">Приложение № 2 </w:t>
      </w:r>
    </w:p>
    <w:p w:rsidR="0018260A" w:rsidRPr="0018260A" w:rsidRDefault="0018260A" w:rsidP="0018260A">
      <w:pPr>
        <w:keepNext/>
        <w:spacing w:after="0" w:line="240" w:lineRule="auto"/>
        <w:jc w:val="center"/>
        <w:outlineLvl w:val="0"/>
        <w:rPr>
          <w:rFonts w:eastAsia="Times New Roman"/>
          <w:bCs/>
          <w:szCs w:val="28"/>
          <w:lang w:eastAsia="x-none"/>
        </w:rPr>
      </w:pPr>
      <w:r w:rsidRPr="0018260A">
        <w:rPr>
          <w:rFonts w:eastAsia="Times New Roman"/>
          <w:bCs/>
          <w:szCs w:val="28"/>
          <w:lang w:eastAsia="x-none"/>
        </w:rPr>
        <w:t xml:space="preserve">                                                                                                          к прогнозу</w:t>
      </w:r>
    </w:p>
    <w:p w:rsidR="008A45AB" w:rsidRDefault="008A45AB" w:rsidP="008A45AB">
      <w:pPr>
        <w:overflowPunct w:val="0"/>
        <w:autoSpaceDE w:val="0"/>
        <w:autoSpaceDN w:val="0"/>
        <w:adjustRightInd w:val="0"/>
        <w:spacing w:after="0" w:line="240" w:lineRule="auto"/>
        <w:jc w:val="center"/>
        <w:textAlignment w:val="baseline"/>
        <w:rPr>
          <w:rFonts w:eastAsia="Times New Roman"/>
          <w:szCs w:val="20"/>
          <w:lang w:eastAsia="ru-RU"/>
        </w:rPr>
      </w:pP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0"/>
          <w:lang w:eastAsia="ru-RU"/>
        </w:rPr>
      </w:pPr>
      <w:r w:rsidRPr="008A45AB">
        <w:rPr>
          <w:rFonts w:eastAsia="Times New Roman"/>
          <w:szCs w:val="20"/>
          <w:lang w:eastAsia="ru-RU"/>
        </w:rPr>
        <w:t xml:space="preserve">Предварительные итоги социально-экономического развития </w:t>
      </w:r>
      <w:r w:rsidRPr="008A45AB">
        <w:rPr>
          <w:rFonts w:eastAsia="Times New Roman"/>
          <w:szCs w:val="20"/>
          <w:lang w:eastAsia="ru-RU"/>
        </w:rPr>
        <w:br/>
        <w:t>муниципального образования город Мурманск за первое полугодие 2021 года</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8"/>
          <w:lang w:eastAsia="ru-RU"/>
        </w:rPr>
      </w:pPr>
      <w:r w:rsidRPr="008A45AB">
        <w:rPr>
          <w:rFonts w:eastAsia="Times New Roman"/>
          <w:szCs w:val="28"/>
          <w:lang w:eastAsia="ru-RU"/>
        </w:rPr>
        <w:t>и ожидаемые итоги социально-экономического развития за 2021 год</w:t>
      </w:r>
    </w:p>
    <w:p w:rsidR="008A45AB" w:rsidRPr="008A45AB" w:rsidRDefault="008A45AB" w:rsidP="008A45AB">
      <w:pPr>
        <w:widowControl w:val="0"/>
        <w:overflowPunct w:val="0"/>
        <w:autoSpaceDE w:val="0"/>
        <w:autoSpaceDN w:val="0"/>
        <w:adjustRightInd w:val="0"/>
        <w:spacing w:after="0" w:line="240" w:lineRule="auto"/>
        <w:ind w:firstLine="720"/>
        <w:jc w:val="center"/>
        <w:textAlignment w:val="baseline"/>
        <w:rPr>
          <w:rFonts w:eastAsia="Times New Roman"/>
          <w:b/>
          <w:bCs/>
          <w:szCs w:val="28"/>
          <w:lang w:eastAsia="ru-RU"/>
        </w:rPr>
      </w:pPr>
    </w:p>
    <w:tbl>
      <w:tblPr>
        <w:tblW w:w="9644"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72"/>
        <w:gridCol w:w="1562"/>
        <w:gridCol w:w="1417"/>
        <w:gridCol w:w="1418"/>
        <w:gridCol w:w="1275"/>
      </w:tblGrid>
      <w:tr w:rsidR="008A45AB" w:rsidRPr="008A45AB" w:rsidTr="00E10048">
        <w:trPr>
          <w:trHeight w:val="945"/>
          <w:tblHeader/>
        </w:trPr>
        <w:tc>
          <w:tcPr>
            <w:tcW w:w="3972" w:type="dxa"/>
            <w:shd w:val="clear" w:color="auto" w:fill="auto"/>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bCs/>
                <w:sz w:val="24"/>
                <w:szCs w:val="24"/>
              </w:rPr>
            </w:pPr>
            <w:r w:rsidRPr="008A45AB">
              <w:rPr>
                <w:rFonts w:eastAsia="Times New Roman"/>
                <w:bCs/>
                <w:sz w:val="24"/>
                <w:szCs w:val="24"/>
              </w:rPr>
              <w:t>Показатели</w:t>
            </w:r>
          </w:p>
        </w:tc>
        <w:tc>
          <w:tcPr>
            <w:tcW w:w="1562" w:type="dxa"/>
            <w:shd w:val="clear" w:color="auto" w:fill="auto"/>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8A45AB">
              <w:rPr>
                <w:rFonts w:eastAsia="Times New Roman"/>
                <w:bCs/>
                <w:sz w:val="24"/>
                <w:szCs w:val="24"/>
                <w:lang w:eastAsia="ru-RU"/>
              </w:rPr>
              <w:t>Единица измерения</w:t>
            </w:r>
          </w:p>
        </w:tc>
        <w:tc>
          <w:tcPr>
            <w:tcW w:w="1417" w:type="dxa"/>
            <w:shd w:val="clear" w:color="auto" w:fill="auto"/>
            <w:vAlign w:val="center"/>
            <w:hideMark/>
          </w:tcPr>
          <w:p w:rsidR="008A45AB" w:rsidRPr="008A45AB" w:rsidRDefault="008A45AB" w:rsidP="008A45AB">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8A45AB">
              <w:rPr>
                <w:rFonts w:eastAsia="Times New Roman"/>
                <w:bCs/>
                <w:sz w:val="24"/>
                <w:szCs w:val="24"/>
                <w:lang w:eastAsia="ru-RU"/>
              </w:rPr>
              <w:t>1 полугодие 2020 года</w:t>
            </w:r>
          </w:p>
        </w:tc>
        <w:tc>
          <w:tcPr>
            <w:tcW w:w="1418" w:type="dxa"/>
            <w:shd w:val="clear" w:color="auto" w:fill="auto"/>
            <w:vAlign w:val="center"/>
            <w:hideMark/>
          </w:tcPr>
          <w:p w:rsidR="008A45AB" w:rsidRPr="008A45AB" w:rsidRDefault="008A45AB" w:rsidP="008A45AB">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8A45AB">
              <w:rPr>
                <w:rFonts w:eastAsia="Times New Roman"/>
                <w:bCs/>
                <w:sz w:val="24"/>
                <w:szCs w:val="24"/>
                <w:lang w:eastAsia="ru-RU"/>
              </w:rPr>
              <w:t>1 полугодие 2021 года</w:t>
            </w:r>
          </w:p>
        </w:tc>
        <w:tc>
          <w:tcPr>
            <w:tcW w:w="1275" w:type="dxa"/>
            <w:shd w:val="clear" w:color="auto" w:fill="auto"/>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8A45AB">
              <w:rPr>
                <w:rFonts w:eastAsia="Times New Roman"/>
                <w:bCs/>
                <w:sz w:val="24"/>
                <w:szCs w:val="24"/>
                <w:lang w:eastAsia="ru-RU"/>
              </w:rPr>
              <w:t>Оценка 2021 года</w:t>
            </w:r>
          </w:p>
        </w:tc>
      </w:tr>
      <w:tr w:rsidR="008A45AB" w:rsidRPr="008A45AB" w:rsidTr="00E10048">
        <w:trPr>
          <w:trHeight w:val="315"/>
          <w:tblHeader/>
        </w:trPr>
        <w:tc>
          <w:tcPr>
            <w:tcW w:w="397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1</w:t>
            </w:r>
          </w:p>
        </w:tc>
        <w:tc>
          <w:tcPr>
            <w:tcW w:w="1562" w:type="dxa"/>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2</w:t>
            </w:r>
          </w:p>
        </w:tc>
        <w:tc>
          <w:tcPr>
            <w:tcW w:w="1417" w:type="dxa"/>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3</w:t>
            </w:r>
          </w:p>
        </w:tc>
        <w:tc>
          <w:tcPr>
            <w:tcW w:w="1418" w:type="dxa"/>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4</w:t>
            </w:r>
          </w:p>
        </w:tc>
        <w:tc>
          <w:tcPr>
            <w:tcW w:w="1275" w:type="dxa"/>
            <w:vAlign w:val="center"/>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5</w:t>
            </w:r>
          </w:p>
        </w:tc>
      </w:tr>
      <w:tr w:rsidR="008A45AB" w:rsidRPr="008A45AB" w:rsidTr="00E10048">
        <w:trPr>
          <w:trHeight w:val="275"/>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bCs/>
                <w:sz w:val="24"/>
                <w:szCs w:val="24"/>
              </w:rPr>
            </w:pPr>
            <w:r w:rsidRPr="008A45AB">
              <w:rPr>
                <w:rFonts w:eastAsia="Times New Roman"/>
                <w:bCs/>
                <w:sz w:val="24"/>
                <w:szCs w:val="24"/>
              </w:rPr>
              <w:t>1. Демографические показатели</w:t>
            </w:r>
          </w:p>
        </w:tc>
        <w:tc>
          <w:tcPr>
            <w:tcW w:w="156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0"/>
                <w:szCs w:val="20"/>
                <w:lang w:eastAsia="ru-RU"/>
              </w:rPr>
            </w:pPr>
          </w:p>
        </w:tc>
        <w:tc>
          <w:tcPr>
            <w:tcW w:w="1417" w:type="dxa"/>
            <w:vAlign w:val="center"/>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0"/>
                <w:szCs w:val="20"/>
                <w:lang w:eastAsia="ru-RU"/>
              </w:rPr>
            </w:pPr>
          </w:p>
        </w:tc>
        <w:tc>
          <w:tcPr>
            <w:tcW w:w="1418" w:type="dxa"/>
            <w:vAlign w:val="center"/>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0"/>
                <w:szCs w:val="20"/>
                <w:lang w:eastAsia="ru-RU"/>
              </w:rPr>
            </w:pPr>
          </w:p>
        </w:tc>
        <w:tc>
          <w:tcPr>
            <w:tcW w:w="1275" w:type="dxa"/>
            <w:vAlign w:val="center"/>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0"/>
                <w:szCs w:val="20"/>
                <w:lang w:eastAsia="ru-RU"/>
              </w:rPr>
            </w:pPr>
          </w:p>
        </w:tc>
      </w:tr>
      <w:tr w:rsidR="008A45AB" w:rsidRPr="008A45AB" w:rsidTr="00E10048">
        <w:trPr>
          <w:trHeight w:val="275"/>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Среднегодовая численность населения</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тыс. человек</w:t>
            </w:r>
          </w:p>
        </w:tc>
        <w:tc>
          <w:tcPr>
            <w:tcW w:w="1417" w:type="dxa"/>
          </w:tcPr>
          <w:p w:rsidR="008A45AB"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х</w:t>
            </w:r>
          </w:p>
        </w:tc>
        <w:tc>
          <w:tcPr>
            <w:tcW w:w="1418" w:type="dxa"/>
          </w:tcPr>
          <w:p w:rsidR="008A45AB"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х</w:t>
            </w:r>
          </w:p>
        </w:tc>
        <w:tc>
          <w:tcPr>
            <w:tcW w:w="1275" w:type="dxa"/>
          </w:tcPr>
          <w:p w:rsidR="008A45AB"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280,62</w:t>
            </w:r>
          </w:p>
        </w:tc>
      </w:tr>
      <w:tr w:rsidR="00E10048" w:rsidRPr="008A45AB" w:rsidTr="00E10048">
        <w:trPr>
          <w:trHeight w:val="275"/>
        </w:trPr>
        <w:tc>
          <w:tcPr>
            <w:tcW w:w="3972" w:type="dxa"/>
          </w:tcPr>
          <w:p w:rsidR="00E10048" w:rsidRPr="008A45AB" w:rsidRDefault="00E10048"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Родилось</w:t>
            </w:r>
          </w:p>
        </w:tc>
        <w:tc>
          <w:tcPr>
            <w:tcW w:w="1562"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E10048" w:rsidRPr="009F7ACF" w:rsidRDefault="00E10048" w:rsidP="00E10048">
            <w:pPr>
              <w:ind w:left="-111" w:right="-108"/>
              <w:jc w:val="center"/>
              <w:rPr>
                <w:sz w:val="24"/>
                <w:szCs w:val="24"/>
                <w:lang w:val="en-US"/>
              </w:rPr>
            </w:pPr>
            <w:r w:rsidRPr="009F7ACF">
              <w:rPr>
                <w:sz w:val="24"/>
                <w:szCs w:val="24"/>
                <w:lang w:val="en-US"/>
              </w:rPr>
              <w:t>1259</w:t>
            </w:r>
          </w:p>
        </w:tc>
        <w:tc>
          <w:tcPr>
            <w:tcW w:w="1418" w:type="dxa"/>
          </w:tcPr>
          <w:p w:rsidR="00E10048" w:rsidRPr="008A45AB" w:rsidRDefault="00E10048"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1066</w:t>
            </w:r>
          </w:p>
        </w:tc>
        <w:tc>
          <w:tcPr>
            <w:tcW w:w="1275" w:type="dxa"/>
          </w:tcPr>
          <w:p w:rsidR="00E10048" w:rsidRPr="00E10048" w:rsidRDefault="00E10048" w:rsidP="00E10048">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2545</w:t>
            </w:r>
          </w:p>
        </w:tc>
      </w:tr>
      <w:tr w:rsidR="00E10048" w:rsidRPr="008A45AB" w:rsidTr="00E10048">
        <w:trPr>
          <w:trHeight w:val="275"/>
        </w:trPr>
        <w:tc>
          <w:tcPr>
            <w:tcW w:w="3972" w:type="dxa"/>
          </w:tcPr>
          <w:p w:rsidR="00E10048" w:rsidRPr="008A45AB" w:rsidRDefault="00E10048"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Умерло</w:t>
            </w:r>
          </w:p>
        </w:tc>
        <w:tc>
          <w:tcPr>
            <w:tcW w:w="1562"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E10048" w:rsidRPr="009F7ACF" w:rsidRDefault="00E10048" w:rsidP="00E10048">
            <w:pPr>
              <w:ind w:left="-111" w:right="-108"/>
              <w:jc w:val="center"/>
              <w:rPr>
                <w:sz w:val="24"/>
                <w:szCs w:val="24"/>
                <w:lang w:val="en-US"/>
              </w:rPr>
            </w:pPr>
            <w:r w:rsidRPr="009F7ACF">
              <w:rPr>
                <w:sz w:val="24"/>
                <w:szCs w:val="28"/>
                <w:lang w:val="en-US"/>
              </w:rPr>
              <w:t>1826</w:t>
            </w:r>
          </w:p>
        </w:tc>
        <w:tc>
          <w:tcPr>
            <w:tcW w:w="1418" w:type="dxa"/>
          </w:tcPr>
          <w:p w:rsidR="00E10048" w:rsidRPr="008A45AB" w:rsidRDefault="00E10048"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2185</w:t>
            </w:r>
          </w:p>
        </w:tc>
        <w:tc>
          <w:tcPr>
            <w:tcW w:w="1275" w:type="dxa"/>
          </w:tcPr>
          <w:p w:rsidR="00E10048" w:rsidRPr="00E10048" w:rsidRDefault="00E10048" w:rsidP="008A45AB">
            <w:pPr>
              <w:overflowPunct w:val="0"/>
              <w:autoSpaceDE w:val="0"/>
              <w:autoSpaceDN w:val="0"/>
              <w:adjustRightInd w:val="0"/>
              <w:spacing w:after="0" w:line="240" w:lineRule="auto"/>
              <w:ind w:left="-111" w:right="-108"/>
              <w:jc w:val="center"/>
              <w:textAlignment w:val="baseline"/>
              <w:rPr>
                <w:rFonts w:eastAsia="Times New Roman"/>
                <w:sz w:val="24"/>
                <w:szCs w:val="28"/>
                <w:lang w:eastAsia="ru-RU"/>
              </w:rPr>
            </w:pPr>
            <w:r>
              <w:rPr>
                <w:rFonts w:eastAsia="Times New Roman"/>
                <w:sz w:val="24"/>
                <w:szCs w:val="28"/>
                <w:lang w:eastAsia="ru-RU"/>
              </w:rPr>
              <w:t>4269</w:t>
            </w:r>
          </w:p>
        </w:tc>
      </w:tr>
      <w:tr w:rsidR="00E10048" w:rsidRPr="008A45AB" w:rsidTr="00E10048">
        <w:trPr>
          <w:trHeight w:val="275"/>
        </w:trPr>
        <w:tc>
          <w:tcPr>
            <w:tcW w:w="3972" w:type="dxa"/>
          </w:tcPr>
          <w:p w:rsidR="00E10048" w:rsidRPr="008A45AB" w:rsidRDefault="00E10048"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Естественный прирост</w:t>
            </w:r>
          </w:p>
        </w:tc>
        <w:tc>
          <w:tcPr>
            <w:tcW w:w="1562"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E10048" w:rsidRPr="009F7ACF" w:rsidRDefault="00E10048" w:rsidP="00E10048">
            <w:pPr>
              <w:ind w:left="-111" w:right="-108"/>
              <w:jc w:val="center"/>
              <w:rPr>
                <w:sz w:val="24"/>
                <w:szCs w:val="24"/>
                <w:lang w:val="en-US"/>
              </w:rPr>
            </w:pPr>
            <w:r w:rsidRPr="009F7ACF">
              <w:rPr>
                <w:sz w:val="24"/>
                <w:szCs w:val="28"/>
              </w:rPr>
              <w:t>-5</w:t>
            </w:r>
            <w:r w:rsidRPr="009F7ACF">
              <w:rPr>
                <w:sz w:val="24"/>
                <w:szCs w:val="28"/>
                <w:lang w:val="en-US"/>
              </w:rPr>
              <w:t>67</w:t>
            </w:r>
          </w:p>
        </w:tc>
        <w:tc>
          <w:tcPr>
            <w:tcW w:w="1418" w:type="dxa"/>
          </w:tcPr>
          <w:p w:rsidR="00E10048" w:rsidRPr="00E10048" w:rsidRDefault="00E10048"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-1119</w:t>
            </w:r>
          </w:p>
        </w:tc>
        <w:tc>
          <w:tcPr>
            <w:tcW w:w="1275" w:type="dxa"/>
          </w:tcPr>
          <w:p w:rsidR="00E10048" w:rsidRPr="00E10048" w:rsidRDefault="00E10048" w:rsidP="008A45AB">
            <w:pPr>
              <w:overflowPunct w:val="0"/>
              <w:autoSpaceDE w:val="0"/>
              <w:autoSpaceDN w:val="0"/>
              <w:adjustRightInd w:val="0"/>
              <w:spacing w:after="0" w:line="240" w:lineRule="auto"/>
              <w:ind w:left="-111" w:right="-108"/>
              <w:jc w:val="center"/>
              <w:textAlignment w:val="baseline"/>
              <w:rPr>
                <w:rFonts w:eastAsia="Times New Roman"/>
                <w:sz w:val="24"/>
                <w:szCs w:val="24"/>
              </w:rPr>
            </w:pPr>
            <w:r>
              <w:rPr>
                <w:rFonts w:eastAsia="Times New Roman"/>
                <w:sz w:val="24"/>
                <w:szCs w:val="24"/>
              </w:rPr>
              <w:t>-1723</w:t>
            </w:r>
          </w:p>
        </w:tc>
      </w:tr>
      <w:tr w:rsidR="00E10048" w:rsidRPr="008A45AB" w:rsidTr="00E10048">
        <w:trPr>
          <w:trHeight w:val="275"/>
        </w:trPr>
        <w:tc>
          <w:tcPr>
            <w:tcW w:w="3972" w:type="dxa"/>
          </w:tcPr>
          <w:p w:rsidR="00E10048" w:rsidRPr="008A45AB" w:rsidRDefault="00E10048"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Прибыло</w:t>
            </w:r>
          </w:p>
        </w:tc>
        <w:tc>
          <w:tcPr>
            <w:tcW w:w="1562"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E10048" w:rsidRPr="009F7ACF" w:rsidRDefault="00E10048" w:rsidP="00E10048">
            <w:pPr>
              <w:jc w:val="center"/>
              <w:rPr>
                <w:sz w:val="24"/>
                <w:lang w:val="en-US"/>
              </w:rPr>
            </w:pPr>
            <w:r w:rsidRPr="009F7ACF">
              <w:rPr>
                <w:sz w:val="24"/>
                <w:szCs w:val="28"/>
                <w:lang w:val="en-US"/>
              </w:rPr>
              <w:t>3909</w:t>
            </w:r>
          </w:p>
        </w:tc>
        <w:tc>
          <w:tcPr>
            <w:tcW w:w="1418"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0"/>
                <w:lang w:eastAsia="ru-RU"/>
              </w:rPr>
            </w:pPr>
            <w:r>
              <w:rPr>
                <w:rFonts w:eastAsia="Times New Roman"/>
                <w:sz w:val="24"/>
                <w:szCs w:val="20"/>
                <w:lang w:eastAsia="ru-RU"/>
              </w:rPr>
              <w:t>4168</w:t>
            </w:r>
          </w:p>
        </w:tc>
        <w:tc>
          <w:tcPr>
            <w:tcW w:w="1275"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0"/>
                <w:lang w:eastAsia="ru-RU"/>
              </w:rPr>
            </w:pPr>
            <w:r>
              <w:rPr>
                <w:rFonts w:eastAsia="Times New Roman"/>
                <w:sz w:val="24"/>
                <w:szCs w:val="20"/>
                <w:lang w:eastAsia="ru-RU"/>
              </w:rPr>
              <w:t>8531</w:t>
            </w:r>
          </w:p>
        </w:tc>
      </w:tr>
      <w:tr w:rsidR="00E10048" w:rsidRPr="008A45AB" w:rsidTr="00E10048">
        <w:trPr>
          <w:trHeight w:val="275"/>
        </w:trPr>
        <w:tc>
          <w:tcPr>
            <w:tcW w:w="3972" w:type="dxa"/>
          </w:tcPr>
          <w:p w:rsidR="00E10048" w:rsidRPr="008A45AB" w:rsidRDefault="00E10048"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Выбыло</w:t>
            </w:r>
          </w:p>
        </w:tc>
        <w:tc>
          <w:tcPr>
            <w:tcW w:w="1562"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E10048" w:rsidRPr="009F7ACF" w:rsidRDefault="00E10048" w:rsidP="00E10048">
            <w:pPr>
              <w:jc w:val="center"/>
              <w:rPr>
                <w:sz w:val="24"/>
                <w:lang w:val="en-US"/>
              </w:rPr>
            </w:pPr>
            <w:r w:rsidRPr="009F7ACF">
              <w:rPr>
                <w:sz w:val="24"/>
                <w:szCs w:val="28"/>
                <w:lang w:val="en-US"/>
              </w:rPr>
              <w:t>4924</w:t>
            </w:r>
          </w:p>
        </w:tc>
        <w:tc>
          <w:tcPr>
            <w:tcW w:w="1418"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0"/>
                <w:lang w:eastAsia="ru-RU"/>
              </w:rPr>
            </w:pPr>
            <w:r>
              <w:rPr>
                <w:rFonts w:eastAsia="Times New Roman"/>
                <w:sz w:val="24"/>
                <w:szCs w:val="20"/>
                <w:lang w:eastAsia="ru-RU"/>
              </w:rPr>
              <w:t>5147</w:t>
            </w:r>
          </w:p>
        </w:tc>
        <w:tc>
          <w:tcPr>
            <w:tcW w:w="1275"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0"/>
                <w:lang w:eastAsia="ru-RU"/>
              </w:rPr>
            </w:pPr>
            <w:r>
              <w:rPr>
                <w:rFonts w:eastAsia="Times New Roman"/>
                <w:sz w:val="24"/>
                <w:szCs w:val="20"/>
                <w:lang w:eastAsia="ru-RU"/>
              </w:rPr>
              <w:t>11266</w:t>
            </w:r>
          </w:p>
        </w:tc>
      </w:tr>
      <w:tr w:rsidR="00E10048" w:rsidRPr="008A45AB" w:rsidTr="00E10048">
        <w:trPr>
          <w:trHeight w:val="275"/>
        </w:trPr>
        <w:tc>
          <w:tcPr>
            <w:tcW w:w="3972" w:type="dxa"/>
          </w:tcPr>
          <w:p w:rsidR="00E10048" w:rsidRPr="008A45AB" w:rsidRDefault="00E10048"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Миграционный прирост</w:t>
            </w:r>
          </w:p>
        </w:tc>
        <w:tc>
          <w:tcPr>
            <w:tcW w:w="1562" w:type="dxa"/>
          </w:tcPr>
          <w:p w:rsidR="00E10048" w:rsidRPr="008A45AB" w:rsidRDefault="00E10048"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E10048" w:rsidRPr="009F7ACF" w:rsidRDefault="00E10048" w:rsidP="00E10048">
            <w:pPr>
              <w:jc w:val="center"/>
              <w:rPr>
                <w:sz w:val="24"/>
                <w:lang w:val="en-US"/>
              </w:rPr>
            </w:pPr>
            <w:r w:rsidRPr="009F7ACF">
              <w:rPr>
                <w:sz w:val="24"/>
                <w:szCs w:val="28"/>
              </w:rPr>
              <w:t>-</w:t>
            </w:r>
            <w:r w:rsidRPr="009F7ACF">
              <w:rPr>
                <w:sz w:val="24"/>
                <w:szCs w:val="28"/>
                <w:lang w:val="en-US"/>
              </w:rPr>
              <w:t>1015</w:t>
            </w:r>
          </w:p>
        </w:tc>
        <w:tc>
          <w:tcPr>
            <w:tcW w:w="1418" w:type="dxa"/>
          </w:tcPr>
          <w:p w:rsidR="00E10048" w:rsidRPr="008A45AB" w:rsidRDefault="00C9534F" w:rsidP="008A45AB">
            <w:pPr>
              <w:overflowPunct w:val="0"/>
              <w:autoSpaceDE w:val="0"/>
              <w:autoSpaceDN w:val="0"/>
              <w:adjustRightInd w:val="0"/>
              <w:spacing w:after="0" w:line="240" w:lineRule="auto"/>
              <w:jc w:val="center"/>
              <w:textAlignment w:val="baseline"/>
              <w:rPr>
                <w:rFonts w:eastAsia="Times New Roman"/>
                <w:sz w:val="24"/>
                <w:szCs w:val="20"/>
                <w:lang w:eastAsia="ru-RU"/>
              </w:rPr>
            </w:pPr>
            <w:r>
              <w:rPr>
                <w:rFonts w:eastAsia="Times New Roman"/>
                <w:sz w:val="24"/>
                <w:szCs w:val="20"/>
                <w:lang w:eastAsia="ru-RU"/>
              </w:rPr>
              <w:t>-979</w:t>
            </w:r>
          </w:p>
        </w:tc>
        <w:tc>
          <w:tcPr>
            <w:tcW w:w="1275" w:type="dxa"/>
          </w:tcPr>
          <w:p w:rsidR="00E10048" w:rsidRPr="008A45AB" w:rsidRDefault="00C9534F" w:rsidP="008A45AB">
            <w:pPr>
              <w:overflowPunct w:val="0"/>
              <w:autoSpaceDE w:val="0"/>
              <w:autoSpaceDN w:val="0"/>
              <w:adjustRightInd w:val="0"/>
              <w:spacing w:after="0" w:line="240" w:lineRule="auto"/>
              <w:jc w:val="center"/>
              <w:textAlignment w:val="baseline"/>
              <w:rPr>
                <w:rFonts w:eastAsia="Times New Roman"/>
                <w:sz w:val="24"/>
                <w:szCs w:val="20"/>
                <w:lang w:eastAsia="ru-RU"/>
              </w:rPr>
            </w:pPr>
            <w:r>
              <w:rPr>
                <w:rFonts w:eastAsia="Times New Roman"/>
                <w:sz w:val="24"/>
                <w:szCs w:val="20"/>
                <w:lang w:eastAsia="ru-RU"/>
              </w:rPr>
              <w:t>-2735</w:t>
            </w:r>
          </w:p>
        </w:tc>
      </w:tr>
      <w:tr w:rsidR="008A45AB" w:rsidRPr="008A45AB" w:rsidTr="00E10048">
        <w:trPr>
          <w:trHeight w:val="275"/>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2. Производство товаров и услуг</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ascii="Calibri" w:hAnsi="Calibri"/>
                <w:sz w:val="24"/>
                <w:szCs w:val="24"/>
              </w:rPr>
            </w:pP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1562" w:type="dxa"/>
            <w:noWrap/>
            <w:hideMark/>
          </w:tcPr>
          <w:p w:rsidR="008A45AB" w:rsidRPr="008A45AB" w:rsidRDefault="008A45AB" w:rsidP="008A45AB">
            <w:pPr>
              <w:overflowPunct w:val="0"/>
              <w:autoSpaceDE w:val="0"/>
              <w:autoSpaceDN w:val="0"/>
              <w:adjustRightInd w:val="0"/>
              <w:spacing w:after="0" w:line="240" w:lineRule="auto"/>
              <w:jc w:val="center"/>
              <w:textAlignment w:val="baseline"/>
              <w:rPr>
                <w:sz w:val="24"/>
                <w:szCs w:val="24"/>
              </w:rPr>
            </w:pPr>
            <w:r w:rsidRPr="008A45AB">
              <w:rPr>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sz w:val="24"/>
                <w:szCs w:val="24"/>
              </w:rPr>
            </w:pPr>
            <w:r w:rsidRPr="008A45AB">
              <w:rPr>
                <w:sz w:val="24"/>
                <w:szCs w:val="24"/>
              </w:rPr>
              <w:t xml:space="preserve">в ценах </w:t>
            </w:r>
            <w:proofErr w:type="spellStart"/>
            <w:proofErr w:type="gramStart"/>
            <w:r w:rsidRPr="008A45AB">
              <w:rPr>
                <w:sz w:val="24"/>
                <w:szCs w:val="24"/>
              </w:rPr>
              <w:t>соответст-вующих</w:t>
            </w:r>
            <w:proofErr w:type="spellEnd"/>
            <w:proofErr w:type="gramEnd"/>
            <w:r w:rsidRPr="008A45AB">
              <w:rPr>
                <w:sz w:val="24"/>
                <w:szCs w:val="24"/>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lang w:eastAsia="ru-RU"/>
              </w:rPr>
              <w:t>48 330,2</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lang w:eastAsia="ru-RU"/>
              </w:rPr>
              <w:t>61 686,0</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lang w:eastAsia="ru-RU"/>
              </w:rPr>
              <w:t>135 283,7</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Темп роста промышленного производства (раздел</w:t>
            </w:r>
            <w:proofErr w:type="gramStart"/>
            <w:r w:rsidRPr="008A45AB">
              <w:rPr>
                <w:rFonts w:eastAsia="Times New Roman"/>
                <w:sz w:val="24"/>
                <w:szCs w:val="24"/>
              </w:rPr>
              <w:t xml:space="preserve"> С</w:t>
            </w:r>
            <w:proofErr w:type="gramEnd"/>
            <w:r w:rsidRPr="008A45AB">
              <w:rPr>
                <w:rFonts w:eastAsia="Times New Roman"/>
                <w:sz w:val="24"/>
                <w:szCs w:val="24"/>
              </w:rPr>
              <w:t>: обрабатывающие производства, раздел D: обеспечение электрической энергией, газом и паром; кондиционирование воздуха, раздел Е: водоснабжение; водоотведение, организация сбора и утилизации отходов, деятельность по ликвидации загрязнений)</w:t>
            </w:r>
          </w:p>
        </w:tc>
        <w:tc>
          <w:tcPr>
            <w:tcW w:w="1562" w:type="dxa"/>
            <w:noWrap/>
            <w:hideMark/>
          </w:tcPr>
          <w:p w:rsidR="008A45AB" w:rsidRPr="008A45AB" w:rsidRDefault="008A45AB" w:rsidP="008A45AB">
            <w:pPr>
              <w:overflowPunct w:val="0"/>
              <w:autoSpaceDE w:val="0"/>
              <w:autoSpaceDN w:val="0"/>
              <w:adjustRightInd w:val="0"/>
              <w:spacing w:after="0" w:line="240" w:lineRule="auto"/>
              <w:ind w:left="-110" w:right="-105"/>
              <w:jc w:val="center"/>
              <w:textAlignment w:val="baseline"/>
              <w:rPr>
                <w:rFonts w:eastAsia="Times New Roman"/>
                <w:sz w:val="24"/>
                <w:szCs w:val="24"/>
              </w:rPr>
            </w:pPr>
            <w:proofErr w:type="gramStart"/>
            <w:r w:rsidRPr="008A45AB">
              <w:rPr>
                <w:rFonts w:eastAsia="Times New Roman"/>
                <w:sz w:val="24"/>
                <w:szCs w:val="24"/>
              </w:rPr>
              <w:t>в</w:t>
            </w:r>
            <w:proofErr w:type="gramEnd"/>
            <w:r w:rsidRPr="008A45AB">
              <w:rPr>
                <w:rFonts w:eastAsia="Times New Roman"/>
                <w:sz w:val="24"/>
                <w:szCs w:val="24"/>
              </w:rPr>
              <w:t xml:space="preserve"> % к аналогичному периоду прошлого года</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112,3</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127,6</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lang w:eastAsia="ru-RU"/>
              </w:rPr>
              <w:t>114,8</w:t>
            </w:r>
          </w:p>
        </w:tc>
      </w:tr>
      <w:tr w:rsidR="008A45AB" w:rsidRPr="008A45AB" w:rsidTr="00E10048">
        <w:trPr>
          <w:trHeight w:val="919"/>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Раздел C: обрабатывающие производства</w:t>
            </w:r>
          </w:p>
        </w:tc>
        <w:tc>
          <w:tcPr>
            <w:tcW w:w="1562" w:type="dxa"/>
            <w:noWrap/>
            <w:hideMark/>
          </w:tcPr>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38 762,3</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53 442,5</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114 085,5</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Темп роста – раздел C: обрабатывающие производства</w:t>
            </w:r>
          </w:p>
        </w:tc>
        <w:tc>
          <w:tcPr>
            <w:tcW w:w="1562" w:type="dxa"/>
            <w:noWrap/>
            <w:hideMark/>
          </w:tcPr>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sz w:val="24"/>
                <w:szCs w:val="24"/>
              </w:rPr>
            </w:pPr>
            <w:r w:rsidRPr="008A45AB">
              <w:rPr>
                <w:rFonts w:eastAsia="Times New Roman"/>
                <w:sz w:val="24"/>
                <w:szCs w:val="24"/>
              </w:rPr>
              <w:t xml:space="preserve">в % к </w:t>
            </w:r>
            <w:proofErr w:type="spellStart"/>
            <w:proofErr w:type="gramStart"/>
            <w:r w:rsidRPr="008A45AB">
              <w:rPr>
                <w:rFonts w:eastAsia="Times New Roman"/>
                <w:sz w:val="24"/>
                <w:szCs w:val="24"/>
              </w:rPr>
              <w:t>предыдуще-му</w:t>
            </w:r>
            <w:proofErr w:type="spellEnd"/>
            <w:proofErr w:type="gramEnd"/>
            <w:r w:rsidRPr="008A45AB">
              <w:rPr>
                <w:rFonts w:eastAsia="Times New Roman"/>
                <w:sz w:val="24"/>
                <w:szCs w:val="24"/>
              </w:rPr>
              <w:t xml:space="preserve"> году</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115,9</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137,9</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117,0</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lastRenderedPageBreak/>
              <w:t>Раздел D: обеспечение электрической энергией, газом и паром; кондиционирование воздуха</w:t>
            </w:r>
          </w:p>
        </w:tc>
        <w:tc>
          <w:tcPr>
            <w:tcW w:w="1562" w:type="dxa"/>
            <w:noWrap/>
            <w:hideMark/>
          </w:tcPr>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5 689,3</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5 700,1</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10 785,7</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color w:val="000000"/>
                <w:sz w:val="24"/>
                <w:szCs w:val="24"/>
                <w:lang w:eastAsia="ru-RU"/>
              </w:rPr>
            </w:pPr>
            <w:r w:rsidRPr="008A45AB">
              <w:rPr>
                <w:rFonts w:eastAsia="Times New Roman"/>
                <w:color w:val="000000"/>
                <w:sz w:val="24"/>
                <w:szCs w:val="24"/>
                <w:lang w:eastAsia="ru-RU"/>
              </w:rPr>
              <w:t xml:space="preserve">Темп роста - раздел D: обеспечение электрической энергией, газом и паром; кондиционирование воздуха </w:t>
            </w:r>
          </w:p>
        </w:tc>
        <w:tc>
          <w:tcPr>
            <w:tcW w:w="1562" w:type="dxa"/>
            <w:noWrap/>
            <w:hideMark/>
          </w:tcPr>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 xml:space="preserve">в % к </w:t>
            </w:r>
            <w:proofErr w:type="spellStart"/>
            <w:proofErr w:type="gramStart"/>
            <w:r w:rsidRPr="008A45AB">
              <w:rPr>
                <w:rFonts w:eastAsia="Times New Roman"/>
                <w:color w:val="000000"/>
                <w:sz w:val="24"/>
                <w:szCs w:val="24"/>
                <w:lang w:eastAsia="ru-RU"/>
              </w:rPr>
              <w:t>предыдуще-му</w:t>
            </w:r>
            <w:proofErr w:type="spellEnd"/>
            <w:proofErr w:type="gramEnd"/>
            <w:r w:rsidRPr="008A45AB">
              <w:rPr>
                <w:rFonts w:eastAsia="Times New Roman"/>
                <w:color w:val="000000"/>
                <w:sz w:val="24"/>
                <w:szCs w:val="24"/>
                <w:lang w:eastAsia="ru-RU"/>
              </w:rPr>
              <w:t xml:space="preserve"> году</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95,2</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100,2</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101,9</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color w:val="000000"/>
                <w:sz w:val="24"/>
                <w:szCs w:val="24"/>
                <w:lang w:eastAsia="ru-RU"/>
              </w:rPr>
            </w:pPr>
            <w:r w:rsidRPr="008A45AB">
              <w:rPr>
                <w:rFonts w:eastAsia="Arial Unicode MS"/>
                <w:color w:val="000000"/>
                <w:sz w:val="24"/>
                <w:szCs w:val="24"/>
                <w:lang w:eastAsia="ru-RU"/>
              </w:rPr>
              <w:t>Раздел E: водоснабжение; водоотведение, организация сбора и утилизации отходов, деятельность по ликвидации загрязнений</w:t>
            </w:r>
          </w:p>
        </w:tc>
        <w:tc>
          <w:tcPr>
            <w:tcW w:w="1562" w:type="dxa"/>
            <w:noWrap/>
            <w:hideMark/>
          </w:tcPr>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млн. руб.</w:t>
            </w:r>
          </w:p>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 xml:space="preserve">в ценах </w:t>
            </w:r>
            <w:proofErr w:type="spellStart"/>
            <w:proofErr w:type="gramStart"/>
            <w:r w:rsidRPr="008A45AB">
              <w:rPr>
                <w:rFonts w:eastAsia="Times New Roman"/>
                <w:color w:val="000000"/>
                <w:sz w:val="24"/>
                <w:szCs w:val="24"/>
                <w:lang w:eastAsia="ru-RU"/>
              </w:rPr>
              <w:t>соответст-вующих</w:t>
            </w:r>
            <w:proofErr w:type="spellEnd"/>
            <w:proofErr w:type="gramEnd"/>
            <w:r w:rsidRPr="008A45AB">
              <w:rPr>
                <w:rFonts w:eastAsia="Times New Roman"/>
                <w:color w:val="000000"/>
                <w:sz w:val="24"/>
                <w:szCs w:val="24"/>
                <w:lang w:eastAsia="ru-RU"/>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2 039,1</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2 543,4</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val="en-US" w:eastAsia="ru-RU"/>
              </w:rPr>
            </w:pPr>
            <w:r w:rsidRPr="008A45AB">
              <w:rPr>
                <w:rFonts w:eastAsia="Times New Roman"/>
                <w:color w:val="000000"/>
                <w:sz w:val="24"/>
                <w:szCs w:val="24"/>
                <w:lang w:eastAsia="ru-RU"/>
              </w:rPr>
              <w:t>5 457,7</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color w:val="000000"/>
                <w:sz w:val="24"/>
                <w:szCs w:val="24"/>
                <w:lang w:eastAsia="ru-RU"/>
              </w:rPr>
            </w:pPr>
            <w:r w:rsidRPr="008A45AB">
              <w:rPr>
                <w:rFonts w:eastAsia="Times New Roman"/>
                <w:color w:val="000000"/>
                <w:sz w:val="24"/>
                <w:szCs w:val="24"/>
                <w:lang w:eastAsia="ru-RU"/>
              </w:rPr>
              <w:t>Темп роста – раздел E: водоснабжение; водоотведение, организация сбора и утилизации отходов, деятельность по ликвидации загрязнений</w:t>
            </w:r>
          </w:p>
        </w:tc>
        <w:tc>
          <w:tcPr>
            <w:tcW w:w="1562" w:type="dxa"/>
            <w:noWrap/>
            <w:hideMark/>
          </w:tcPr>
          <w:p w:rsidR="008A45AB" w:rsidRPr="008A45AB" w:rsidRDefault="008A45AB" w:rsidP="008A45AB">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 xml:space="preserve">в % к </w:t>
            </w:r>
            <w:proofErr w:type="spellStart"/>
            <w:proofErr w:type="gramStart"/>
            <w:r w:rsidRPr="008A45AB">
              <w:rPr>
                <w:rFonts w:eastAsia="Times New Roman"/>
                <w:color w:val="000000"/>
                <w:sz w:val="24"/>
                <w:szCs w:val="24"/>
                <w:lang w:eastAsia="ru-RU"/>
              </w:rPr>
              <w:t>предыдуще-му</w:t>
            </w:r>
            <w:proofErr w:type="spellEnd"/>
            <w:proofErr w:type="gramEnd"/>
            <w:r w:rsidRPr="008A45AB">
              <w:rPr>
                <w:rFonts w:eastAsia="Times New Roman"/>
                <w:color w:val="000000"/>
                <w:sz w:val="24"/>
                <w:szCs w:val="24"/>
                <w:lang w:eastAsia="ru-RU"/>
              </w:rPr>
              <w:t xml:space="preserve"> году</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102,2</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124,7</w:t>
            </w: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val="en-US" w:eastAsia="ru-RU"/>
              </w:rPr>
            </w:pPr>
            <w:r w:rsidRPr="008A45AB">
              <w:rPr>
                <w:rFonts w:eastAsia="Times New Roman"/>
                <w:color w:val="000000"/>
                <w:sz w:val="24"/>
                <w:szCs w:val="24"/>
                <w:lang w:val="en-US" w:eastAsia="ru-RU"/>
              </w:rPr>
              <w:t>104</w:t>
            </w:r>
            <w:r w:rsidRPr="008A45AB">
              <w:rPr>
                <w:rFonts w:eastAsia="Times New Roman"/>
                <w:color w:val="000000"/>
                <w:sz w:val="24"/>
                <w:szCs w:val="24"/>
                <w:lang w:eastAsia="ru-RU"/>
              </w:rPr>
              <w:t>,</w:t>
            </w:r>
            <w:r w:rsidRPr="008A45AB">
              <w:rPr>
                <w:rFonts w:eastAsia="Times New Roman"/>
                <w:color w:val="000000"/>
                <w:sz w:val="24"/>
                <w:szCs w:val="24"/>
                <w:lang w:val="en-US" w:eastAsia="ru-RU"/>
              </w:rPr>
              <w:t>0</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bCs/>
                <w:sz w:val="24"/>
                <w:szCs w:val="24"/>
              </w:rPr>
            </w:pPr>
            <w:r w:rsidRPr="008A45AB">
              <w:rPr>
                <w:rFonts w:eastAsia="Times New Roman"/>
                <w:sz w:val="24"/>
                <w:szCs w:val="24"/>
              </w:rPr>
              <w:t>3. Рынок товаров и услуг</w:t>
            </w:r>
          </w:p>
        </w:tc>
        <w:tc>
          <w:tcPr>
            <w:tcW w:w="1562" w:type="dxa"/>
            <w:noWrap/>
            <w:hideMark/>
          </w:tcPr>
          <w:p w:rsidR="008A45AB" w:rsidRPr="008A45AB" w:rsidRDefault="008A45AB" w:rsidP="008A45AB">
            <w:pPr>
              <w:overflowPunct w:val="0"/>
              <w:autoSpaceDE w:val="0"/>
              <w:autoSpaceDN w:val="0"/>
              <w:adjustRightInd w:val="0"/>
              <w:spacing w:after="0" w:line="240" w:lineRule="auto"/>
              <w:jc w:val="center"/>
              <w:textAlignment w:val="baseline"/>
              <w:rPr>
                <w:rFonts w:ascii="Calibri" w:hAnsi="Calibri"/>
                <w:sz w:val="24"/>
                <w:szCs w:val="24"/>
              </w:rPr>
            </w:pP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Оборот розничной торговли</w:t>
            </w:r>
          </w:p>
        </w:tc>
        <w:tc>
          <w:tcPr>
            <w:tcW w:w="1562" w:type="dxa"/>
            <w:noWrap/>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25 554,6</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29 299,2</w:t>
            </w:r>
          </w:p>
        </w:tc>
        <w:tc>
          <w:tcPr>
            <w:tcW w:w="1275" w:type="dxa"/>
            <w:noWrap/>
          </w:tcPr>
          <w:p w:rsidR="008A45AB" w:rsidRPr="008A45AB" w:rsidRDefault="008A45AB" w:rsidP="008A45AB">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57 842,1</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Индекс физического объема оборота розничной торговли</w:t>
            </w:r>
          </w:p>
        </w:tc>
        <w:tc>
          <w:tcPr>
            <w:tcW w:w="1562" w:type="dxa"/>
            <w:noWrap/>
            <w:hideMark/>
          </w:tcPr>
          <w:p w:rsidR="008A45AB" w:rsidRPr="008A45AB" w:rsidRDefault="008A45AB" w:rsidP="008A45AB">
            <w:pPr>
              <w:overflowPunct w:val="0"/>
              <w:autoSpaceDE w:val="0"/>
              <w:autoSpaceDN w:val="0"/>
              <w:adjustRightInd w:val="0"/>
              <w:spacing w:after="0" w:line="240" w:lineRule="auto"/>
              <w:ind w:left="-110" w:right="-105"/>
              <w:jc w:val="center"/>
              <w:textAlignment w:val="baseline"/>
              <w:rPr>
                <w:rFonts w:eastAsia="Times New Roman"/>
                <w:sz w:val="24"/>
                <w:szCs w:val="24"/>
              </w:rPr>
            </w:pPr>
            <w:proofErr w:type="gramStart"/>
            <w:r w:rsidRPr="008A45AB">
              <w:rPr>
                <w:rFonts w:eastAsia="Times New Roman"/>
                <w:sz w:val="24"/>
                <w:szCs w:val="24"/>
              </w:rPr>
              <w:t>в</w:t>
            </w:r>
            <w:proofErr w:type="gramEnd"/>
            <w:r w:rsidRPr="008A45AB">
              <w:rPr>
                <w:rFonts w:eastAsia="Times New Roman"/>
                <w:sz w:val="24"/>
                <w:szCs w:val="24"/>
              </w:rPr>
              <w:t xml:space="preserve"> % </w:t>
            </w:r>
            <w:proofErr w:type="gramStart"/>
            <w:r w:rsidRPr="008A45AB">
              <w:rPr>
                <w:rFonts w:eastAsia="Times New Roman"/>
                <w:sz w:val="24"/>
                <w:szCs w:val="24"/>
              </w:rPr>
              <w:t>к</w:t>
            </w:r>
            <w:proofErr w:type="gramEnd"/>
            <w:r w:rsidRPr="008A45AB">
              <w:rPr>
                <w:rFonts w:eastAsia="Times New Roman"/>
                <w:sz w:val="24"/>
                <w:szCs w:val="24"/>
              </w:rPr>
              <w:t xml:space="preserve"> предыдущему году</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96,2</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108,9</w:t>
            </w:r>
          </w:p>
        </w:tc>
        <w:tc>
          <w:tcPr>
            <w:tcW w:w="1275" w:type="dxa"/>
            <w:noWrap/>
          </w:tcPr>
          <w:p w:rsidR="008A45AB" w:rsidRPr="008A45AB" w:rsidRDefault="008A45AB" w:rsidP="008A45AB">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98,8</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Оборот общественного питания</w:t>
            </w:r>
          </w:p>
        </w:tc>
        <w:tc>
          <w:tcPr>
            <w:tcW w:w="1562" w:type="dxa"/>
            <w:noWrap/>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833,1</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1 526,2</w:t>
            </w:r>
          </w:p>
        </w:tc>
        <w:tc>
          <w:tcPr>
            <w:tcW w:w="1275" w:type="dxa"/>
            <w:noWrap/>
          </w:tcPr>
          <w:p w:rsidR="008A45AB" w:rsidRPr="008A45AB" w:rsidRDefault="008A45AB" w:rsidP="008A45AB">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2 136,7</w:t>
            </w:r>
          </w:p>
        </w:tc>
      </w:tr>
      <w:tr w:rsidR="008A45AB" w:rsidRPr="008A45AB" w:rsidTr="00E10048">
        <w:trPr>
          <w:trHeight w:val="300"/>
        </w:trPr>
        <w:tc>
          <w:tcPr>
            <w:tcW w:w="3972" w:type="dxa"/>
            <w:noWrap/>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Объем платных услуг населению</w:t>
            </w:r>
          </w:p>
        </w:tc>
        <w:tc>
          <w:tcPr>
            <w:tcW w:w="1562" w:type="dxa"/>
            <w:noWrap/>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13 183,6</w:t>
            </w:r>
          </w:p>
        </w:tc>
        <w:tc>
          <w:tcPr>
            <w:tcW w:w="1418" w:type="dxa"/>
            <w:noWrap/>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13 869,6</w:t>
            </w:r>
          </w:p>
        </w:tc>
        <w:tc>
          <w:tcPr>
            <w:tcW w:w="1275" w:type="dxa"/>
            <w:noWrap/>
          </w:tcPr>
          <w:p w:rsidR="008A45AB" w:rsidRPr="008A45AB" w:rsidRDefault="008A45AB" w:rsidP="008A45AB">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30 620,4</w:t>
            </w:r>
          </w:p>
        </w:tc>
      </w:tr>
      <w:tr w:rsidR="008A45AB" w:rsidRPr="008A45AB" w:rsidTr="00E10048">
        <w:trPr>
          <w:trHeight w:val="315"/>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Индекс физического объема платных услуг населению</w:t>
            </w:r>
          </w:p>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p>
        </w:tc>
        <w:tc>
          <w:tcPr>
            <w:tcW w:w="1562" w:type="dxa"/>
            <w:hideMark/>
          </w:tcPr>
          <w:p w:rsidR="008A45AB" w:rsidRPr="008A45AB" w:rsidRDefault="008A45AB" w:rsidP="008A45AB">
            <w:pPr>
              <w:overflowPunct w:val="0"/>
              <w:autoSpaceDE w:val="0"/>
              <w:autoSpaceDN w:val="0"/>
              <w:adjustRightInd w:val="0"/>
              <w:spacing w:after="0" w:line="240" w:lineRule="auto"/>
              <w:ind w:left="-110" w:right="-105"/>
              <w:jc w:val="center"/>
              <w:textAlignment w:val="baseline"/>
              <w:rPr>
                <w:rFonts w:eastAsia="Times New Roman"/>
                <w:sz w:val="24"/>
                <w:szCs w:val="24"/>
              </w:rPr>
            </w:pPr>
            <w:r w:rsidRPr="008A45AB">
              <w:rPr>
                <w:rFonts w:eastAsia="Times New Roman"/>
                <w:sz w:val="24"/>
                <w:szCs w:val="24"/>
              </w:rPr>
              <w:t xml:space="preserve">в % к </w:t>
            </w:r>
            <w:proofErr w:type="spellStart"/>
            <w:proofErr w:type="gramStart"/>
            <w:r w:rsidRPr="008A45AB">
              <w:rPr>
                <w:rFonts w:eastAsia="Times New Roman"/>
                <w:sz w:val="24"/>
                <w:szCs w:val="24"/>
              </w:rPr>
              <w:t>преды-дущему</w:t>
            </w:r>
            <w:proofErr w:type="spellEnd"/>
            <w:proofErr w:type="gramEnd"/>
            <w:r w:rsidRPr="008A45AB">
              <w:rPr>
                <w:rFonts w:eastAsia="Times New Roman"/>
                <w:sz w:val="24"/>
                <w:szCs w:val="24"/>
              </w:rPr>
              <w:t xml:space="preserve"> году</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115,3</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100,7</w:t>
            </w:r>
          </w:p>
        </w:tc>
        <w:tc>
          <w:tcPr>
            <w:tcW w:w="1275" w:type="dxa"/>
          </w:tcPr>
          <w:p w:rsidR="008A45AB" w:rsidRPr="008A45AB" w:rsidRDefault="008A45AB" w:rsidP="008A45AB">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97,3</w:t>
            </w:r>
          </w:p>
        </w:tc>
      </w:tr>
      <w:tr w:rsidR="008A45AB" w:rsidRPr="008A45AB" w:rsidTr="00E10048">
        <w:trPr>
          <w:trHeight w:val="259"/>
        </w:trPr>
        <w:tc>
          <w:tcPr>
            <w:tcW w:w="3972" w:type="dxa"/>
            <w:shd w:val="clear" w:color="auto" w:fill="auto"/>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4. Малое и среднее предпринимательство</w:t>
            </w:r>
          </w:p>
        </w:tc>
        <w:tc>
          <w:tcPr>
            <w:tcW w:w="1562" w:type="dxa"/>
            <w:shd w:val="clear" w:color="auto" w:fill="auto"/>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shd w:val="clear" w:color="auto" w:fill="auto"/>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shd w:val="clear" w:color="auto" w:fill="auto"/>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r>
      <w:tr w:rsidR="008A45AB" w:rsidRPr="008A45AB" w:rsidTr="00E10048">
        <w:trPr>
          <w:trHeight w:val="259"/>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Количество малых предпри</w:t>
            </w:r>
            <w:r w:rsidRPr="008A45AB">
              <w:rPr>
                <w:rFonts w:eastAsia="Times New Roman"/>
                <w:sz w:val="24"/>
                <w:szCs w:val="24"/>
              </w:rPr>
              <w:softHyphen/>
              <w:t xml:space="preserve">ятий, в том числе </w:t>
            </w:r>
            <w:proofErr w:type="spellStart"/>
            <w:r w:rsidRPr="008A45AB">
              <w:rPr>
                <w:rFonts w:eastAsia="Times New Roman"/>
                <w:sz w:val="24"/>
                <w:szCs w:val="24"/>
              </w:rPr>
              <w:t>микропредприятий</w:t>
            </w:r>
            <w:proofErr w:type="spellEnd"/>
            <w:r w:rsidRPr="008A45AB">
              <w:rPr>
                <w:rFonts w:eastAsia="Times New Roman"/>
                <w:sz w:val="24"/>
                <w:szCs w:val="24"/>
              </w:rPr>
              <w:t xml:space="preserve"> – всего по состоянию на конец года</w:t>
            </w:r>
            <w:r w:rsidRPr="008A45AB">
              <w:rPr>
                <w:rFonts w:eastAsia="Times New Roman"/>
                <w:sz w:val="24"/>
                <w:szCs w:val="24"/>
                <w:vertAlign w:val="superscript"/>
              </w:rPr>
              <w:footnoteReference w:id="8"/>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единиц</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7 211</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6 331</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6 774</w:t>
            </w:r>
          </w:p>
        </w:tc>
      </w:tr>
      <w:tr w:rsidR="008A45AB" w:rsidRPr="008A45AB" w:rsidTr="00E10048">
        <w:trPr>
          <w:trHeight w:val="259"/>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Численность индивидуаль</w:t>
            </w:r>
            <w:r w:rsidRPr="008A45AB">
              <w:rPr>
                <w:rFonts w:eastAsia="Times New Roman"/>
                <w:sz w:val="24"/>
                <w:szCs w:val="24"/>
              </w:rPr>
              <w:softHyphen/>
              <w:t>ных предпри</w:t>
            </w:r>
            <w:r w:rsidRPr="008A45AB">
              <w:rPr>
                <w:rFonts w:eastAsia="Times New Roman"/>
                <w:sz w:val="24"/>
                <w:szCs w:val="24"/>
              </w:rPr>
              <w:softHyphen/>
              <w:t>нимателей - по состоянию на конец года</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человек</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8 544</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7 694</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7 503</w:t>
            </w:r>
          </w:p>
        </w:tc>
      </w:tr>
      <w:tr w:rsidR="008A45AB" w:rsidRPr="008A45AB" w:rsidTr="00E10048">
        <w:trPr>
          <w:trHeight w:val="259"/>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Количество средних пред</w:t>
            </w:r>
            <w:r w:rsidRPr="008A45AB">
              <w:rPr>
                <w:rFonts w:eastAsia="Times New Roman"/>
                <w:sz w:val="24"/>
                <w:szCs w:val="24"/>
              </w:rPr>
              <w:softHyphen/>
              <w:t xml:space="preserve">приятий – </w:t>
            </w:r>
            <w:r w:rsidRPr="008A45AB">
              <w:rPr>
                <w:rFonts w:eastAsia="Times New Roman"/>
                <w:sz w:val="24"/>
                <w:szCs w:val="24"/>
              </w:rPr>
              <w:lastRenderedPageBreak/>
              <w:t>всего</w:t>
            </w:r>
            <w:proofErr w:type="gramStart"/>
            <w:r w:rsidRPr="008A45AB">
              <w:rPr>
                <w:rFonts w:eastAsia="Times New Roman"/>
                <w:sz w:val="24"/>
                <w:szCs w:val="24"/>
                <w:vertAlign w:val="superscript"/>
              </w:rPr>
              <w:t>2</w:t>
            </w:r>
            <w:proofErr w:type="gramEnd"/>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lastRenderedPageBreak/>
              <w:t>единиц</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22</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30</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30</w:t>
            </w:r>
          </w:p>
        </w:tc>
      </w:tr>
      <w:tr w:rsidR="008A45AB" w:rsidRPr="008A45AB" w:rsidTr="00E10048">
        <w:trPr>
          <w:trHeight w:val="259"/>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lastRenderedPageBreak/>
              <w:t>5. Инвестиции и строительство</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ascii="Calibri" w:hAnsi="Calibri"/>
                <w:sz w:val="24"/>
                <w:szCs w:val="24"/>
              </w:rPr>
            </w:pP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p>
        </w:tc>
      </w:tr>
      <w:tr w:rsidR="008A45AB" w:rsidRPr="008A45AB" w:rsidTr="00E10048">
        <w:trPr>
          <w:trHeight w:val="259"/>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b/>
                <w:sz w:val="24"/>
                <w:szCs w:val="24"/>
              </w:rPr>
            </w:pPr>
            <w:r w:rsidRPr="008A45AB">
              <w:rPr>
                <w:rFonts w:eastAsia="Times New Roman"/>
                <w:sz w:val="24"/>
                <w:szCs w:val="24"/>
              </w:rPr>
              <w:t xml:space="preserve">Объем инвестиций в основной капитал (за исключением бюджетных средств) </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ascii="Calibri" w:hAnsi="Calibri"/>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12 652,9</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13 942,7</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33 645,9</w:t>
            </w:r>
          </w:p>
        </w:tc>
      </w:tr>
      <w:tr w:rsidR="008A45AB" w:rsidRPr="008A45AB" w:rsidTr="00E10048">
        <w:trPr>
          <w:trHeight w:val="286"/>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Объем инвестиций (в основной капитал) за счет всех источников финансирования – всего</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23 811,4</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25 740,2</w:t>
            </w:r>
          </w:p>
        </w:tc>
        <w:tc>
          <w:tcPr>
            <w:tcW w:w="1275" w:type="dxa"/>
          </w:tcPr>
          <w:p w:rsidR="008A45AB" w:rsidRPr="008A45AB" w:rsidRDefault="008A45AB" w:rsidP="008A45AB">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73 753,0</w:t>
            </w:r>
          </w:p>
        </w:tc>
      </w:tr>
      <w:tr w:rsidR="008A45AB" w:rsidRPr="008A45AB" w:rsidTr="00E10048">
        <w:trPr>
          <w:trHeight w:val="63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бюджетные средства,</w:t>
            </w:r>
          </w:p>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из них:</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11 158,6</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11 797,5</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40 107,1</w:t>
            </w:r>
          </w:p>
        </w:tc>
      </w:tr>
      <w:tr w:rsidR="008A45AB" w:rsidRPr="008A45AB" w:rsidTr="00E10048">
        <w:trPr>
          <w:trHeight w:val="63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средства федерального бюджета</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10 429,6</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10 906,7</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37 412,9</w:t>
            </w:r>
          </w:p>
        </w:tc>
      </w:tr>
      <w:tr w:rsidR="008A45AB" w:rsidRPr="008A45AB" w:rsidTr="00E10048">
        <w:trPr>
          <w:trHeight w:val="63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средства бюджета субъекта Федерации</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425,6</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732,1</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1 286,1</w:t>
            </w:r>
          </w:p>
        </w:tc>
      </w:tr>
      <w:tr w:rsidR="008A45AB" w:rsidRPr="008A45AB" w:rsidTr="00E10048">
        <w:trPr>
          <w:trHeight w:val="63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средства муниципального бюджета</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303,3</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158,8</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1 408,1</w:t>
            </w:r>
          </w:p>
        </w:tc>
      </w:tr>
      <w:tr w:rsidR="008A45AB" w:rsidRPr="008A45AB" w:rsidTr="00E10048">
        <w:trPr>
          <w:trHeight w:val="63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lang w:val="en-US"/>
              </w:rPr>
            </w:pPr>
            <w:r w:rsidRPr="008A45AB">
              <w:rPr>
                <w:rFonts w:eastAsia="Times New Roman"/>
                <w:sz w:val="24"/>
                <w:szCs w:val="24"/>
              </w:rPr>
              <w:t>собственные средства предприятий</w:t>
            </w:r>
          </w:p>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lang w:val="en-US"/>
              </w:rPr>
            </w:pPr>
          </w:p>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lang w:val="en-US"/>
              </w:rPr>
            </w:pP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10 381,8</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8 528,0</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31 252,4</w:t>
            </w:r>
          </w:p>
        </w:tc>
      </w:tr>
      <w:tr w:rsidR="008A45AB" w:rsidRPr="008A45AB" w:rsidTr="00E10048">
        <w:trPr>
          <w:trHeight w:val="63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 xml:space="preserve">Объем выполненных работ по виду деятельности «Строительство» </w:t>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 xml:space="preserve">млн. руб. </w:t>
            </w:r>
            <w:r w:rsidRPr="008A45AB">
              <w:rPr>
                <w:rFonts w:eastAsia="Times New Roman"/>
                <w:color w:val="000000"/>
                <w:sz w:val="24"/>
                <w:szCs w:val="24"/>
                <w:lang w:eastAsia="ru-RU"/>
              </w:rPr>
              <w:br/>
              <w:t xml:space="preserve">в ценах </w:t>
            </w:r>
            <w:proofErr w:type="spellStart"/>
            <w:proofErr w:type="gramStart"/>
            <w:r w:rsidRPr="008A45AB">
              <w:rPr>
                <w:rFonts w:eastAsia="Times New Roman"/>
                <w:color w:val="000000"/>
                <w:sz w:val="24"/>
                <w:szCs w:val="24"/>
                <w:lang w:eastAsia="ru-RU"/>
              </w:rPr>
              <w:t>соответству-ющих</w:t>
            </w:r>
            <w:proofErr w:type="spellEnd"/>
            <w:proofErr w:type="gramEnd"/>
            <w:r w:rsidRPr="008A45AB">
              <w:rPr>
                <w:rFonts w:eastAsia="Times New Roman"/>
                <w:color w:val="000000"/>
                <w:sz w:val="24"/>
                <w:szCs w:val="24"/>
                <w:lang w:eastAsia="ru-RU"/>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206,9</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832,2</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998,6</w:t>
            </w:r>
          </w:p>
        </w:tc>
      </w:tr>
      <w:tr w:rsidR="008A45AB" w:rsidRPr="008A45AB" w:rsidTr="00E10048">
        <w:trPr>
          <w:trHeight w:val="170"/>
        </w:trPr>
        <w:tc>
          <w:tcPr>
            <w:tcW w:w="3972" w:type="dxa"/>
            <w:hideMark/>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6. Сальдированный финансовый результат (прибыль, убыток) деятельности крупных и средних предприятий</w:t>
            </w:r>
            <w:r w:rsidRPr="008A45AB">
              <w:rPr>
                <w:rFonts w:eastAsia="Times New Roman"/>
                <w:sz w:val="24"/>
                <w:szCs w:val="24"/>
                <w:vertAlign w:val="superscript"/>
              </w:rPr>
              <w:footnoteReference w:id="9"/>
            </w:r>
          </w:p>
        </w:tc>
        <w:tc>
          <w:tcPr>
            <w:tcW w:w="1562" w:type="dxa"/>
            <w:hideMark/>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млн. руб.</w:t>
            </w: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25 847,9</w:t>
            </w: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26 976,1</w:t>
            </w: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8A45AB">
              <w:rPr>
                <w:rFonts w:eastAsia="Times New Roman"/>
                <w:color w:val="000000"/>
                <w:sz w:val="24"/>
                <w:szCs w:val="24"/>
                <w:lang w:eastAsia="ru-RU"/>
              </w:rPr>
              <w:t>80 624,9</w:t>
            </w:r>
          </w:p>
        </w:tc>
      </w:tr>
      <w:tr w:rsidR="008A45AB" w:rsidRPr="008A45AB" w:rsidTr="00E10048">
        <w:trPr>
          <w:trHeight w:val="170"/>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bCs/>
                <w:sz w:val="24"/>
                <w:szCs w:val="24"/>
              </w:rPr>
            </w:pPr>
            <w:r w:rsidRPr="008A45AB">
              <w:rPr>
                <w:rFonts w:eastAsia="Times New Roman"/>
                <w:bCs/>
                <w:sz w:val="24"/>
                <w:szCs w:val="24"/>
              </w:rPr>
              <w:t>7. Труд и занятость</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ascii="Calibri" w:eastAsia="Times New Roman" w:hAnsi="Calibri"/>
                <w:sz w:val="24"/>
                <w:szCs w:val="24"/>
              </w:rPr>
            </w:pPr>
          </w:p>
        </w:tc>
        <w:tc>
          <w:tcPr>
            <w:tcW w:w="1417" w:type="dxa"/>
          </w:tcPr>
          <w:p w:rsidR="008A45AB" w:rsidRPr="008A45AB" w:rsidRDefault="008A45AB" w:rsidP="008A45AB">
            <w:pPr>
              <w:overflowPunct w:val="0"/>
              <w:autoSpaceDE w:val="0"/>
              <w:autoSpaceDN w:val="0"/>
              <w:adjustRightInd w:val="0"/>
              <w:spacing w:after="0" w:line="240" w:lineRule="auto"/>
              <w:jc w:val="center"/>
              <w:textAlignment w:val="baseline"/>
              <w:rPr>
                <w:rFonts w:ascii="Calibri" w:eastAsia="Times New Roman" w:hAnsi="Calibri"/>
                <w:sz w:val="24"/>
                <w:szCs w:val="24"/>
              </w:rPr>
            </w:pPr>
          </w:p>
        </w:tc>
        <w:tc>
          <w:tcPr>
            <w:tcW w:w="1418" w:type="dxa"/>
          </w:tcPr>
          <w:p w:rsidR="008A45AB" w:rsidRPr="008A45AB" w:rsidRDefault="008A45AB" w:rsidP="008A45AB">
            <w:pPr>
              <w:overflowPunct w:val="0"/>
              <w:autoSpaceDE w:val="0"/>
              <w:autoSpaceDN w:val="0"/>
              <w:adjustRightInd w:val="0"/>
              <w:spacing w:after="0" w:line="240" w:lineRule="auto"/>
              <w:jc w:val="center"/>
              <w:textAlignment w:val="baseline"/>
              <w:rPr>
                <w:rFonts w:ascii="Calibri" w:eastAsia="Times New Roman" w:hAnsi="Calibri"/>
                <w:sz w:val="24"/>
                <w:szCs w:val="24"/>
              </w:rPr>
            </w:pPr>
          </w:p>
        </w:tc>
        <w:tc>
          <w:tcPr>
            <w:tcW w:w="1275" w:type="dxa"/>
          </w:tcPr>
          <w:p w:rsidR="008A45AB" w:rsidRPr="008A45AB" w:rsidRDefault="008A45AB" w:rsidP="008A45AB">
            <w:pPr>
              <w:overflowPunct w:val="0"/>
              <w:autoSpaceDE w:val="0"/>
              <w:autoSpaceDN w:val="0"/>
              <w:adjustRightInd w:val="0"/>
              <w:spacing w:after="0" w:line="240" w:lineRule="auto"/>
              <w:jc w:val="center"/>
              <w:textAlignment w:val="baseline"/>
              <w:rPr>
                <w:rFonts w:ascii="Calibri" w:eastAsia="Times New Roman" w:hAnsi="Calibri"/>
                <w:sz w:val="24"/>
                <w:szCs w:val="24"/>
              </w:rPr>
            </w:pPr>
          </w:p>
        </w:tc>
      </w:tr>
      <w:tr w:rsidR="008A45AB" w:rsidRPr="008A45AB" w:rsidTr="00E10048">
        <w:trPr>
          <w:trHeight w:val="170"/>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Численность населения в трудоспособном возрасте (среднегодовая)</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тыс. человек</w:t>
            </w:r>
          </w:p>
        </w:tc>
        <w:tc>
          <w:tcPr>
            <w:tcW w:w="1417"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418"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275" w:type="dxa"/>
          </w:tcPr>
          <w:p w:rsidR="008A45AB"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162,56</w:t>
            </w:r>
          </w:p>
        </w:tc>
      </w:tr>
      <w:tr w:rsidR="008A45AB" w:rsidRPr="008A45AB" w:rsidTr="00E10048">
        <w:trPr>
          <w:trHeight w:val="170"/>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 xml:space="preserve">Численность безработных, зарегистрированных в службах </w:t>
            </w:r>
            <w:r w:rsidRPr="008A45AB">
              <w:rPr>
                <w:rFonts w:eastAsia="Times New Roman"/>
                <w:sz w:val="24"/>
                <w:szCs w:val="24"/>
              </w:rPr>
              <w:lastRenderedPageBreak/>
              <w:t>занятости, в среднем за год</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lastRenderedPageBreak/>
              <w:t>тыс. человек</w:t>
            </w:r>
          </w:p>
        </w:tc>
        <w:tc>
          <w:tcPr>
            <w:tcW w:w="1417"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418"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275" w:type="dxa"/>
          </w:tcPr>
          <w:p w:rsidR="008A45AB"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3,32</w:t>
            </w:r>
          </w:p>
        </w:tc>
      </w:tr>
      <w:tr w:rsidR="008A45AB" w:rsidRPr="008A45AB" w:rsidTr="00E10048">
        <w:trPr>
          <w:trHeight w:val="170"/>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lastRenderedPageBreak/>
              <w:t>Уровень зарегистрированной безработицы (к трудоспособному населению)</w:t>
            </w:r>
          </w:p>
        </w:tc>
        <w:tc>
          <w:tcPr>
            <w:tcW w:w="1562" w:type="dxa"/>
          </w:tcPr>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w:t>
            </w:r>
          </w:p>
        </w:tc>
        <w:tc>
          <w:tcPr>
            <w:tcW w:w="1417"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418"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275" w:type="dxa"/>
          </w:tcPr>
          <w:p w:rsidR="008A45AB"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1,9</w:t>
            </w:r>
          </w:p>
        </w:tc>
      </w:tr>
      <w:tr w:rsidR="00C9534F" w:rsidRPr="008A45AB" w:rsidTr="00E10048">
        <w:trPr>
          <w:trHeight w:val="170"/>
        </w:trPr>
        <w:tc>
          <w:tcPr>
            <w:tcW w:w="3972" w:type="dxa"/>
          </w:tcPr>
          <w:p w:rsidR="00C9534F" w:rsidRPr="008A45AB" w:rsidRDefault="00C9534F"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 xml:space="preserve">Среднесписочная численность работников организаций (без субъектов малого предпринимательства) </w:t>
            </w:r>
          </w:p>
        </w:tc>
        <w:tc>
          <w:tcPr>
            <w:tcW w:w="1562" w:type="dxa"/>
          </w:tcPr>
          <w:p w:rsidR="00C9534F" w:rsidRPr="008A45AB" w:rsidRDefault="00C9534F"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тыс. человек</w:t>
            </w:r>
          </w:p>
        </w:tc>
        <w:tc>
          <w:tcPr>
            <w:tcW w:w="1417" w:type="dxa"/>
          </w:tcPr>
          <w:p w:rsidR="00C9534F" w:rsidRPr="00AB6342" w:rsidRDefault="00C9534F" w:rsidP="00C9534F">
            <w:pPr>
              <w:ind w:left="-111" w:right="-108"/>
              <w:jc w:val="center"/>
              <w:rPr>
                <w:color w:val="000000"/>
                <w:sz w:val="24"/>
                <w:szCs w:val="24"/>
              </w:rPr>
            </w:pPr>
            <w:r w:rsidRPr="00AB6342">
              <w:rPr>
                <w:sz w:val="24"/>
                <w:szCs w:val="28"/>
              </w:rPr>
              <w:t>88,</w:t>
            </w:r>
            <w:r>
              <w:rPr>
                <w:sz w:val="24"/>
                <w:szCs w:val="28"/>
              </w:rPr>
              <w:t>97</w:t>
            </w:r>
          </w:p>
        </w:tc>
        <w:tc>
          <w:tcPr>
            <w:tcW w:w="1418" w:type="dxa"/>
          </w:tcPr>
          <w:p w:rsidR="00C9534F"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88,51</w:t>
            </w:r>
          </w:p>
        </w:tc>
        <w:tc>
          <w:tcPr>
            <w:tcW w:w="1275" w:type="dxa"/>
          </w:tcPr>
          <w:p w:rsidR="00C9534F"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88,48</w:t>
            </w:r>
          </w:p>
        </w:tc>
      </w:tr>
      <w:tr w:rsidR="00C9534F" w:rsidRPr="008A45AB" w:rsidTr="00E10048">
        <w:trPr>
          <w:trHeight w:val="170"/>
        </w:trPr>
        <w:tc>
          <w:tcPr>
            <w:tcW w:w="3972" w:type="dxa"/>
          </w:tcPr>
          <w:p w:rsidR="00C9534F" w:rsidRPr="008A45AB" w:rsidRDefault="00C9534F"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Среднемесячная начисленная заработная плата работников организаций (без субъектов малого предпринимательства)</w:t>
            </w:r>
          </w:p>
        </w:tc>
        <w:tc>
          <w:tcPr>
            <w:tcW w:w="1562" w:type="dxa"/>
          </w:tcPr>
          <w:p w:rsidR="00C9534F" w:rsidRPr="008A45AB" w:rsidRDefault="00C9534F" w:rsidP="008A45AB">
            <w:pPr>
              <w:overflowPunct w:val="0"/>
              <w:autoSpaceDE w:val="0"/>
              <w:autoSpaceDN w:val="0"/>
              <w:adjustRightInd w:val="0"/>
              <w:spacing w:after="0" w:line="240" w:lineRule="auto"/>
              <w:jc w:val="center"/>
              <w:textAlignment w:val="baseline"/>
              <w:rPr>
                <w:rFonts w:eastAsia="Times New Roman"/>
                <w:sz w:val="24"/>
                <w:szCs w:val="24"/>
              </w:rPr>
            </w:pPr>
            <w:r w:rsidRPr="008A45AB">
              <w:rPr>
                <w:rFonts w:eastAsia="Times New Roman"/>
                <w:sz w:val="24"/>
                <w:szCs w:val="24"/>
              </w:rPr>
              <w:t xml:space="preserve">руб. в ценах </w:t>
            </w:r>
            <w:proofErr w:type="spellStart"/>
            <w:proofErr w:type="gramStart"/>
            <w:r w:rsidRPr="008A45AB">
              <w:rPr>
                <w:rFonts w:eastAsia="Times New Roman"/>
                <w:sz w:val="24"/>
                <w:szCs w:val="24"/>
              </w:rPr>
              <w:t>соответст-вующих</w:t>
            </w:r>
            <w:proofErr w:type="spellEnd"/>
            <w:proofErr w:type="gramEnd"/>
            <w:r w:rsidRPr="008A45AB">
              <w:rPr>
                <w:rFonts w:eastAsia="Times New Roman"/>
                <w:sz w:val="24"/>
                <w:szCs w:val="24"/>
              </w:rPr>
              <w:t xml:space="preserve"> лет</w:t>
            </w:r>
          </w:p>
        </w:tc>
        <w:tc>
          <w:tcPr>
            <w:tcW w:w="1417" w:type="dxa"/>
          </w:tcPr>
          <w:p w:rsidR="00C9534F" w:rsidRPr="00AB6342" w:rsidRDefault="00C9534F" w:rsidP="00E327BF">
            <w:pPr>
              <w:ind w:left="-111" w:right="-108"/>
              <w:jc w:val="center"/>
              <w:rPr>
                <w:color w:val="000000"/>
                <w:sz w:val="24"/>
                <w:szCs w:val="24"/>
              </w:rPr>
            </w:pPr>
            <w:r>
              <w:rPr>
                <w:sz w:val="24"/>
                <w:szCs w:val="28"/>
              </w:rPr>
              <w:t>76 320,2</w:t>
            </w:r>
          </w:p>
        </w:tc>
        <w:tc>
          <w:tcPr>
            <w:tcW w:w="1418" w:type="dxa"/>
          </w:tcPr>
          <w:p w:rsidR="00C9534F"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83 978,6</w:t>
            </w:r>
          </w:p>
        </w:tc>
        <w:tc>
          <w:tcPr>
            <w:tcW w:w="1275" w:type="dxa"/>
          </w:tcPr>
          <w:p w:rsidR="00C9534F" w:rsidRPr="008A45AB" w:rsidRDefault="00C9534F"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85 490,0</w:t>
            </w:r>
          </w:p>
        </w:tc>
      </w:tr>
      <w:tr w:rsidR="008A45AB" w:rsidRPr="008A45AB" w:rsidTr="00E10048">
        <w:trPr>
          <w:trHeight w:val="170"/>
        </w:trPr>
        <w:tc>
          <w:tcPr>
            <w:tcW w:w="3972" w:type="dxa"/>
          </w:tcPr>
          <w:p w:rsidR="008A45AB" w:rsidRPr="008A45AB" w:rsidRDefault="008A45AB" w:rsidP="008A45AB">
            <w:pPr>
              <w:overflowPunct w:val="0"/>
              <w:autoSpaceDE w:val="0"/>
              <w:autoSpaceDN w:val="0"/>
              <w:adjustRightInd w:val="0"/>
              <w:spacing w:after="0" w:line="240" w:lineRule="auto"/>
              <w:textAlignment w:val="baseline"/>
              <w:rPr>
                <w:rFonts w:eastAsia="Times New Roman"/>
                <w:sz w:val="24"/>
                <w:szCs w:val="24"/>
              </w:rPr>
            </w:pPr>
            <w:r w:rsidRPr="008A45AB">
              <w:rPr>
                <w:rFonts w:eastAsia="Times New Roman"/>
                <w:sz w:val="24"/>
                <w:szCs w:val="24"/>
              </w:rPr>
              <w:t>Среднемесячная реальная заработная плата работников организаций (без субъектов малого предпринимательства)</w:t>
            </w:r>
          </w:p>
        </w:tc>
        <w:tc>
          <w:tcPr>
            <w:tcW w:w="1562" w:type="dxa"/>
          </w:tcPr>
          <w:p w:rsidR="008A45AB" w:rsidRPr="008A45AB" w:rsidRDefault="008A45AB" w:rsidP="008A45AB">
            <w:pPr>
              <w:overflowPunct w:val="0"/>
              <w:autoSpaceDE w:val="0"/>
              <w:autoSpaceDN w:val="0"/>
              <w:adjustRightInd w:val="0"/>
              <w:spacing w:after="0" w:line="240" w:lineRule="auto"/>
              <w:ind w:left="-110" w:right="-105"/>
              <w:jc w:val="center"/>
              <w:textAlignment w:val="baseline"/>
              <w:rPr>
                <w:rFonts w:eastAsia="Times New Roman"/>
                <w:sz w:val="24"/>
                <w:szCs w:val="24"/>
              </w:rPr>
            </w:pPr>
            <w:proofErr w:type="gramStart"/>
            <w:r w:rsidRPr="008A45AB">
              <w:rPr>
                <w:rFonts w:eastAsia="Times New Roman"/>
                <w:sz w:val="24"/>
                <w:szCs w:val="24"/>
              </w:rPr>
              <w:t>в</w:t>
            </w:r>
            <w:proofErr w:type="gramEnd"/>
            <w:r w:rsidRPr="008A45AB">
              <w:rPr>
                <w:rFonts w:eastAsia="Times New Roman"/>
                <w:sz w:val="24"/>
                <w:szCs w:val="24"/>
              </w:rPr>
              <w:t xml:space="preserve"> % к предыдущему периоду</w:t>
            </w:r>
          </w:p>
        </w:tc>
        <w:tc>
          <w:tcPr>
            <w:tcW w:w="1417"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418" w:type="dxa"/>
          </w:tcPr>
          <w:p w:rsidR="008A45AB" w:rsidRPr="008A45AB" w:rsidRDefault="008A45AB"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8A45AB">
              <w:rPr>
                <w:rFonts w:eastAsia="Times New Roman"/>
                <w:sz w:val="24"/>
                <w:szCs w:val="28"/>
                <w:lang w:eastAsia="ru-RU"/>
              </w:rPr>
              <w:t>х</w:t>
            </w:r>
          </w:p>
        </w:tc>
        <w:tc>
          <w:tcPr>
            <w:tcW w:w="1275" w:type="dxa"/>
          </w:tcPr>
          <w:p w:rsidR="008A45AB" w:rsidRPr="008A45AB" w:rsidRDefault="00EC502D" w:rsidP="008A45AB">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Pr>
                <w:rFonts w:eastAsia="Times New Roman"/>
                <w:color w:val="000000"/>
                <w:sz w:val="24"/>
                <w:szCs w:val="24"/>
              </w:rPr>
              <w:t>102</w:t>
            </w:r>
          </w:p>
        </w:tc>
      </w:tr>
    </w:tbl>
    <w:p w:rsidR="008A45AB" w:rsidRDefault="008A45AB" w:rsidP="008A45AB">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p>
    <w:p w:rsidR="00282F3F" w:rsidRPr="008A45AB" w:rsidRDefault="00282F3F" w:rsidP="008A45AB">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p>
    <w:p w:rsidR="008A45AB" w:rsidRPr="008A45AB" w:rsidRDefault="008A45AB" w:rsidP="008A45AB">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8A45AB">
        <w:rPr>
          <w:rFonts w:eastAsia="Times New Roman"/>
          <w:bCs/>
          <w:szCs w:val="28"/>
          <w:lang w:eastAsia="ru-RU"/>
        </w:rPr>
        <w:t>Пояснительная записка к предварительным итогам социально-</w:t>
      </w:r>
    </w:p>
    <w:p w:rsidR="008A45AB" w:rsidRPr="008A45AB" w:rsidRDefault="008A45AB" w:rsidP="008A45AB">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8A45AB">
        <w:rPr>
          <w:rFonts w:eastAsia="Times New Roman"/>
          <w:bCs/>
          <w:szCs w:val="28"/>
          <w:lang w:eastAsia="ru-RU"/>
        </w:rPr>
        <w:t>экономического развития муниципального образования город Мурманск</w:t>
      </w:r>
    </w:p>
    <w:p w:rsidR="008A45AB" w:rsidRPr="008A45AB" w:rsidRDefault="008A45AB" w:rsidP="008A45AB">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8A45AB">
        <w:rPr>
          <w:rFonts w:eastAsia="Times New Roman"/>
          <w:bCs/>
          <w:szCs w:val="28"/>
          <w:lang w:eastAsia="ru-RU"/>
        </w:rPr>
        <w:t>за первое полугодие 2021 года и ожидаемым итогам</w:t>
      </w:r>
    </w:p>
    <w:p w:rsidR="008A45AB" w:rsidRPr="008A45AB" w:rsidRDefault="008A45AB" w:rsidP="008A45AB">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8A45AB">
        <w:rPr>
          <w:rFonts w:eastAsia="Times New Roman"/>
          <w:bCs/>
          <w:szCs w:val="28"/>
          <w:lang w:eastAsia="ru-RU"/>
        </w:rPr>
        <w:t>социально-экономического развития за 2021 год</w:t>
      </w:r>
    </w:p>
    <w:p w:rsid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A62077" w:rsidRPr="00A62077" w:rsidRDefault="00A62077" w:rsidP="00A62077">
      <w:pPr>
        <w:keepNext/>
        <w:spacing w:after="0" w:line="240" w:lineRule="auto"/>
        <w:jc w:val="center"/>
        <w:outlineLvl w:val="0"/>
        <w:rPr>
          <w:rFonts w:eastAsia="Times New Roman"/>
          <w:bCs/>
          <w:kern w:val="32"/>
          <w:szCs w:val="28"/>
          <w:lang w:eastAsia="ru-RU"/>
        </w:rPr>
      </w:pPr>
      <w:r w:rsidRPr="00A62077">
        <w:rPr>
          <w:rFonts w:eastAsia="Times New Roman"/>
          <w:bCs/>
          <w:kern w:val="32"/>
          <w:szCs w:val="28"/>
          <w:lang w:eastAsia="ru-RU"/>
        </w:rPr>
        <w:t>Демографические показатели</w:t>
      </w:r>
    </w:p>
    <w:p w:rsidR="00A62077" w:rsidRPr="00A62077" w:rsidRDefault="00A62077" w:rsidP="00A62077">
      <w:pPr>
        <w:keepNext/>
        <w:spacing w:after="0" w:line="240" w:lineRule="auto"/>
        <w:ind w:firstLine="709"/>
        <w:jc w:val="both"/>
        <w:outlineLvl w:val="0"/>
        <w:rPr>
          <w:rFonts w:eastAsia="Times New Roman"/>
          <w:bCs/>
          <w:kern w:val="32"/>
          <w:szCs w:val="28"/>
          <w:lang w:eastAsia="ru-RU"/>
        </w:rPr>
      </w:pPr>
    </w:p>
    <w:p w:rsidR="00552CF7" w:rsidRPr="00552CF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52CF7">
        <w:rPr>
          <w:rFonts w:eastAsia="Times New Roman"/>
          <w:szCs w:val="28"/>
          <w:lang w:eastAsia="ru-RU"/>
        </w:rPr>
        <w:t xml:space="preserve">Динамика </w:t>
      </w:r>
      <w:proofErr w:type="gramStart"/>
      <w:r w:rsidRPr="00552CF7">
        <w:rPr>
          <w:rFonts w:eastAsia="Times New Roman"/>
          <w:szCs w:val="28"/>
          <w:lang w:eastAsia="ru-RU"/>
        </w:rPr>
        <w:t>показателей естественного движения населения города Мурманска</w:t>
      </w:r>
      <w:proofErr w:type="gramEnd"/>
      <w:r w:rsidRPr="00552CF7">
        <w:rPr>
          <w:rFonts w:eastAsia="Times New Roman"/>
          <w:szCs w:val="28"/>
          <w:lang w:eastAsia="ru-RU"/>
        </w:rPr>
        <w:t xml:space="preserve"> в 2020 году по отношению к 2019 году характеризуется незначительным сокращением числа родившихся при увеличении на 22% числа умерших. При этом показатель естественного прироста населения </w:t>
      </w:r>
      <w:r w:rsidRPr="00552CF7">
        <w:rPr>
          <w:rFonts w:eastAsia="Times New Roman"/>
          <w:szCs w:val="28"/>
          <w:lang w:eastAsia="ru-RU"/>
        </w:rPr>
        <w:br/>
        <w:t>в 2020 году, как и в 2019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rsidR="00552CF7" w:rsidRPr="00552CF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52CF7">
        <w:rPr>
          <w:rFonts w:eastAsia="Times New Roman"/>
          <w:szCs w:val="28"/>
          <w:lang w:eastAsia="ru-RU"/>
        </w:rPr>
        <w:t xml:space="preserve">Ожидается, что по итогам 2021 года родится на 3 ребенка меньше, чем в 2020 году (2548 детей). Коэффициент рождаемости предположительно составит 9,07 человек на 1000 населения, коэффициент смертности – 15,21 человек на 1000 населения. Коэффициент естественного прироста предположительно составит -6,14 человек на 1000 населения. </w:t>
      </w:r>
    </w:p>
    <w:p w:rsidR="00552CF7" w:rsidRPr="00552CF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52CF7">
        <w:rPr>
          <w:rFonts w:eastAsia="Times New Roman"/>
          <w:szCs w:val="28"/>
          <w:lang w:eastAsia="ru-RU"/>
        </w:rPr>
        <w:t xml:space="preserve">Основной и наиболее существенной причиной сокращения населения города Мурманска остается миграционный отток. </w:t>
      </w:r>
    </w:p>
    <w:p w:rsidR="00552CF7" w:rsidRPr="00552CF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52CF7">
        <w:rPr>
          <w:rFonts w:eastAsia="Times New Roman"/>
          <w:szCs w:val="28"/>
          <w:lang w:eastAsia="ru-RU"/>
        </w:rPr>
        <w:t xml:space="preserve">В первом полугодии текущего года количество прибывших увеличилось на 259 человек, или на 6,6% по сравнению с аналогичным периодом 2020 года, и составило 4168 человек. Также увеличилось количество выбывших - на 223 </w:t>
      </w:r>
      <w:r w:rsidRPr="00552CF7">
        <w:rPr>
          <w:rFonts w:eastAsia="Times New Roman"/>
          <w:szCs w:val="28"/>
          <w:lang w:eastAsia="ru-RU"/>
        </w:rPr>
        <w:lastRenderedPageBreak/>
        <w:t>человек, или 4,5%. По итогам 2021 года коэффициент миграционного прироста предположительно составит -9,74 человек на 1000 населения.</w:t>
      </w:r>
    </w:p>
    <w:p w:rsidR="00552CF7" w:rsidRPr="00552CF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52CF7">
        <w:rPr>
          <w:rFonts w:eastAsia="Times New Roman"/>
          <w:szCs w:val="28"/>
          <w:lang w:eastAsia="ru-RU"/>
        </w:rPr>
        <w:t>Ожидается, что в 202</w:t>
      </w:r>
      <w:r>
        <w:rPr>
          <w:rFonts w:eastAsia="Times New Roman"/>
          <w:szCs w:val="28"/>
          <w:lang w:eastAsia="ru-RU"/>
        </w:rPr>
        <w:t>1</w:t>
      </w:r>
      <w:r w:rsidRPr="00552CF7">
        <w:rPr>
          <w:rFonts w:eastAsia="Times New Roman"/>
          <w:szCs w:val="28"/>
          <w:lang w:eastAsia="ru-RU"/>
        </w:rPr>
        <w:t xml:space="preserve"> году среднегодовое значение численности населения города Мурманска сократится на 1,7% к предыдущему году и составит 280 622 человек.</w:t>
      </w:r>
    </w:p>
    <w:p w:rsidR="00552CF7" w:rsidRPr="00552CF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552CF7">
        <w:rPr>
          <w:rFonts w:eastAsia="Times New Roman"/>
          <w:szCs w:val="28"/>
          <w:lang w:eastAsia="ru-RU"/>
        </w:rPr>
        <w:t>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пр.</w:t>
      </w:r>
      <w:proofErr w:type="gramEnd"/>
    </w:p>
    <w:p w:rsidR="00A62077" w:rsidRPr="008A45AB" w:rsidRDefault="00A62077"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8"/>
          <w:lang w:eastAsia="ru-RU"/>
        </w:rPr>
      </w:pPr>
      <w:r w:rsidRPr="008A45AB">
        <w:rPr>
          <w:rFonts w:eastAsia="Times New Roman"/>
          <w:szCs w:val="28"/>
          <w:lang w:eastAsia="ru-RU"/>
        </w:rPr>
        <w:t>Производство товаров и услуг</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В первой половине 2021 года наблюдается улучшение как внешних, так и внутренних условий </w:t>
      </w:r>
      <w:proofErr w:type="gramStart"/>
      <w:r w:rsidRPr="008A45AB">
        <w:rPr>
          <w:rFonts w:eastAsia="Times New Roman"/>
          <w:szCs w:val="28"/>
          <w:lang w:eastAsia="ru-RU"/>
        </w:rPr>
        <w:t>развития</w:t>
      </w:r>
      <w:proofErr w:type="gramEnd"/>
      <w:r w:rsidRPr="008A45AB">
        <w:rPr>
          <w:rFonts w:eastAsia="Times New Roman"/>
          <w:szCs w:val="28"/>
          <w:lang w:eastAsia="ru-RU"/>
        </w:rPr>
        <w:t xml:space="preserve"> как экономики России, так и экономического развития города Мурманска. Вместе с тем экономические последствия распространения новой </w:t>
      </w:r>
      <w:proofErr w:type="spellStart"/>
      <w:r w:rsidRPr="008A45AB">
        <w:rPr>
          <w:rFonts w:eastAsia="Times New Roman"/>
          <w:szCs w:val="28"/>
          <w:lang w:eastAsia="ru-RU"/>
        </w:rPr>
        <w:t>коронавирусной</w:t>
      </w:r>
      <w:proofErr w:type="spellEnd"/>
      <w:r w:rsidRPr="008A45AB">
        <w:rPr>
          <w:rFonts w:eastAsia="Times New Roman"/>
          <w:szCs w:val="28"/>
          <w:lang w:eastAsia="ru-RU"/>
        </w:rPr>
        <w:t xml:space="preserve"> инфекции (</w:t>
      </w:r>
      <w:r w:rsidRPr="008A45AB">
        <w:rPr>
          <w:rFonts w:eastAsia="Times New Roman"/>
          <w:szCs w:val="28"/>
          <w:lang w:val="en-US" w:eastAsia="ru-RU"/>
        </w:rPr>
        <w:t>COVID</w:t>
      </w:r>
      <w:r w:rsidRPr="008A45AB">
        <w:rPr>
          <w:rFonts w:eastAsia="Times New Roman"/>
          <w:szCs w:val="28"/>
          <w:lang w:eastAsia="ru-RU"/>
        </w:rPr>
        <w:t>–19) в России и в мире до конца не преодолены – более того, в значительном числе стран вновь введены либо продлены карантинные ограничения, направленные на борьбу с ростом заболеваемости. Введение (продление) карантинных ограничений оказывает сдерживающее влияние на восстановление экономики.</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В условиях </w:t>
      </w:r>
      <w:proofErr w:type="gramStart"/>
      <w:r w:rsidRPr="008A45AB">
        <w:rPr>
          <w:rFonts w:eastAsia="Times New Roman"/>
          <w:szCs w:val="28"/>
          <w:lang w:eastAsia="ru-RU"/>
        </w:rPr>
        <w:t>снижения экономической активности меры Правительства Российской Федерации</w:t>
      </w:r>
      <w:proofErr w:type="gramEnd"/>
      <w:r w:rsidRPr="008A45AB">
        <w:rPr>
          <w:rFonts w:eastAsia="Times New Roman"/>
          <w:szCs w:val="28"/>
          <w:lang w:eastAsia="ru-RU"/>
        </w:rPr>
        <w:t xml:space="preserve"> были направлены на сохранение доходов граждан – как работающих, так и временно оставшихся без работы, семей с детьми. Меры прямой финансовой поддержки включали, в том числе, единовременные выплаты семьям с детьми, расширение выплат пособий по безработице, увеличение минимального размера выплат по больничным листам и упрощение порядка их оформления и другие. Меры поддержки бизнеса в условиях распространения новой </w:t>
      </w:r>
      <w:proofErr w:type="spellStart"/>
      <w:r w:rsidRPr="008A45AB">
        <w:rPr>
          <w:rFonts w:eastAsia="Times New Roman"/>
          <w:szCs w:val="28"/>
          <w:lang w:eastAsia="ru-RU"/>
        </w:rPr>
        <w:t>коронавирусной</w:t>
      </w:r>
      <w:proofErr w:type="spellEnd"/>
      <w:r w:rsidRPr="008A45AB">
        <w:rPr>
          <w:rFonts w:eastAsia="Times New Roman"/>
          <w:szCs w:val="28"/>
          <w:lang w:eastAsia="ru-RU"/>
        </w:rPr>
        <w:t xml:space="preserve"> инфекции (прямые гранты субъектам МСП, отсрочки и списания по налоговым, страховым и арендным платежам, программы льготного кредитования и др.) были направлены на максимальное снижение текущих издержек бизнеса в целях высвобождения средств на выплату заработных плат.</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Предполагается выход экономики к концу 2021 года на траекторию устойчивого роста, соответствующему достижению национальных целей развития Российской Федерации. </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 w:val="26"/>
          <w:szCs w:val="26"/>
          <w:lang w:eastAsia="ru-RU"/>
        </w:rPr>
      </w:pPr>
      <w:r w:rsidRPr="008A45AB">
        <w:rPr>
          <w:rFonts w:eastAsia="Times New Roman"/>
          <w:szCs w:val="28"/>
          <w:lang w:eastAsia="ru-RU"/>
        </w:rPr>
        <w:t xml:space="preserve">Объем отгруженных товаров собственного производства, выполненных работ и услуг собственными силами организаций в действующих ценах в сфере промышленного производства в первом полугодии 2021 года увеличился до 61,7 млрд. рублей (127,6%) за счет роста показателя в сфере обрабатывающих производств до 53,4 млрд. рублей (137,9%). Высокий рост объёма отгруженной продукции среди обрабатывающих производств отмечен производстве пищевых продуктов до 34,6 млрд. рублей (113,1%). Увеличение обусловлено </w:t>
      </w:r>
      <w:r w:rsidRPr="008A45AB">
        <w:rPr>
          <w:rFonts w:eastAsia="Times New Roman"/>
          <w:szCs w:val="28"/>
          <w:lang w:eastAsia="ru-RU"/>
        </w:rPr>
        <w:lastRenderedPageBreak/>
        <w:t>плановым ведением производственной деятельности, неритмичным закрытием актов выполненных работ и изменением объёма заказов. Также отмечено увеличение объема отгруженной продукции по виду экономической деятельности «Водоснабжение, водоотведение, организация сбора и утилизация отходов, деятельность по ликвидации загрязнений» до 2,5 млрд. рублей (124,7%).</w:t>
      </w:r>
      <w:r w:rsidRPr="008A45AB">
        <w:rPr>
          <w:rFonts w:eastAsia="Times New Roman"/>
          <w:sz w:val="26"/>
          <w:szCs w:val="26"/>
          <w:lang w:eastAsia="ru-RU"/>
        </w:rPr>
        <w:t xml:space="preserve"> </w:t>
      </w:r>
      <w:r w:rsidRPr="008A45AB">
        <w:rPr>
          <w:rFonts w:eastAsia="Times New Roman"/>
          <w:szCs w:val="28"/>
          <w:lang w:eastAsia="ru-RU"/>
        </w:rPr>
        <w:t xml:space="preserve">Незначительное увеличение объема отгруженной продукции отмечено в сфере обеспечения электрической энергией, газом и паром; кондиционирования воздуха до 5,7 млрд. рублей (100,2% к аналогичному периоду 2020 года). </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Объем </w:t>
      </w:r>
      <w:r w:rsidRPr="008A45AB">
        <w:rPr>
          <w:rFonts w:eastAsia="Times New Roman"/>
          <w:bCs/>
          <w:szCs w:val="28"/>
          <w:lang w:eastAsia="ru-RU"/>
        </w:rPr>
        <w:t>отгруженных работ и услуг собственными силами организаций в сфере</w:t>
      </w:r>
      <w:r w:rsidRPr="008A45AB">
        <w:rPr>
          <w:rFonts w:eastAsia="Times New Roman"/>
          <w:szCs w:val="28"/>
          <w:lang w:eastAsia="ru-RU"/>
        </w:rPr>
        <w:t xml:space="preserve"> рыболовства и рыбоводства в первом полугодии 2021 года составил </w:t>
      </w:r>
      <w:r w:rsidRPr="008A45AB">
        <w:rPr>
          <w:rFonts w:eastAsia="Times New Roman"/>
          <w:szCs w:val="28"/>
          <w:lang w:eastAsia="ru-RU"/>
        </w:rPr>
        <w:br/>
        <w:t>34,9 млрд. рублей (115,2% к аналогичному периоду 2020 года).</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proofErr w:type="gramStart"/>
      <w:r w:rsidRPr="008A45AB">
        <w:rPr>
          <w:rFonts w:eastAsia="Times New Roman"/>
          <w:color w:val="000000"/>
          <w:szCs w:val="28"/>
          <w:lang w:eastAsia="ru-RU"/>
        </w:rPr>
        <w:t>По итогам 2021 года ожидается увеличение темпа роста промышленного производства до 114,8%, в том числе в сфере обрабатывающей промышленности – 117,0%.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по итогам 2021 года оценочно составит 135,3 млрд. рублей.</w:t>
      </w:r>
      <w:proofErr w:type="gramEnd"/>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8A45AB">
        <w:rPr>
          <w:rFonts w:eastAsia="Times New Roman"/>
          <w:color w:val="000000"/>
          <w:szCs w:val="28"/>
          <w:lang w:eastAsia="ru-RU"/>
        </w:rPr>
        <w:t xml:space="preserve">Темп роста по виду деятельности «Обеспечение электрической энергией, газом и паром; кондиционирование воздуха» в первой половине 2021 года по оценочным данным составил 100,2% к соответствующему периоду предыдущего года. Объем отгруженной продукции по данному виду деятельности в первом полугодии 2021 года составил около 5,7 млрд. рублей, по итогам 2021 года прогнозируется незначительное снижение до 10,8 млрд. рублей. </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8A45AB">
        <w:rPr>
          <w:rFonts w:eastAsia="Times New Roman"/>
          <w:color w:val="000000"/>
          <w:szCs w:val="28"/>
          <w:lang w:eastAsia="ru-RU"/>
        </w:rPr>
        <w:t xml:space="preserve">Объем промышленного производства по виду деятельности «Водоснабжение; водоотведение, организация сбора и утилизация отходов, деятельность по ликвидации загрязнений» в первом полугодии 2021 года составил около 2,5 млрд. рублей или 124,7% к аналогичному периоду предыдущего года в связи с ростом показателя по классу «Сбор, обработка и утилизация отходов; обработка вторичного сырья» (128,6%). По итогам </w:t>
      </w:r>
      <w:r w:rsidRPr="008A45AB">
        <w:rPr>
          <w:rFonts w:eastAsia="Times New Roman"/>
          <w:color w:val="000000"/>
          <w:szCs w:val="28"/>
          <w:lang w:eastAsia="ru-RU"/>
        </w:rPr>
        <w:br/>
        <w:t>2021 года объем отгруженной продукции по данному виду деятельности предположительно составит 5,5 млрд. рублей.</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8A45AB">
        <w:rPr>
          <w:rFonts w:eastAsia="Times New Roman"/>
          <w:bCs/>
          <w:szCs w:val="28"/>
          <w:lang w:eastAsia="ru-RU"/>
        </w:rPr>
        <w:t xml:space="preserve">За первое полугодие 2021 года отмечено снижение показателей в сфере автотранспорта по объёму перевезенных грузов грузовыми автомобилями организаций на 10,1% (150,8 тыс. тонн) и их грузообороту на 23,7% (9 615,0 </w:t>
      </w:r>
      <w:proofErr w:type="spellStart"/>
      <w:r w:rsidRPr="008A45AB">
        <w:rPr>
          <w:rFonts w:eastAsia="Times New Roman"/>
          <w:bCs/>
          <w:szCs w:val="28"/>
          <w:lang w:eastAsia="ru-RU"/>
        </w:rPr>
        <w:t>тыс</w:t>
      </w:r>
      <w:proofErr w:type="gramStart"/>
      <w:r w:rsidRPr="008A45AB">
        <w:rPr>
          <w:rFonts w:eastAsia="Times New Roman"/>
          <w:bCs/>
          <w:szCs w:val="28"/>
          <w:lang w:eastAsia="ru-RU"/>
        </w:rPr>
        <w:t>.т</w:t>
      </w:r>
      <w:proofErr w:type="spellEnd"/>
      <w:proofErr w:type="gramEnd"/>
      <w:r w:rsidRPr="008A45AB">
        <w:rPr>
          <w:rFonts w:eastAsia="Times New Roman"/>
          <w:bCs/>
          <w:szCs w:val="28"/>
          <w:lang w:eastAsia="ru-RU"/>
        </w:rPr>
        <w:t xml:space="preserve">-км) (76,3% к аналогичному периоду 2020 года). Отмечен рост показателей числа перевезенных пассажиров автобусным транспортом до </w:t>
      </w:r>
      <w:r w:rsidRPr="008A45AB">
        <w:rPr>
          <w:rFonts w:eastAsia="Times New Roman"/>
          <w:bCs/>
          <w:szCs w:val="28"/>
          <w:lang w:eastAsia="ru-RU"/>
        </w:rPr>
        <w:br/>
        <w:t xml:space="preserve">13,4 млн. человек (109,8% к первому полугодию 2020 года). В сфере морского транспорта наблюдается снижение показателей по отправлению грузов (24,4% к первому полугодию 2020 года). </w:t>
      </w:r>
    </w:p>
    <w:p w:rsid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9E30F5" w:rsidRDefault="009E30F5"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9E30F5" w:rsidRPr="008A45AB" w:rsidRDefault="009E30F5"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8"/>
          <w:lang w:eastAsia="ru-RU"/>
        </w:rPr>
      </w:pPr>
      <w:r w:rsidRPr="008A45AB">
        <w:rPr>
          <w:rFonts w:eastAsia="Times New Roman"/>
          <w:szCs w:val="28"/>
          <w:lang w:eastAsia="ru-RU"/>
        </w:rPr>
        <w:lastRenderedPageBreak/>
        <w:t>Рынок товаров и услуг</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В первом полугодии 2021 года отмечено увеличение в действующих ценах оборота розничной торговли (29,3 млрд. рублей или 114,7% к аналогичному периоду 2020 года). Оборот общественного питания составил </w:t>
      </w:r>
      <w:r w:rsidR="00282F3F">
        <w:rPr>
          <w:rFonts w:eastAsia="Times New Roman"/>
          <w:szCs w:val="28"/>
          <w:lang w:eastAsia="ru-RU"/>
        </w:rPr>
        <w:br/>
      </w:r>
      <w:r w:rsidRPr="008A45AB">
        <w:rPr>
          <w:rFonts w:eastAsia="Times New Roman"/>
          <w:szCs w:val="28"/>
          <w:lang w:eastAsia="ru-RU"/>
        </w:rPr>
        <w:t>1,5 млрд. рублей (183,2%). Стоимость минимального набора продуктов питания, входящих в потребительскую корзину, составила 6 175,5 рублей (108,7% к аналогичному периоду 2020 года).</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Общий объем платных услуг населению составил 13,9 млрд. рублей (105,2% к январю-июню 2020 года), из них рост отмечен по услугам гостиниц и аналогичных средств размещения (в 1,6 раза), транспортным услугам (155,6%), услугам учреждений культуры (118,3%), услугам почтовой связи и курьерским услугам (116,0%), медицинским услугам (115,3%). Отмечено сокращение в действующих ценах объема услуг телекоммуникационных (98,1%) и бытовых услуг (41,0%).</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8A45AB">
        <w:rPr>
          <w:rFonts w:eastAsia="Times New Roman"/>
          <w:color w:val="000000"/>
          <w:szCs w:val="28"/>
          <w:lang w:eastAsia="ru-RU"/>
        </w:rPr>
        <w:t xml:space="preserve">Сохраняется тенденция роста обеспеченности населения торговыми площадями. Всего в первом полугодии 2021 года введено два коммерческих здания общей площадью 2 444 </w:t>
      </w:r>
      <w:proofErr w:type="spellStart"/>
      <w:r w:rsidRPr="008A45AB">
        <w:rPr>
          <w:rFonts w:eastAsia="Times New Roman"/>
          <w:color w:val="000000"/>
          <w:szCs w:val="28"/>
          <w:lang w:eastAsia="ru-RU"/>
        </w:rPr>
        <w:t>кв.м</w:t>
      </w:r>
      <w:proofErr w:type="spellEnd"/>
      <w:r w:rsidRPr="008A45AB">
        <w:rPr>
          <w:rFonts w:eastAsia="Times New Roman"/>
          <w:color w:val="000000"/>
          <w:szCs w:val="28"/>
          <w:lang w:eastAsia="ru-RU"/>
        </w:rPr>
        <w:t>.</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8A45AB">
        <w:rPr>
          <w:rFonts w:eastAsia="Times New Roman"/>
          <w:color w:val="000000"/>
          <w:szCs w:val="28"/>
          <w:lang w:eastAsia="ru-RU"/>
        </w:rPr>
        <w:t xml:space="preserve">По итогам 2021 года, несмотря на слабый потребительский спрос, сдержанный рост доходов населения и переориентирование потребителей на осуществление покупок в </w:t>
      </w:r>
      <w:proofErr w:type="gramStart"/>
      <w:r w:rsidRPr="008A45AB">
        <w:rPr>
          <w:rFonts w:eastAsia="Times New Roman"/>
          <w:color w:val="000000"/>
          <w:szCs w:val="28"/>
          <w:lang w:eastAsia="ru-RU"/>
        </w:rPr>
        <w:t>Интернет-магазинах</w:t>
      </w:r>
      <w:proofErr w:type="gramEnd"/>
      <w:r w:rsidRPr="008A45AB">
        <w:rPr>
          <w:rFonts w:eastAsia="Times New Roman"/>
          <w:color w:val="000000"/>
          <w:szCs w:val="28"/>
          <w:lang w:eastAsia="ru-RU"/>
        </w:rPr>
        <w:t>, ожидается незначительное увеличение оборота розничной торговли до 57,8 млрд. рублей. За счет низкой базы 2020 года прогнозные значения оборота общественного питания и объема платных услуг населению по итогам 2021 года возрастут и составят 2,1 млрд. рублей и 30,6 млрд. рублей соответственно.</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8"/>
          <w:lang w:eastAsia="ru-RU"/>
        </w:rPr>
      </w:pPr>
      <w:r w:rsidRPr="008A45AB">
        <w:rPr>
          <w:rFonts w:eastAsia="Times New Roman"/>
          <w:szCs w:val="28"/>
          <w:lang w:eastAsia="ru-RU"/>
        </w:rPr>
        <w:t>Малое и среднее предпринимательство</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В течение первого полугодия 2021 года наблюдается отрицательная динамика сокращения количества субъектов малого и среднего предпринимательства, общее число которых по данным Единого реестра субъектов малого и среднего предпринимательства составило </w:t>
      </w:r>
      <w:r w:rsidRPr="008A45AB">
        <w:rPr>
          <w:rFonts w:eastAsia="Times New Roman"/>
          <w:szCs w:val="28"/>
          <w:lang w:eastAsia="ru-RU"/>
        </w:rPr>
        <w:br/>
        <w:t>14 055 организаций, или 89,1% к 10.07.2020. Снижение обусловлено ежегодно возрастающим уровнем затрат на производство, повышенной нагрузкой на бизнес, связанной с предоставлением «северных» надбавок и других льгот работникам. Кроме того, отрицательная динамика также обусловлена исключением из баз данных налоговых органов СМСП, не предоставивших отчетность либо превысивших пороговые значения отнесения к СМСП в соответствии с Федеральным законом от 24.07.2007 № 209-ФЗ «О развитии малого и среднего предпринимательства в Российской Федерации».</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Количество малых предприятий, включая </w:t>
      </w:r>
      <w:proofErr w:type="spellStart"/>
      <w:r w:rsidRPr="008A45AB">
        <w:rPr>
          <w:rFonts w:eastAsia="Times New Roman"/>
          <w:szCs w:val="28"/>
          <w:lang w:eastAsia="ru-RU"/>
        </w:rPr>
        <w:t>микропредприятия</w:t>
      </w:r>
      <w:proofErr w:type="spellEnd"/>
      <w:r w:rsidRPr="008A45AB">
        <w:rPr>
          <w:rFonts w:eastAsia="Times New Roman"/>
          <w:szCs w:val="28"/>
          <w:lang w:eastAsia="ru-RU"/>
        </w:rPr>
        <w:t>, учтенных в Едином реестре субъектов малого и среднего предпринимательства, составило 6 331 ед. (87,8% к первому полугодию 2020 года), количество индивидуальных предпринимателей – 7 694 (90,1% к первому полугодию 2020 года).</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lastRenderedPageBreak/>
        <w:t xml:space="preserve">Количество средних предприятий по данным Единого реестра субъектов малого и среднего предпринимательства на первое полугодие 2021 года – </w:t>
      </w:r>
      <w:r w:rsidRPr="008A45AB">
        <w:rPr>
          <w:rFonts w:eastAsia="Times New Roman"/>
          <w:szCs w:val="28"/>
          <w:lang w:eastAsia="ru-RU"/>
        </w:rPr>
        <w:br/>
        <w:t xml:space="preserve">30 организаций (136,4% к соответствующему периоду предыдущего года). </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На фоне стабилизации экономических процессов, реализации мероприятий по поддержке начинающих и действующих </w:t>
      </w:r>
      <w:proofErr w:type="gramStart"/>
      <w:r w:rsidRPr="008A45AB">
        <w:rPr>
          <w:rFonts w:eastAsia="Times New Roman"/>
          <w:szCs w:val="28"/>
          <w:lang w:eastAsia="ru-RU"/>
        </w:rPr>
        <w:t>предпринимателей</w:t>
      </w:r>
      <w:proofErr w:type="gramEnd"/>
      <w:r w:rsidRPr="008A45AB">
        <w:rPr>
          <w:rFonts w:eastAsia="Times New Roman"/>
          <w:szCs w:val="28"/>
          <w:lang w:eastAsia="ru-RU"/>
        </w:rPr>
        <w:t xml:space="preserve"> как на муниципальном, так и региональном уровне ожидается положительная динамика показателей развития малого и среднего бизнеса. Количество малых (в том числе микр</w:t>
      </w:r>
      <w:proofErr w:type="gramStart"/>
      <w:r w:rsidRPr="008A45AB">
        <w:rPr>
          <w:rFonts w:eastAsia="Times New Roman"/>
          <w:szCs w:val="28"/>
          <w:lang w:eastAsia="ru-RU"/>
        </w:rPr>
        <w:t>о-</w:t>
      </w:r>
      <w:proofErr w:type="gramEnd"/>
      <w:r w:rsidRPr="008A45AB">
        <w:rPr>
          <w:rFonts w:eastAsia="Times New Roman"/>
          <w:szCs w:val="28"/>
          <w:lang w:eastAsia="ru-RU"/>
        </w:rPr>
        <w:t>) предприятий по итогам 2021 года оценочно составит 6 774 единиц, индивидуальных предпринимателей – 7 503 человек, средних предприятий – 30 единиц.</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8"/>
          <w:lang w:eastAsia="ru-RU"/>
        </w:rPr>
      </w:pPr>
      <w:r w:rsidRPr="008A45AB">
        <w:rPr>
          <w:rFonts w:eastAsia="Times New Roman"/>
          <w:szCs w:val="28"/>
          <w:lang w:eastAsia="ru-RU"/>
        </w:rPr>
        <w:t>Инвестиции и строительство</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highlight w:val="red"/>
          <w:lang w:eastAsia="ru-RU"/>
        </w:rPr>
      </w:pPr>
      <w:r w:rsidRPr="008A45AB">
        <w:rPr>
          <w:rFonts w:eastAsia="Times New Roman"/>
          <w:szCs w:val="28"/>
          <w:lang w:eastAsia="ru-RU"/>
        </w:rPr>
        <w:t xml:space="preserve">По предварительным данным, объем инвестиций по итогам первого полугодия 2021 года достиг 25,7 млрд. рублей (108,1% к аналогичному показателю прошлого года), </w:t>
      </w:r>
      <w:r w:rsidRPr="008A45AB">
        <w:rPr>
          <w:rFonts w:eastAsia="Times New Roman"/>
          <w:szCs w:val="28"/>
          <w:highlight w:val="red"/>
          <w:lang w:eastAsia="ru-RU"/>
        </w:rPr>
        <w:t xml:space="preserve">в том числе по виду экономической деятельности «Обрабатывающие производства» – 681,4 млн. руб. (в 3,2 раза больше значения аналогичного периода 2019 года), «Торговля оптовая и розничная; </w:t>
      </w:r>
      <w:proofErr w:type="gramStart"/>
      <w:r w:rsidRPr="008A45AB">
        <w:rPr>
          <w:rFonts w:eastAsia="Times New Roman"/>
          <w:szCs w:val="28"/>
          <w:highlight w:val="red"/>
          <w:lang w:eastAsia="ru-RU"/>
        </w:rPr>
        <w:t xml:space="preserve">ремонт автотранспортных средств и мотоциклов» – 318,8 млн. руб. (174,1% к </w:t>
      </w:r>
      <w:r w:rsidRPr="008A45AB">
        <w:rPr>
          <w:rFonts w:eastAsia="Times New Roman"/>
          <w:szCs w:val="28"/>
          <w:highlight w:val="red"/>
          <w:lang w:eastAsia="ru-RU"/>
        </w:rPr>
        <w:br/>
        <w:t>аналогичному периоду 2019 года), «Транспортировка и хранение» – 12,3 млрд. руб. (105,1% к аналогичному периоду 2019 года), «Рыболовство и рыбоводство» – 4,8 млрд. руб. (123,1% к аналогичному периоду 2019 года), «Обеспечение электрической энергией, газом и паром; кондиционирование воздуха – 463 млн. руб. (28,8% к аналогичному периоду 2019 года), «Водоснабжение;</w:t>
      </w:r>
      <w:proofErr w:type="gramEnd"/>
      <w:r w:rsidRPr="008A45AB">
        <w:rPr>
          <w:rFonts w:eastAsia="Times New Roman"/>
          <w:szCs w:val="28"/>
          <w:highlight w:val="red"/>
          <w:lang w:eastAsia="ru-RU"/>
        </w:rPr>
        <w:t xml:space="preserve"> водоотведение, организация сбора и утилизации отходов, деятельность по ликвидации загрязнений» - 38 млн. руб. (5,8% к аналогичному периоду 2019 года).</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highlight w:val="red"/>
          <w:lang w:eastAsia="ru-RU"/>
        </w:rPr>
        <w:t>Наибольший объем инвестиций приходится на сферу транспортировки и хранения (51% от общего объема инвестиций), рыболовство, рыбоводство (20%), деятельность профессиональную, научную и техническую (8%).</w:t>
      </w:r>
      <w:r w:rsidRPr="008A45AB">
        <w:rPr>
          <w:rFonts w:eastAsia="Times New Roman"/>
          <w:szCs w:val="28"/>
          <w:lang w:eastAsia="ru-RU"/>
        </w:rPr>
        <w:t xml:space="preserve"> </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8A45AB">
        <w:rPr>
          <w:rFonts w:eastAsia="Times New Roman"/>
          <w:szCs w:val="28"/>
          <w:lang w:eastAsia="ru-RU"/>
        </w:rPr>
        <w:t>В структуре источников инвестиций отмечается увеличение объемов бюджетного финансирования до 11,8 млрд. рублей (105,7% к аналогичному показателю прошлого года) за счет увеличения до 10,9 млрд. рублей объемов финансирования за счет средств федерального бюджета (104,6% к уровню 2020 года) и за счет средств областного бюджета до 732,1 млн. рублей (172,0% к аналогичному периоду 2020 года).</w:t>
      </w:r>
      <w:proofErr w:type="gramEnd"/>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Объем инвестиций за счет собственных средств организаций снизился до 8,5 млрд. рублей (82,1% к январю-июню 2020 года).</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Объем работ строительного подряда в действующих ценах увеличился до 832,2 млн. рублей (в 4,0 раза к аналогичному периоду 2020 года). Увеличение связано с изменением объёма строительных работ. </w:t>
      </w:r>
      <w:proofErr w:type="gramStart"/>
      <w:r w:rsidRPr="008A45AB">
        <w:rPr>
          <w:rFonts w:eastAsia="Times New Roman"/>
          <w:szCs w:val="28"/>
          <w:lang w:eastAsia="ru-RU"/>
        </w:rPr>
        <w:t>В первом полугодии 2021 года введено 20 зданий общей площадью 6 036 кв. м (39,9% к первому полугодию 2020 года),</w:t>
      </w:r>
      <w:r w:rsidRPr="008A45AB">
        <w:rPr>
          <w:rFonts w:eastAsia="Times New Roman"/>
          <w:color w:val="FF0000"/>
          <w:szCs w:val="28"/>
          <w:lang w:eastAsia="ru-RU"/>
        </w:rPr>
        <w:t xml:space="preserve"> </w:t>
      </w:r>
      <w:r w:rsidRPr="008A45AB">
        <w:rPr>
          <w:rFonts w:eastAsia="Times New Roman"/>
          <w:szCs w:val="28"/>
          <w:lang w:eastAsia="ru-RU"/>
        </w:rPr>
        <w:t xml:space="preserve">в том числе восемь жилых домов (включая индивидуальные жилые дома, построенные населением, введенные в эксплуатацию в установленном порядке) общей площадью 1,5 тыс. кв. м. Также </w:t>
      </w:r>
      <w:r w:rsidRPr="008A45AB">
        <w:rPr>
          <w:rFonts w:eastAsia="Times New Roman"/>
          <w:szCs w:val="28"/>
          <w:lang w:eastAsia="ru-RU"/>
        </w:rPr>
        <w:lastRenderedPageBreak/>
        <w:t>введено 12 нежилых зданий (66,7% к январю-июню 2020 года) общей площадью 4,5 тыс. кв. м</w:t>
      </w:r>
      <w:proofErr w:type="gramEnd"/>
      <w:r w:rsidRPr="008A45AB">
        <w:rPr>
          <w:rFonts w:eastAsia="Times New Roman"/>
          <w:szCs w:val="28"/>
          <w:lang w:eastAsia="ru-RU"/>
        </w:rPr>
        <w:t>, включая два коммерческих и 10 зданий иного предназначения.</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В течение первого полугодия 2021 года выданы разрешения на ввод в эксплуатацию следующих наиболее крупных социально-значимых объектов: </w:t>
      </w:r>
      <w:proofErr w:type="gramStart"/>
      <w:r w:rsidRPr="008A45AB">
        <w:rPr>
          <w:rFonts w:eastAsia="Times New Roman"/>
          <w:szCs w:val="28"/>
          <w:lang w:eastAsia="ru-RU"/>
        </w:rPr>
        <w:t xml:space="preserve">«Комплексное развитие спорткомплекса «Долина Уюта» в г. Мурманске», «Набережная озера Семеновское (2 очередь) в г. Мурманске (здание «Искусственный рельеф» общей площадью 356,6 </w:t>
      </w:r>
      <w:proofErr w:type="spellStart"/>
      <w:r w:rsidRPr="008A45AB">
        <w:rPr>
          <w:rFonts w:eastAsia="Times New Roman"/>
          <w:szCs w:val="28"/>
          <w:lang w:eastAsia="ru-RU"/>
        </w:rPr>
        <w:t>кв.м</w:t>
      </w:r>
      <w:proofErr w:type="spellEnd"/>
      <w:r w:rsidRPr="008A45AB">
        <w:rPr>
          <w:rFonts w:eastAsia="Times New Roman"/>
          <w:szCs w:val="28"/>
          <w:lang w:eastAsia="ru-RU"/>
        </w:rPr>
        <w:t>).</w:t>
      </w:r>
      <w:proofErr w:type="gramEnd"/>
      <w:r w:rsidRPr="008A45AB">
        <w:rPr>
          <w:rFonts w:eastAsia="Times New Roman"/>
          <w:szCs w:val="28"/>
          <w:lang w:eastAsia="ru-RU"/>
        </w:rPr>
        <w:t xml:space="preserve"> Кроме того, за первое полугодие 2021 года выданы разрешения на строительство объекта «Многоквартирный жилой дом, расположенный в Октябрьском административном округе г. Мурманска, рядом с домом 49/1 по ул. Старостина (кадастровый номер земельного участка 51:20:0002403:2218)» общей площадью 1 823,44 </w:t>
      </w:r>
      <w:proofErr w:type="spellStart"/>
      <w:r w:rsidRPr="008A45AB">
        <w:rPr>
          <w:rFonts w:eastAsia="Times New Roman"/>
          <w:szCs w:val="28"/>
          <w:lang w:eastAsia="ru-RU"/>
        </w:rPr>
        <w:t>кв.м</w:t>
      </w:r>
      <w:proofErr w:type="spellEnd"/>
      <w:r w:rsidRPr="008A45AB">
        <w:rPr>
          <w:rFonts w:eastAsia="Times New Roman"/>
          <w:szCs w:val="28"/>
          <w:lang w:eastAsia="ru-RU"/>
        </w:rPr>
        <w:t>.</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С учетом реализуемых и планируемых </w:t>
      </w:r>
      <w:proofErr w:type="gramStart"/>
      <w:r w:rsidRPr="008A45AB">
        <w:rPr>
          <w:rFonts w:eastAsia="Times New Roman"/>
          <w:szCs w:val="28"/>
          <w:lang w:eastAsia="ru-RU"/>
        </w:rPr>
        <w:t>к реализации на территории города Мурманска инвестиционных проектов объем инвестиций в основной капитал за счет всех источников финансирования по итогам</w:t>
      </w:r>
      <w:proofErr w:type="gramEnd"/>
      <w:r w:rsidRPr="008A45AB">
        <w:rPr>
          <w:rFonts w:eastAsia="Times New Roman"/>
          <w:szCs w:val="28"/>
          <w:lang w:eastAsia="ru-RU"/>
        </w:rPr>
        <w:t xml:space="preserve"> 2021 года оценочно составит 73,8 млрд. рублей, в том числе 40,1 млрд. рублей за счет бюджетных средств.</w:t>
      </w:r>
    </w:p>
    <w:p w:rsidR="008A45AB" w:rsidRPr="008A45AB" w:rsidRDefault="008A45AB" w:rsidP="008A45AB">
      <w:pPr>
        <w:overflowPunct w:val="0"/>
        <w:autoSpaceDE w:val="0"/>
        <w:autoSpaceDN w:val="0"/>
        <w:adjustRightInd w:val="0"/>
        <w:spacing w:after="0" w:line="240" w:lineRule="auto"/>
        <w:jc w:val="both"/>
        <w:textAlignment w:val="baseline"/>
        <w:rPr>
          <w:rFonts w:eastAsia="Times New Roman"/>
          <w:sz w:val="20"/>
          <w:szCs w:val="20"/>
          <w:lang w:eastAsia="ru-RU"/>
        </w:rPr>
      </w:pPr>
    </w:p>
    <w:p w:rsidR="008A45AB" w:rsidRPr="008A45AB" w:rsidRDefault="008A45AB" w:rsidP="008A45AB">
      <w:pPr>
        <w:overflowPunct w:val="0"/>
        <w:autoSpaceDE w:val="0"/>
        <w:autoSpaceDN w:val="0"/>
        <w:adjustRightInd w:val="0"/>
        <w:spacing w:after="0" w:line="240" w:lineRule="auto"/>
        <w:jc w:val="center"/>
        <w:textAlignment w:val="baseline"/>
        <w:rPr>
          <w:rFonts w:eastAsia="Times New Roman"/>
          <w:szCs w:val="28"/>
          <w:lang w:eastAsia="ru-RU"/>
        </w:rPr>
      </w:pPr>
      <w:r w:rsidRPr="008A45AB">
        <w:rPr>
          <w:rFonts w:eastAsia="Times New Roman"/>
          <w:szCs w:val="28"/>
          <w:lang w:eastAsia="ru-RU"/>
        </w:rPr>
        <w:t xml:space="preserve">Сальдированный финансовый результат (прибыль, убыток) </w:t>
      </w:r>
      <w:r w:rsidRPr="008A45AB">
        <w:rPr>
          <w:rFonts w:eastAsia="Times New Roman"/>
          <w:szCs w:val="28"/>
          <w:lang w:eastAsia="ru-RU"/>
        </w:rPr>
        <w:br/>
        <w:t>деятельности крупных и средних предприятий</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 w:val="20"/>
          <w:szCs w:val="20"/>
          <w:lang w:eastAsia="ru-RU"/>
        </w:rPr>
      </w:pP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Наблюдается увеличение в январе-мае 2021 года сальдированного финансового результата деятельности организаций до 27,0 млрд. рублей (104,4% к аналогичному периоду 2020 года). </w:t>
      </w:r>
      <w:proofErr w:type="gramStart"/>
      <w:r w:rsidRPr="008A45AB">
        <w:rPr>
          <w:rFonts w:eastAsia="Times New Roman"/>
          <w:szCs w:val="28"/>
          <w:lang w:eastAsia="ru-RU"/>
        </w:rPr>
        <w:t xml:space="preserve">Данное увеличение обусловлено ростом прибыли предприятий в деятельности гостиниц и предприятий общественного питания (в 7,2 раза), в сфере строительства (в 5,6 раза), в сфере образования (в 3,5 раза), что связано с ростом доходов и снижением затрат организаций; деятельности в области информации и связи (в 3,0 раза) и в сфере обрабатывающих производств (в 2,0 раза). </w:t>
      </w:r>
      <w:proofErr w:type="gramEnd"/>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proofErr w:type="gramStart"/>
      <w:r w:rsidRPr="008A45AB">
        <w:rPr>
          <w:rFonts w:eastAsia="Times New Roman"/>
          <w:szCs w:val="28"/>
          <w:lang w:eastAsia="ru-RU"/>
        </w:rPr>
        <w:t>Положительный финансовый результат сложился в сфере сельского, лесного хозяйства, охоты, рыболовства и рыбоводства – 15,1 млрд. рублей, в сфере транспортировки и хранения – 6,5 млрд. рублей, в сфере обрабатывающих производств – 5,5 млрд. рублей, деятельности по операциям с недвижимым имуществом – 1,5 млрд. рублей, в сфере торговли оптовой и розничной – 308,8 млн. рублей.</w:t>
      </w:r>
      <w:proofErr w:type="gramEnd"/>
      <w:r w:rsidRPr="008A45AB">
        <w:rPr>
          <w:rFonts w:eastAsia="Times New Roman"/>
          <w:szCs w:val="28"/>
          <w:lang w:eastAsia="ru-RU"/>
        </w:rPr>
        <w:t xml:space="preserve"> Общее количество прибыльных организаций составило 91 единица (118,2% к январю-маю 2020 года), сумма прибыли – </w:t>
      </w:r>
      <w:r w:rsidRPr="008A45AB">
        <w:rPr>
          <w:rFonts w:eastAsia="Times New Roman"/>
          <w:szCs w:val="28"/>
          <w:lang w:eastAsia="ru-RU"/>
        </w:rPr>
        <w:br/>
        <w:t>30,7 млрд. рублей (107,5%).</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t xml:space="preserve">Отрицательный финансовый результат сложился в сфере обеспечения электрической энергией, газом и паром; кондиционирования воздуха в сумме 2,2 млрд. рублей и деятельности профессиональной, научной и технической в сумме 542 млн. рублей. Общее число убыточных организаций – 40 единиц (90,9% к аналогичному периоду 2020 года), сумма убытка – 3,7 млрд. рублей (138,4%). </w:t>
      </w:r>
    </w:p>
    <w:p w:rsidR="008A45AB" w:rsidRPr="008A45AB" w:rsidRDefault="008A45AB" w:rsidP="008A45AB">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8A45AB">
        <w:rPr>
          <w:rFonts w:eastAsia="Times New Roman"/>
          <w:szCs w:val="28"/>
          <w:lang w:eastAsia="ru-RU"/>
        </w:rPr>
        <w:lastRenderedPageBreak/>
        <w:t>В январе-мае 2021 года доля прибыльных организаций составила 69,5%. 100% прибыльными являются организации по видам экономической деятельности «Водоснабжение; водоотведение, организация сбора и утилизации отходов, деятельности по ликвидации загрязнений» и «</w:t>
      </w:r>
      <w:r w:rsidRPr="008A45AB">
        <w:rPr>
          <w:rFonts w:eastAsia="Times New Roman"/>
          <w:color w:val="000000"/>
          <w:szCs w:val="28"/>
          <w:lang w:eastAsia="ru-RU"/>
        </w:rPr>
        <w:t>Деятельность в области здравоохранения и социальных услуг»</w:t>
      </w:r>
      <w:r w:rsidRPr="008A45AB">
        <w:rPr>
          <w:rFonts w:eastAsia="Times New Roman"/>
          <w:szCs w:val="28"/>
          <w:lang w:eastAsia="ru-RU"/>
        </w:rPr>
        <w:t>, «Предоставление прочих видов услуг». Доля убыточных организаций составила 30,5%. 100% убыточные организации в первом полугодии 2021 года отсутствуют.</w:t>
      </w:r>
    </w:p>
    <w:p w:rsidR="008A45AB" w:rsidRPr="008A45AB" w:rsidRDefault="008A45AB" w:rsidP="008A45AB">
      <w:pPr>
        <w:keepNext/>
        <w:spacing w:after="0" w:line="240" w:lineRule="auto"/>
        <w:ind w:firstLine="709"/>
        <w:jc w:val="both"/>
        <w:outlineLvl w:val="0"/>
        <w:rPr>
          <w:rFonts w:eastAsia="Times New Roman"/>
          <w:bCs/>
          <w:kern w:val="32"/>
          <w:sz w:val="20"/>
          <w:szCs w:val="20"/>
          <w:lang w:eastAsia="ru-RU"/>
        </w:rPr>
      </w:pPr>
    </w:p>
    <w:p w:rsidR="008A45AB" w:rsidRPr="008A45AB" w:rsidRDefault="008A45AB" w:rsidP="008A45AB">
      <w:pPr>
        <w:keepNext/>
        <w:spacing w:after="0" w:line="240" w:lineRule="auto"/>
        <w:jc w:val="center"/>
        <w:outlineLvl w:val="0"/>
        <w:rPr>
          <w:rFonts w:eastAsia="Times New Roman"/>
          <w:bCs/>
          <w:kern w:val="32"/>
          <w:szCs w:val="28"/>
          <w:lang w:eastAsia="ru-RU"/>
        </w:rPr>
      </w:pPr>
      <w:r w:rsidRPr="008A45AB">
        <w:rPr>
          <w:rFonts w:eastAsia="Times New Roman"/>
          <w:bCs/>
          <w:kern w:val="32"/>
          <w:szCs w:val="28"/>
          <w:lang w:eastAsia="ru-RU"/>
        </w:rPr>
        <w:t>Труд и занятость</w:t>
      </w:r>
    </w:p>
    <w:p w:rsidR="008A45AB" w:rsidRPr="008A45AB" w:rsidRDefault="008A45AB" w:rsidP="008A45AB">
      <w:pPr>
        <w:keepNext/>
        <w:spacing w:after="0" w:line="240" w:lineRule="auto"/>
        <w:ind w:firstLine="709"/>
        <w:jc w:val="both"/>
        <w:outlineLvl w:val="0"/>
        <w:rPr>
          <w:rFonts w:eastAsia="Times New Roman"/>
          <w:bCs/>
          <w:kern w:val="32"/>
          <w:sz w:val="20"/>
          <w:szCs w:val="20"/>
          <w:lang w:eastAsia="ru-RU"/>
        </w:rPr>
      </w:pPr>
    </w:p>
    <w:p w:rsidR="00552CF7" w:rsidRPr="006B780C"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6B780C">
        <w:rPr>
          <w:rFonts w:eastAsia="Times New Roman"/>
          <w:szCs w:val="28"/>
          <w:lang w:eastAsia="ru-RU"/>
        </w:rPr>
        <w:t xml:space="preserve">Сложившаяся в городе Мурманске демографическая ситуация характеризуется в частности сокращением численности трудоспособного населения. Так в 2020 году численность населения указанной категории сократилась на 1,8 тыс. человек, или на 1,1% к 2019 году, и составила </w:t>
      </w:r>
      <w:r w:rsidRPr="006B780C">
        <w:rPr>
          <w:rFonts w:eastAsia="Times New Roman"/>
          <w:szCs w:val="28"/>
          <w:lang w:eastAsia="ru-RU"/>
        </w:rPr>
        <w:br/>
        <w:t xml:space="preserve">166,28 тыс. человек. </w:t>
      </w:r>
    </w:p>
    <w:p w:rsidR="00552CF7" w:rsidRPr="006B780C"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6B780C">
        <w:rPr>
          <w:rFonts w:eastAsia="Times New Roman"/>
          <w:szCs w:val="28"/>
          <w:lang w:eastAsia="ru-RU"/>
        </w:rPr>
        <w:t>В 2021 году ожидается сохранение отрицательной динамики: среднегодовое значение численности населения в трудоспособном возрасте предположительно составит 162,56 тыс. человек.</w:t>
      </w:r>
    </w:p>
    <w:p w:rsidR="00552CF7" w:rsidRPr="006B780C"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6B780C">
        <w:rPr>
          <w:rFonts w:eastAsia="Times New Roman"/>
          <w:szCs w:val="28"/>
          <w:lang w:eastAsia="ru-RU"/>
        </w:rPr>
        <w:t xml:space="preserve">При этом в первом полугодии текущего года отмечено некоторое сокращение по сравнению с аналогичным периодом 2020 года численности работников организаций города Мурманска (без субъектов малого предпринимательства) на 0,5% до 88,51 тыс. человек. </w:t>
      </w:r>
    </w:p>
    <w:p w:rsidR="00552CF7" w:rsidRPr="006B780C"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6B780C">
        <w:rPr>
          <w:rFonts w:eastAsia="Times New Roman"/>
          <w:szCs w:val="28"/>
          <w:lang w:eastAsia="ru-RU"/>
        </w:rPr>
        <w:t>Вместе с тем, в связи с негативными последствиями пандемии для экономики региона ожидается, что к концу 2021 года численность работников организаций сократится до 88,48 тыс. человек.</w:t>
      </w:r>
    </w:p>
    <w:p w:rsidR="00552CF7" w:rsidRPr="006B780C"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6B780C">
        <w:rPr>
          <w:rFonts w:eastAsia="Times New Roman"/>
          <w:szCs w:val="28"/>
          <w:lang w:eastAsia="ru-RU"/>
        </w:rPr>
        <w:t>При этом ожидается некоторый рост среднемесячной номинальной начисленной заработной платы. В первом полугодии текущего года ее рост составил 10% к соответствующему периоду 2020 года. В 2021 году ожидается увеличение среднемесячной заработной платы до 85 490 рублей.</w:t>
      </w:r>
    </w:p>
    <w:p w:rsidR="00552CF7" w:rsidRPr="00A62077" w:rsidRDefault="00552CF7" w:rsidP="00552CF7">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6B780C">
        <w:rPr>
          <w:rFonts w:eastAsia="Times New Roman"/>
          <w:szCs w:val="28"/>
          <w:lang w:eastAsia="ru-RU"/>
        </w:rPr>
        <w:t>Ожидается, что в 2021 году среднегодовая численность безработных, зарегистрированных в службах занятости населения, составит 3,32 тыс. человек.</w:t>
      </w:r>
    </w:p>
    <w:p w:rsidR="008A45AB" w:rsidRPr="008A45AB" w:rsidRDefault="008A45AB" w:rsidP="008A45AB">
      <w:pPr>
        <w:overflowPunct w:val="0"/>
        <w:autoSpaceDE w:val="0"/>
        <w:autoSpaceDN w:val="0"/>
        <w:adjustRightInd w:val="0"/>
        <w:spacing w:after="0" w:line="240" w:lineRule="auto"/>
        <w:textAlignment w:val="baseline"/>
        <w:rPr>
          <w:rFonts w:eastAsia="Times New Roman"/>
          <w:szCs w:val="20"/>
          <w:lang w:eastAsia="ru-RU"/>
        </w:rPr>
      </w:pPr>
    </w:p>
    <w:p w:rsidR="0018260A" w:rsidRPr="0018260A" w:rsidRDefault="008A45AB" w:rsidP="009E30F5">
      <w:pPr>
        <w:widowControl w:val="0"/>
        <w:overflowPunct w:val="0"/>
        <w:autoSpaceDE w:val="0"/>
        <w:autoSpaceDN w:val="0"/>
        <w:adjustRightInd w:val="0"/>
        <w:spacing w:after="0" w:line="240" w:lineRule="auto"/>
        <w:jc w:val="center"/>
        <w:textAlignment w:val="baseline"/>
        <w:rPr>
          <w:lang w:eastAsia="ru-RU"/>
        </w:rPr>
      </w:pPr>
      <w:r w:rsidRPr="008A45AB">
        <w:rPr>
          <w:rFonts w:eastAsia="Times New Roman"/>
          <w:b/>
          <w:bCs/>
          <w:szCs w:val="28"/>
          <w:lang w:eastAsia="ru-RU"/>
        </w:rPr>
        <w:t>__________________________</w:t>
      </w:r>
      <w:bookmarkStart w:id="0" w:name="_GoBack"/>
      <w:bookmarkEnd w:id="0"/>
    </w:p>
    <w:sectPr w:rsidR="0018260A" w:rsidRPr="0018260A" w:rsidSect="0018260A">
      <w:headerReference w:type="default" r:id="rId15"/>
      <w:footnotePr>
        <w:numRestart w:val="eachSect"/>
      </w:footnotePr>
      <w:pgSz w:w="11906" w:h="16838"/>
      <w:pgMar w:top="1134" w:right="567" w:bottom="1134" w:left="1701" w:header="709" w:footer="709" w:gutter="0"/>
      <w:pgNumType w:start="2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1A" w:rsidRDefault="0031471A" w:rsidP="00E2695E">
      <w:pPr>
        <w:spacing w:after="0" w:line="240" w:lineRule="auto"/>
      </w:pPr>
      <w:r>
        <w:separator/>
      </w:r>
    </w:p>
  </w:endnote>
  <w:endnote w:type="continuationSeparator" w:id="0">
    <w:p w:rsidR="0031471A" w:rsidRDefault="0031471A"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1A" w:rsidRDefault="0031471A" w:rsidP="00E2695E">
      <w:pPr>
        <w:spacing w:after="0" w:line="240" w:lineRule="auto"/>
      </w:pPr>
      <w:r>
        <w:separator/>
      </w:r>
    </w:p>
  </w:footnote>
  <w:footnote w:type="continuationSeparator" w:id="0">
    <w:p w:rsidR="0031471A" w:rsidRDefault="0031471A" w:rsidP="00E2695E">
      <w:pPr>
        <w:spacing w:after="0" w:line="240" w:lineRule="auto"/>
      </w:pPr>
      <w:r>
        <w:continuationSeparator/>
      </w:r>
    </w:p>
  </w:footnote>
  <w:footnote w:id="1">
    <w:p w:rsidR="00E10048" w:rsidRPr="00C965D4" w:rsidRDefault="00E10048" w:rsidP="00336819">
      <w:pPr>
        <w:pStyle w:val="ad"/>
      </w:pPr>
      <w:r>
        <w:rPr>
          <w:rStyle w:val="af6"/>
        </w:rPr>
        <w:footnoteRef/>
      </w:r>
      <w:r>
        <w:t xml:space="preserve"> Здесь и далее по сноске оценочные данные.</w:t>
      </w:r>
    </w:p>
  </w:footnote>
  <w:footnote w:id="2">
    <w:p w:rsidR="00E10048" w:rsidRDefault="00E10048" w:rsidP="00336819">
      <w:pPr>
        <w:pStyle w:val="ad"/>
      </w:pPr>
      <w:r>
        <w:rPr>
          <w:rStyle w:val="af6"/>
        </w:rPr>
        <w:footnoteRef/>
      </w:r>
      <w:r>
        <w:t xml:space="preserve"> 1-й вариант – базовый (см. пояснительную записку к прогнозу).</w:t>
      </w:r>
    </w:p>
  </w:footnote>
  <w:footnote w:id="3">
    <w:p w:rsidR="00E10048" w:rsidRDefault="00E10048" w:rsidP="00336819">
      <w:pPr>
        <w:pStyle w:val="ad"/>
      </w:pPr>
      <w:r>
        <w:rPr>
          <w:rStyle w:val="af6"/>
        </w:rPr>
        <w:footnoteRef/>
      </w:r>
      <w:r>
        <w:t xml:space="preserve"> 2-й вариант – целевой (см. пояснительную записку к прогнозу).</w:t>
      </w:r>
    </w:p>
  </w:footnote>
  <w:footnote w:id="4">
    <w:p w:rsidR="00E10048" w:rsidRDefault="00E10048" w:rsidP="00336819">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w:t>
      </w:r>
      <w:proofErr w:type="gramStart"/>
      <w:r>
        <w:t>показателей прогноза социально-экономического развития муниципального образования Мурманской области</w:t>
      </w:r>
      <w:proofErr w:type="gramEnd"/>
      <w:r>
        <w:t>.</w:t>
      </w:r>
    </w:p>
    <w:p w:rsidR="00E10048" w:rsidRDefault="00E10048" w:rsidP="00336819">
      <w:pPr>
        <w:pStyle w:val="ad"/>
        <w:ind w:right="-598"/>
        <w:jc w:val="both"/>
      </w:pPr>
      <w:r>
        <w:t>* Экспертная оценка. Статистические данные по городу Мурманску отсутствуют (</w:t>
      </w:r>
      <w:proofErr w:type="spellStart"/>
      <w:r>
        <w:t>Мурманскстатом</w:t>
      </w:r>
      <w:proofErr w:type="spellEnd"/>
      <w:r>
        <w:t xml:space="preserve"> не формируются).</w:t>
      </w:r>
    </w:p>
  </w:footnote>
  <w:footnote w:id="5">
    <w:p w:rsidR="00E10048" w:rsidRDefault="00E10048" w:rsidP="00336819">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2021 год и на плановый период 2022 и 2023 годов данный показатель отсутствует, значение по области не приводится. Произвести экспертную оценку не представляется возможным.</w:t>
      </w:r>
    </w:p>
  </w:footnote>
  <w:footnote w:id="6">
    <w:p w:rsidR="00E10048" w:rsidRDefault="00E10048" w:rsidP="00336819">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2021 год и на плановый период 2022 и 2023 годов данный показатель отсутствует, значение по области не приводится. Произвести экспертную оценку не представляется возможным.</w:t>
      </w:r>
    </w:p>
  </w:footnote>
  <w:footnote w:id="7">
    <w:p w:rsidR="00E10048" w:rsidRDefault="00E10048" w:rsidP="00E81FA7">
      <w:pPr>
        <w:pStyle w:val="ad"/>
      </w:pPr>
      <w:r>
        <w:rPr>
          <w:rStyle w:val="af6"/>
        </w:rPr>
        <w:footnoteRef/>
      </w:r>
      <w:r>
        <w:t xml:space="preserve"> Единый реестр субъектов малого и среднего предпринимательства создан в соответствии с Федеральным законом № 408-ФЗ «О внесении изменений в отдельные законодательные акты Российской Федерации. Ведение Единого реестра субъектов малого и среднего предпринимательства осуществляет Федеральная налоговая служба.</w:t>
      </w:r>
    </w:p>
  </w:footnote>
  <w:footnote w:id="8">
    <w:p w:rsidR="00E10048" w:rsidRDefault="00E10048" w:rsidP="008A45AB">
      <w:pPr>
        <w:pStyle w:val="ad"/>
        <w:jc w:val="both"/>
      </w:pPr>
      <w:r>
        <w:rPr>
          <w:rStyle w:val="af6"/>
        </w:rPr>
        <w:footnoteRef/>
      </w:r>
      <w:r>
        <w:t xml:space="preserve"> По данным Единого реестра субъектов малого и среднего предпринимательства Федеральной налоговой службы РФ.</w:t>
      </w:r>
    </w:p>
  </w:footnote>
  <w:footnote w:id="9">
    <w:p w:rsidR="00E10048" w:rsidRDefault="00E10048" w:rsidP="008A45AB">
      <w:pPr>
        <w:pStyle w:val="ad"/>
      </w:pPr>
      <w:r>
        <w:rPr>
          <w:rStyle w:val="af6"/>
        </w:rPr>
        <w:footnoteRef/>
      </w:r>
      <w:r>
        <w:t xml:space="preserve"> Отчетные данные за январь-май соответствующего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10084"/>
      <w:docPartObj>
        <w:docPartGallery w:val="Page Numbers (Top of Page)"/>
        <w:docPartUnique/>
      </w:docPartObj>
    </w:sdtPr>
    <w:sdtContent>
      <w:p w:rsidR="00E10048" w:rsidRDefault="00E10048">
        <w:pPr>
          <w:pStyle w:val="a5"/>
          <w:jc w:val="center"/>
        </w:pPr>
        <w:r>
          <w:fldChar w:fldCharType="begin"/>
        </w:r>
        <w:r>
          <w:instrText>PAGE   \* MERGEFORMAT</w:instrText>
        </w:r>
        <w:r>
          <w:fldChar w:fldCharType="separate"/>
        </w:r>
        <w:r w:rsidR="009E30F5">
          <w:rPr>
            <w:noProof/>
          </w:rPr>
          <w:t>2</w:t>
        </w:r>
        <w:r>
          <w:fldChar w:fldCharType="end"/>
        </w:r>
      </w:p>
    </w:sdtContent>
  </w:sdt>
  <w:p w:rsidR="00E10048" w:rsidRDefault="00E100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76640"/>
      <w:docPartObj>
        <w:docPartGallery w:val="Page Numbers (Top of Page)"/>
        <w:docPartUnique/>
      </w:docPartObj>
    </w:sdtPr>
    <w:sdtContent>
      <w:p w:rsidR="00E10048" w:rsidRDefault="00E10048" w:rsidP="00A7472F">
        <w:pPr>
          <w:pStyle w:val="a5"/>
          <w:jc w:val="center"/>
        </w:pPr>
        <w:r>
          <w:fldChar w:fldCharType="begin"/>
        </w:r>
        <w:r>
          <w:instrText>PAGE   \* MERGEFORMAT</w:instrText>
        </w:r>
        <w:r>
          <w:fldChar w:fldCharType="separate"/>
        </w:r>
        <w:r w:rsidR="009E30F5">
          <w:rPr>
            <w:noProof/>
          </w:rPr>
          <w:t>13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74634"/>
      <w:docPartObj>
        <w:docPartGallery w:val="Page Numbers (Top of Page)"/>
        <w:docPartUnique/>
      </w:docPartObj>
    </w:sdtPr>
    <w:sdtContent>
      <w:p w:rsidR="00E10048" w:rsidRDefault="00E10048" w:rsidP="00A7472F">
        <w:pPr>
          <w:pStyle w:val="a5"/>
          <w:jc w:val="center"/>
        </w:pPr>
        <w:r>
          <w:fldChar w:fldCharType="begin"/>
        </w:r>
        <w:r>
          <w:instrText>PAGE   \* MERGEFORMAT</w:instrText>
        </w:r>
        <w:r>
          <w:fldChar w:fldCharType="separate"/>
        </w:r>
        <w:r w:rsidR="009E30F5">
          <w:rPr>
            <w:noProof/>
          </w:rPr>
          <w:t>71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11"/>
    <w:multiLevelType w:val="hybridMultilevel"/>
    <w:tmpl w:val="A460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87C19"/>
    <w:multiLevelType w:val="hybridMultilevel"/>
    <w:tmpl w:val="F6EEAD16"/>
    <w:lvl w:ilvl="0" w:tplc="488A352A">
      <w:start w:val="4"/>
      <w:numFmt w:val="bullet"/>
      <w:lvlText w:val="-"/>
      <w:lvlJc w:val="left"/>
      <w:pPr>
        <w:tabs>
          <w:tab w:val="num" w:pos="1692"/>
        </w:tabs>
        <w:ind w:left="1692" w:hanging="97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7554A72"/>
    <w:multiLevelType w:val="hybridMultilevel"/>
    <w:tmpl w:val="173CA9D2"/>
    <w:lvl w:ilvl="0" w:tplc="5BC0387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B1522E"/>
    <w:multiLevelType w:val="hybridMultilevel"/>
    <w:tmpl w:val="4FA4BD92"/>
    <w:lvl w:ilvl="0" w:tplc="9E28D9AC">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E175AD"/>
    <w:multiLevelType w:val="hybridMultilevel"/>
    <w:tmpl w:val="5BA4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39667E"/>
    <w:multiLevelType w:val="hybridMultilevel"/>
    <w:tmpl w:val="441429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D3496"/>
    <w:multiLevelType w:val="hybridMultilevel"/>
    <w:tmpl w:val="6CB4C944"/>
    <w:lvl w:ilvl="0" w:tplc="B34AAD22">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7C23458"/>
    <w:multiLevelType w:val="hybridMultilevel"/>
    <w:tmpl w:val="C90C7D8C"/>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C42F7D"/>
    <w:multiLevelType w:val="hybridMultilevel"/>
    <w:tmpl w:val="2A2C1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1725856"/>
    <w:multiLevelType w:val="hybridMultilevel"/>
    <w:tmpl w:val="CC544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24795B"/>
    <w:multiLevelType w:val="hybridMultilevel"/>
    <w:tmpl w:val="5B9021C8"/>
    <w:lvl w:ilvl="0" w:tplc="52DC321A">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BD118E"/>
    <w:multiLevelType w:val="hybridMultilevel"/>
    <w:tmpl w:val="2C146288"/>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F34446"/>
    <w:multiLevelType w:val="hybridMultilevel"/>
    <w:tmpl w:val="9328EAE6"/>
    <w:lvl w:ilvl="0" w:tplc="A64AE01A">
      <w:start w:val="1"/>
      <w:numFmt w:val="bullet"/>
      <w:pStyle w:val="-"/>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E243A1"/>
    <w:multiLevelType w:val="singleLevel"/>
    <w:tmpl w:val="EE8C1200"/>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12"/>
  </w:num>
  <w:num w:numId="4">
    <w:abstractNumId w:val="13"/>
  </w:num>
  <w:num w:numId="5">
    <w:abstractNumId w:val="4"/>
  </w:num>
  <w:num w:numId="6">
    <w:abstractNumId w:val="9"/>
  </w:num>
  <w:num w:numId="7">
    <w:abstractNumId w:val="10"/>
  </w:num>
  <w:num w:numId="8">
    <w:abstractNumId w:val="11"/>
  </w:num>
  <w:num w:numId="9">
    <w:abstractNumId w:val="7"/>
  </w:num>
  <w:num w:numId="10">
    <w:abstractNumId w:val="1"/>
  </w:num>
  <w:num w:numId="11">
    <w:abstractNumId w:val="8"/>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DC"/>
    <w:rsid w:val="00005108"/>
    <w:rsid w:val="00010964"/>
    <w:rsid w:val="00042944"/>
    <w:rsid w:val="00071DDC"/>
    <w:rsid w:val="00085407"/>
    <w:rsid w:val="000B4E65"/>
    <w:rsid w:val="000D0DF3"/>
    <w:rsid w:val="000E22ED"/>
    <w:rsid w:val="000E7356"/>
    <w:rsid w:val="0014101A"/>
    <w:rsid w:val="00142712"/>
    <w:rsid w:val="00152276"/>
    <w:rsid w:val="00163B66"/>
    <w:rsid w:val="0018260A"/>
    <w:rsid w:val="001946D4"/>
    <w:rsid w:val="00195971"/>
    <w:rsid w:val="001A6F42"/>
    <w:rsid w:val="001B2076"/>
    <w:rsid w:val="001B542C"/>
    <w:rsid w:val="001E4D4B"/>
    <w:rsid w:val="001E73B8"/>
    <w:rsid w:val="001F09EB"/>
    <w:rsid w:val="001F0C7F"/>
    <w:rsid w:val="002115E3"/>
    <w:rsid w:val="0021500C"/>
    <w:rsid w:val="00232AE4"/>
    <w:rsid w:val="002654C7"/>
    <w:rsid w:val="00276000"/>
    <w:rsid w:val="002822C5"/>
    <w:rsid w:val="00282F3F"/>
    <w:rsid w:val="00290294"/>
    <w:rsid w:val="00295D47"/>
    <w:rsid w:val="002978E0"/>
    <w:rsid w:val="002A23B7"/>
    <w:rsid w:val="002D0E31"/>
    <w:rsid w:val="002D2654"/>
    <w:rsid w:val="002F3602"/>
    <w:rsid w:val="002F6225"/>
    <w:rsid w:val="0031471A"/>
    <w:rsid w:val="00330585"/>
    <w:rsid w:val="00336819"/>
    <w:rsid w:val="00340E84"/>
    <w:rsid w:val="00376FCE"/>
    <w:rsid w:val="00381F43"/>
    <w:rsid w:val="003924A9"/>
    <w:rsid w:val="003A63EA"/>
    <w:rsid w:val="003D2416"/>
    <w:rsid w:val="003D4150"/>
    <w:rsid w:val="003F28B4"/>
    <w:rsid w:val="00407776"/>
    <w:rsid w:val="004300E4"/>
    <w:rsid w:val="0044132A"/>
    <w:rsid w:val="004452B1"/>
    <w:rsid w:val="00451028"/>
    <w:rsid w:val="00454F68"/>
    <w:rsid w:val="00457847"/>
    <w:rsid w:val="00457870"/>
    <w:rsid w:val="00476DDC"/>
    <w:rsid w:val="004869BE"/>
    <w:rsid w:val="0049438E"/>
    <w:rsid w:val="004A5EE3"/>
    <w:rsid w:val="004C56BA"/>
    <w:rsid w:val="00507275"/>
    <w:rsid w:val="00515C99"/>
    <w:rsid w:val="0052343C"/>
    <w:rsid w:val="00525F74"/>
    <w:rsid w:val="0053392A"/>
    <w:rsid w:val="005430F0"/>
    <w:rsid w:val="0054418B"/>
    <w:rsid w:val="00552CF7"/>
    <w:rsid w:val="00555DFA"/>
    <w:rsid w:val="00596557"/>
    <w:rsid w:val="005D76C0"/>
    <w:rsid w:val="006111C0"/>
    <w:rsid w:val="00632BE9"/>
    <w:rsid w:val="00643BB4"/>
    <w:rsid w:val="0064520C"/>
    <w:rsid w:val="006472C4"/>
    <w:rsid w:val="00676241"/>
    <w:rsid w:val="0067679B"/>
    <w:rsid w:val="00693D62"/>
    <w:rsid w:val="006A50D4"/>
    <w:rsid w:val="006C3A96"/>
    <w:rsid w:val="006C45EE"/>
    <w:rsid w:val="006C5BC5"/>
    <w:rsid w:val="006C7270"/>
    <w:rsid w:val="006D0C08"/>
    <w:rsid w:val="006D228A"/>
    <w:rsid w:val="006D4C40"/>
    <w:rsid w:val="006E4E45"/>
    <w:rsid w:val="006F1BC7"/>
    <w:rsid w:val="006F47A3"/>
    <w:rsid w:val="006F5244"/>
    <w:rsid w:val="007059B8"/>
    <w:rsid w:val="00705D92"/>
    <w:rsid w:val="007125AF"/>
    <w:rsid w:val="007171C3"/>
    <w:rsid w:val="007314E4"/>
    <w:rsid w:val="0073368E"/>
    <w:rsid w:val="00741F1E"/>
    <w:rsid w:val="00755869"/>
    <w:rsid w:val="00785D04"/>
    <w:rsid w:val="00795E83"/>
    <w:rsid w:val="007B59A6"/>
    <w:rsid w:val="007C191E"/>
    <w:rsid w:val="007C28EB"/>
    <w:rsid w:val="007F328F"/>
    <w:rsid w:val="0080489D"/>
    <w:rsid w:val="00824EE6"/>
    <w:rsid w:val="00873E06"/>
    <w:rsid w:val="008752B8"/>
    <w:rsid w:val="008A45AB"/>
    <w:rsid w:val="008C2134"/>
    <w:rsid w:val="008D2B35"/>
    <w:rsid w:val="008E5436"/>
    <w:rsid w:val="008E74D5"/>
    <w:rsid w:val="008F0E3D"/>
    <w:rsid w:val="008F1B6A"/>
    <w:rsid w:val="0096451C"/>
    <w:rsid w:val="0098254A"/>
    <w:rsid w:val="009A393F"/>
    <w:rsid w:val="009D02E9"/>
    <w:rsid w:val="009D0C2D"/>
    <w:rsid w:val="009E30F5"/>
    <w:rsid w:val="009F548A"/>
    <w:rsid w:val="00A0221B"/>
    <w:rsid w:val="00A03CB1"/>
    <w:rsid w:val="00A11886"/>
    <w:rsid w:val="00A512D5"/>
    <w:rsid w:val="00A55A64"/>
    <w:rsid w:val="00A62077"/>
    <w:rsid w:val="00A721CF"/>
    <w:rsid w:val="00A7472F"/>
    <w:rsid w:val="00A7564A"/>
    <w:rsid w:val="00A919EC"/>
    <w:rsid w:val="00AB4D28"/>
    <w:rsid w:val="00AF14FC"/>
    <w:rsid w:val="00B10949"/>
    <w:rsid w:val="00B47C96"/>
    <w:rsid w:val="00B5456A"/>
    <w:rsid w:val="00B558A9"/>
    <w:rsid w:val="00B55EB1"/>
    <w:rsid w:val="00B757CF"/>
    <w:rsid w:val="00B83017"/>
    <w:rsid w:val="00B94D37"/>
    <w:rsid w:val="00B97A2F"/>
    <w:rsid w:val="00BD6851"/>
    <w:rsid w:val="00BE423F"/>
    <w:rsid w:val="00BF78A3"/>
    <w:rsid w:val="00C22F32"/>
    <w:rsid w:val="00C451FE"/>
    <w:rsid w:val="00C469E6"/>
    <w:rsid w:val="00C71D81"/>
    <w:rsid w:val="00C83519"/>
    <w:rsid w:val="00C91BCC"/>
    <w:rsid w:val="00C9534F"/>
    <w:rsid w:val="00CB3EAA"/>
    <w:rsid w:val="00CB7967"/>
    <w:rsid w:val="00CD46B3"/>
    <w:rsid w:val="00CD5004"/>
    <w:rsid w:val="00CE1600"/>
    <w:rsid w:val="00CE1D88"/>
    <w:rsid w:val="00D01718"/>
    <w:rsid w:val="00D0252B"/>
    <w:rsid w:val="00D14C49"/>
    <w:rsid w:val="00D33E04"/>
    <w:rsid w:val="00D56A3D"/>
    <w:rsid w:val="00D60E85"/>
    <w:rsid w:val="00D63C9A"/>
    <w:rsid w:val="00D8009D"/>
    <w:rsid w:val="00D82A98"/>
    <w:rsid w:val="00D851F2"/>
    <w:rsid w:val="00D911E8"/>
    <w:rsid w:val="00DB0E9B"/>
    <w:rsid w:val="00DE2E74"/>
    <w:rsid w:val="00E052B1"/>
    <w:rsid w:val="00E10048"/>
    <w:rsid w:val="00E20B76"/>
    <w:rsid w:val="00E2391D"/>
    <w:rsid w:val="00E267A3"/>
    <w:rsid w:val="00E2695E"/>
    <w:rsid w:val="00E34C86"/>
    <w:rsid w:val="00E3656B"/>
    <w:rsid w:val="00E423D9"/>
    <w:rsid w:val="00E53E71"/>
    <w:rsid w:val="00E81FA7"/>
    <w:rsid w:val="00E86816"/>
    <w:rsid w:val="00E96D23"/>
    <w:rsid w:val="00EB7B67"/>
    <w:rsid w:val="00EB7C19"/>
    <w:rsid w:val="00EC43D9"/>
    <w:rsid w:val="00EC502D"/>
    <w:rsid w:val="00ED1910"/>
    <w:rsid w:val="00EE05D6"/>
    <w:rsid w:val="00F007B6"/>
    <w:rsid w:val="00F05638"/>
    <w:rsid w:val="00F07DE2"/>
    <w:rsid w:val="00F1555E"/>
    <w:rsid w:val="00F313D3"/>
    <w:rsid w:val="00F515D9"/>
    <w:rsid w:val="00F55830"/>
    <w:rsid w:val="00F61EE2"/>
    <w:rsid w:val="00F835A7"/>
    <w:rsid w:val="00FA559A"/>
    <w:rsid w:val="00FD075D"/>
    <w:rsid w:val="00FD36A5"/>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1">
    <w:name w:val="heading 1"/>
    <w:basedOn w:val="a"/>
    <w:next w:val="a"/>
    <w:link w:val="10"/>
    <w:qFormat/>
    <w:rsid w:val="004300E4"/>
    <w:pPr>
      <w:keepNext/>
      <w:spacing w:before="360" w:after="120" w:line="240" w:lineRule="auto"/>
      <w:ind w:firstLine="709"/>
      <w:jc w:val="both"/>
      <w:outlineLvl w:val="0"/>
    </w:pPr>
    <w:rPr>
      <w:rFonts w:eastAsia="Times New Roman"/>
      <w:b/>
      <w:bCs/>
      <w:caps/>
      <w:sz w:val="24"/>
      <w:szCs w:val="20"/>
      <w:lang w:eastAsia="ru-RU"/>
    </w:rPr>
  </w:style>
  <w:style w:type="paragraph" w:styleId="2">
    <w:name w:val="heading 2"/>
    <w:basedOn w:val="a"/>
    <w:next w:val="a"/>
    <w:link w:val="20"/>
    <w:unhideWhenUsed/>
    <w:qFormat/>
    <w:rsid w:val="004300E4"/>
    <w:pPr>
      <w:keepNext/>
      <w:spacing w:after="0" w:line="240" w:lineRule="auto"/>
      <w:jc w:val="center"/>
      <w:outlineLvl w:val="1"/>
    </w:pPr>
    <w:rPr>
      <w:rFonts w:eastAsia="Times New Roman"/>
      <w:b/>
      <w:bCs/>
      <w:i/>
      <w:iCs/>
      <w:sz w:val="24"/>
      <w:szCs w:val="20"/>
      <w:lang w:eastAsia="ru-RU"/>
    </w:rPr>
  </w:style>
  <w:style w:type="paragraph" w:styleId="3">
    <w:name w:val="heading 3"/>
    <w:basedOn w:val="a"/>
    <w:next w:val="a"/>
    <w:link w:val="30"/>
    <w:unhideWhenUsed/>
    <w:qFormat/>
    <w:rsid w:val="004300E4"/>
    <w:pPr>
      <w:keepNext/>
      <w:overflowPunct w:val="0"/>
      <w:autoSpaceDE w:val="0"/>
      <w:autoSpaceDN w:val="0"/>
      <w:adjustRightInd w:val="0"/>
      <w:spacing w:before="360" w:after="240" w:line="240" w:lineRule="auto"/>
      <w:ind w:firstLine="709"/>
      <w:outlineLvl w:val="2"/>
    </w:pPr>
    <w:rPr>
      <w:rFonts w:eastAsia="Times New Roman"/>
      <w:b/>
      <w:szCs w:val="20"/>
      <w:lang w:eastAsia="ru-RU"/>
    </w:rPr>
  </w:style>
  <w:style w:type="paragraph" w:styleId="4">
    <w:name w:val="heading 4"/>
    <w:basedOn w:val="a"/>
    <w:next w:val="a"/>
    <w:link w:val="40"/>
    <w:unhideWhenUsed/>
    <w:qFormat/>
    <w:rsid w:val="004300E4"/>
    <w:pPr>
      <w:keepNext/>
      <w:spacing w:after="0" w:line="240" w:lineRule="auto"/>
      <w:jc w:val="both"/>
      <w:outlineLvl w:val="3"/>
    </w:pPr>
    <w:rPr>
      <w:rFonts w:eastAsia="Times New Roman"/>
      <w:b/>
      <w:sz w:val="24"/>
      <w:szCs w:val="20"/>
      <w:lang w:eastAsia="ru-RU"/>
    </w:rPr>
  </w:style>
  <w:style w:type="paragraph" w:styleId="5">
    <w:name w:val="heading 5"/>
    <w:basedOn w:val="a"/>
    <w:next w:val="a"/>
    <w:link w:val="50"/>
    <w:unhideWhenUsed/>
    <w:qFormat/>
    <w:rsid w:val="004300E4"/>
    <w:pPr>
      <w:keepNext/>
      <w:overflowPunct w:val="0"/>
      <w:autoSpaceDE w:val="0"/>
      <w:autoSpaceDN w:val="0"/>
      <w:adjustRightInd w:val="0"/>
      <w:spacing w:after="0" w:line="240" w:lineRule="auto"/>
      <w:outlineLvl w:val="4"/>
    </w:pPr>
    <w:rPr>
      <w:rFonts w:eastAsia="Arial Unicode MS"/>
      <w:b/>
      <w:bCs/>
      <w:sz w:val="22"/>
      <w:szCs w:val="20"/>
      <w:lang w:eastAsia="ru-RU"/>
    </w:rPr>
  </w:style>
  <w:style w:type="paragraph" w:styleId="6">
    <w:name w:val="heading 6"/>
    <w:basedOn w:val="a"/>
    <w:next w:val="a"/>
    <w:link w:val="60"/>
    <w:unhideWhenUsed/>
    <w:qFormat/>
    <w:rsid w:val="004300E4"/>
    <w:pPr>
      <w:keepNext/>
      <w:overflowPunct w:val="0"/>
      <w:autoSpaceDE w:val="0"/>
      <w:autoSpaceDN w:val="0"/>
      <w:adjustRightInd w:val="0"/>
      <w:spacing w:after="0" w:line="240" w:lineRule="auto"/>
      <w:jc w:val="both"/>
      <w:outlineLvl w:val="5"/>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507275"/>
    <w:pPr>
      <w:ind w:left="720"/>
      <w:contextualSpacing/>
    </w:pPr>
  </w:style>
  <w:style w:type="character" w:customStyle="1" w:styleId="10">
    <w:name w:val="Заголовок 1 Знак"/>
    <w:basedOn w:val="a0"/>
    <w:link w:val="1"/>
    <w:rsid w:val="004300E4"/>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semiHidden/>
    <w:rsid w:val="004300E4"/>
    <w:rPr>
      <w:rFonts w:ascii="Times New Roman" w:eastAsia="Times New Roman" w:hAnsi="Times New Roman" w:cs="Times New Roman"/>
      <w:b/>
      <w:bCs/>
      <w:i/>
      <w:iCs/>
      <w:sz w:val="24"/>
      <w:szCs w:val="20"/>
      <w:lang w:eastAsia="ru-RU"/>
    </w:rPr>
  </w:style>
  <w:style w:type="character" w:customStyle="1" w:styleId="30">
    <w:name w:val="Заголовок 3 Знак"/>
    <w:basedOn w:val="a0"/>
    <w:link w:val="3"/>
    <w:semiHidden/>
    <w:rsid w:val="004300E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300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0E4"/>
    <w:rPr>
      <w:rFonts w:ascii="Times New Roman" w:eastAsia="Arial Unicode MS" w:hAnsi="Times New Roman" w:cs="Times New Roman"/>
      <w:b/>
      <w:bCs/>
      <w:szCs w:val="20"/>
      <w:lang w:eastAsia="ru-RU"/>
    </w:rPr>
  </w:style>
  <w:style w:type="character" w:customStyle="1" w:styleId="60">
    <w:name w:val="Заголовок 6 Знак"/>
    <w:basedOn w:val="a0"/>
    <w:link w:val="6"/>
    <w:semiHidden/>
    <w:rsid w:val="004300E4"/>
    <w:rPr>
      <w:rFonts w:ascii="Times New Roman" w:eastAsia="Times New Roman" w:hAnsi="Times New Roman" w:cs="Times New Roman"/>
      <w:b/>
      <w:bCs/>
      <w:szCs w:val="20"/>
      <w:lang w:eastAsia="ru-RU"/>
    </w:rPr>
  </w:style>
  <w:style w:type="character" w:styleId="ab">
    <w:name w:val="Hyperlink"/>
    <w:uiPriority w:val="99"/>
    <w:unhideWhenUsed/>
    <w:rsid w:val="004300E4"/>
    <w:rPr>
      <w:color w:val="0066CC"/>
      <w:u w:val="single"/>
    </w:rPr>
  </w:style>
  <w:style w:type="character" w:styleId="ac">
    <w:name w:val="FollowedHyperlink"/>
    <w:basedOn w:val="a0"/>
    <w:uiPriority w:val="99"/>
    <w:semiHidden/>
    <w:unhideWhenUsed/>
    <w:rsid w:val="004300E4"/>
    <w:rPr>
      <w:color w:val="800080" w:themeColor="followedHyperlink"/>
      <w:u w:val="single"/>
    </w:rPr>
  </w:style>
  <w:style w:type="paragraph" w:styleId="ad">
    <w:name w:val="footnote text"/>
    <w:basedOn w:val="a"/>
    <w:link w:val="ae"/>
    <w:uiPriority w:val="99"/>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e">
    <w:name w:val="Текст сноски Знак"/>
    <w:basedOn w:val="a0"/>
    <w:link w:val="ad"/>
    <w:uiPriority w:val="99"/>
    <w:rsid w:val="004300E4"/>
    <w:rPr>
      <w:rFonts w:ascii="Times New Roman" w:eastAsia="Times New Roman" w:hAnsi="Times New Roman" w:cs="Times New Roman"/>
      <w:sz w:val="20"/>
      <w:szCs w:val="20"/>
      <w:lang w:eastAsia="ru-RU"/>
    </w:rPr>
  </w:style>
  <w:style w:type="paragraph" w:styleId="af">
    <w:name w:val="endnote text"/>
    <w:basedOn w:val="a"/>
    <w:link w:val="af0"/>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f0">
    <w:name w:val="Текст концевой сноски Знак"/>
    <w:basedOn w:val="a0"/>
    <w:link w:val="af"/>
    <w:rsid w:val="004300E4"/>
    <w:rPr>
      <w:rFonts w:ascii="Times New Roman" w:eastAsia="Times New Roman" w:hAnsi="Times New Roman" w:cs="Times New Roman"/>
      <w:sz w:val="20"/>
      <w:szCs w:val="20"/>
      <w:lang w:eastAsia="ru-RU"/>
    </w:rPr>
  </w:style>
  <w:style w:type="paragraph" w:styleId="af1">
    <w:name w:val="Body Text"/>
    <w:basedOn w:val="a"/>
    <w:link w:val="af2"/>
    <w:unhideWhenUsed/>
    <w:rsid w:val="004300E4"/>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2">
    <w:name w:val="Основной текст Знак"/>
    <w:basedOn w:val="a0"/>
    <w:link w:val="af1"/>
    <w:semiHidden/>
    <w:rsid w:val="004300E4"/>
    <w:rPr>
      <w:rFonts w:ascii="Times New Roman" w:eastAsia="Times New Roman" w:hAnsi="Times New Roman" w:cs="Times New Roman"/>
      <w:sz w:val="28"/>
      <w:szCs w:val="20"/>
      <w:lang w:eastAsia="ru-RU"/>
    </w:rPr>
  </w:style>
  <w:style w:type="paragraph" w:styleId="af3">
    <w:name w:val="Body Text Indent"/>
    <w:basedOn w:val="a"/>
    <w:link w:val="af4"/>
    <w:unhideWhenUsed/>
    <w:rsid w:val="004300E4"/>
    <w:pPr>
      <w:overflowPunct w:val="0"/>
      <w:autoSpaceDE w:val="0"/>
      <w:autoSpaceDN w:val="0"/>
      <w:adjustRightInd w:val="0"/>
      <w:spacing w:after="0" w:line="240" w:lineRule="auto"/>
      <w:ind w:firstLine="600"/>
      <w:jc w:val="both"/>
    </w:pPr>
    <w:rPr>
      <w:rFonts w:eastAsia="Times New Roman"/>
      <w:szCs w:val="20"/>
      <w:lang w:eastAsia="ru-RU"/>
    </w:rPr>
  </w:style>
  <w:style w:type="character" w:customStyle="1" w:styleId="af4">
    <w:name w:val="Основной текст с отступом Знак"/>
    <w:basedOn w:val="a0"/>
    <w:link w:val="af3"/>
    <w:semiHidden/>
    <w:rsid w:val="004300E4"/>
    <w:rPr>
      <w:rFonts w:ascii="Times New Roman" w:eastAsia="Times New Roman" w:hAnsi="Times New Roman" w:cs="Times New Roman"/>
      <w:sz w:val="28"/>
      <w:szCs w:val="20"/>
      <w:lang w:eastAsia="ru-RU"/>
    </w:rPr>
  </w:style>
  <w:style w:type="paragraph" w:styleId="af5">
    <w:name w:val="No Spacing"/>
    <w:uiPriority w:val="1"/>
    <w:qFormat/>
    <w:rsid w:val="004300E4"/>
    <w:pPr>
      <w:spacing w:after="0" w:line="240" w:lineRule="auto"/>
    </w:pPr>
    <w:rPr>
      <w:rFonts w:ascii="Calibri" w:eastAsia="Times New Roman" w:hAnsi="Calibri" w:cs="Times New Roman"/>
    </w:rPr>
  </w:style>
  <w:style w:type="paragraph" w:customStyle="1" w:styleId="-">
    <w:name w:val="Список -"/>
    <w:basedOn w:val="a"/>
    <w:rsid w:val="004300E4"/>
    <w:pPr>
      <w:numPr>
        <w:numId w:val="3"/>
      </w:numPr>
      <w:overflowPunct w:val="0"/>
      <w:autoSpaceDE w:val="0"/>
      <w:autoSpaceDN w:val="0"/>
      <w:adjustRightInd w:val="0"/>
      <w:spacing w:after="0" w:line="240" w:lineRule="auto"/>
    </w:pPr>
    <w:rPr>
      <w:rFonts w:eastAsia="Times New Roman"/>
      <w:szCs w:val="20"/>
      <w:lang w:eastAsia="ru-RU"/>
    </w:rPr>
  </w:style>
  <w:style w:type="character" w:styleId="af6">
    <w:name w:val="footnote reference"/>
    <w:uiPriority w:val="99"/>
    <w:unhideWhenUsed/>
    <w:rsid w:val="004300E4"/>
    <w:rPr>
      <w:vertAlign w:val="superscript"/>
    </w:rPr>
  </w:style>
  <w:style w:type="character" w:styleId="af7">
    <w:name w:val="endnote reference"/>
    <w:unhideWhenUsed/>
    <w:rsid w:val="004300E4"/>
    <w:rPr>
      <w:vertAlign w:val="superscript"/>
    </w:rPr>
  </w:style>
  <w:style w:type="table" w:styleId="af8">
    <w:name w:val="Table Grid"/>
    <w:basedOn w:val="a1"/>
    <w:uiPriority w:val="59"/>
    <w:rsid w:val="004300E4"/>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rsid w:val="00A7472F"/>
  </w:style>
  <w:style w:type="character" w:customStyle="1" w:styleId="aa">
    <w:name w:val="Абзац списка Знак"/>
    <w:link w:val="a9"/>
    <w:uiPriority w:val="34"/>
    <w:locked/>
    <w:rsid w:val="00A7472F"/>
    <w:rPr>
      <w:rFonts w:ascii="Times New Roman" w:eastAsia="Calibri" w:hAnsi="Times New Roman" w:cs="Times New Roman"/>
      <w:sz w:val="28"/>
    </w:rPr>
  </w:style>
  <w:style w:type="paragraph" w:styleId="afa">
    <w:name w:val="Normal (Web)"/>
    <w:basedOn w:val="a"/>
    <w:uiPriority w:val="99"/>
    <w:unhideWhenUsed/>
    <w:rsid w:val="00A7472F"/>
    <w:pPr>
      <w:spacing w:before="100" w:beforeAutospacing="1" w:after="100" w:afterAutospacing="1" w:line="240" w:lineRule="auto"/>
    </w:pPr>
    <w:rPr>
      <w:rFonts w:eastAsia="Times New Roman"/>
      <w:sz w:val="24"/>
      <w:szCs w:val="24"/>
      <w:lang w:eastAsia="ru-RU"/>
    </w:rPr>
  </w:style>
  <w:style w:type="character" w:styleId="afb">
    <w:name w:val="annotation reference"/>
    <w:rsid w:val="00A7472F"/>
    <w:rPr>
      <w:sz w:val="16"/>
      <w:szCs w:val="16"/>
    </w:rPr>
  </w:style>
  <w:style w:type="paragraph" w:styleId="afc">
    <w:name w:val="annotation text"/>
    <w:basedOn w:val="a"/>
    <w:link w:val="afd"/>
    <w:rsid w:val="00A7472F"/>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afd">
    <w:name w:val="Текст примечания Знак"/>
    <w:basedOn w:val="a0"/>
    <w:link w:val="afc"/>
    <w:rsid w:val="00A7472F"/>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8260A"/>
  </w:style>
  <w:style w:type="paragraph" w:styleId="afe">
    <w:name w:val="annotation subject"/>
    <w:basedOn w:val="afc"/>
    <w:next w:val="afc"/>
    <w:link w:val="aff"/>
    <w:uiPriority w:val="99"/>
    <w:semiHidden/>
    <w:unhideWhenUsed/>
    <w:rsid w:val="00336819"/>
    <w:pPr>
      <w:overflowPunct/>
      <w:autoSpaceDE/>
      <w:autoSpaceDN/>
      <w:adjustRightInd/>
      <w:spacing w:after="160"/>
      <w:textAlignment w:val="auto"/>
    </w:pPr>
    <w:rPr>
      <w:rFonts w:eastAsia="Calibri"/>
      <w:b/>
      <w:bCs/>
      <w:lang w:eastAsia="en-US"/>
    </w:rPr>
  </w:style>
  <w:style w:type="character" w:customStyle="1" w:styleId="aff">
    <w:name w:val="Тема примечания Знак"/>
    <w:basedOn w:val="afd"/>
    <w:link w:val="afe"/>
    <w:uiPriority w:val="99"/>
    <w:semiHidden/>
    <w:rsid w:val="00336819"/>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1">
    <w:name w:val="heading 1"/>
    <w:basedOn w:val="a"/>
    <w:next w:val="a"/>
    <w:link w:val="10"/>
    <w:qFormat/>
    <w:rsid w:val="004300E4"/>
    <w:pPr>
      <w:keepNext/>
      <w:spacing w:before="360" w:after="120" w:line="240" w:lineRule="auto"/>
      <w:ind w:firstLine="709"/>
      <w:jc w:val="both"/>
      <w:outlineLvl w:val="0"/>
    </w:pPr>
    <w:rPr>
      <w:rFonts w:eastAsia="Times New Roman"/>
      <w:b/>
      <w:bCs/>
      <w:caps/>
      <w:sz w:val="24"/>
      <w:szCs w:val="20"/>
      <w:lang w:eastAsia="ru-RU"/>
    </w:rPr>
  </w:style>
  <w:style w:type="paragraph" w:styleId="2">
    <w:name w:val="heading 2"/>
    <w:basedOn w:val="a"/>
    <w:next w:val="a"/>
    <w:link w:val="20"/>
    <w:unhideWhenUsed/>
    <w:qFormat/>
    <w:rsid w:val="004300E4"/>
    <w:pPr>
      <w:keepNext/>
      <w:spacing w:after="0" w:line="240" w:lineRule="auto"/>
      <w:jc w:val="center"/>
      <w:outlineLvl w:val="1"/>
    </w:pPr>
    <w:rPr>
      <w:rFonts w:eastAsia="Times New Roman"/>
      <w:b/>
      <w:bCs/>
      <w:i/>
      <w:iCs/>
      <w:sz w:val="24"/>
      <w:szCs w:val="20"/>
      <w:lang w:eastAsia="ru-RU"/>
    </w:rPr>
  </w:style>
  <w:style w:type="paragraph" w:styleId="3">
    <w:name w:val="heading 3"/>
    <w:basedOn w:val="a"/>
    <w:next w:val="a"/>
    <w:link w:val="30"/>
    <w:unhideWhenUsed/>
    <w:qFormat/>
    <w:rsid w:val="004300E4"/>
    <w:pPr>
      <w:keepNext/>
      <w:overflowPunct w:val="0"/>
      <w:autoSpaceDE w:val="0"/>
      <w:autoSpaceDN w:val="0"/>
      <w:adjustRightInd w:val="0"/>
      <w:spacing w:before="360" w:after="240" w:line="240" w:lineRule="auto"/>
      <w:ind w:firstLine="709"/>
      <w:outlineLvl w:val="2"/>
    </w:pPr>
    <w:rPr>
      <w:rFonts w:eastAsia="Times New Roman"/>
      <w:b/>
      <w:szCs w:val="20"/>
      <w:lang w:eastAsia="ru-RU"/>
    </w:rPr>
  </w:style>
  <w:style w:type="paragraph" w:styleId="4">
    <w:name w:val="heading 4"/>
    <w:basedOn w:val="a"/>
    <w:next w:val="a"/>
    <w:link w:val="40"/>
    <w:unhideWhenUsed/>
    <w:qFormat/>
    <w:rsid w:val="004300E4"/>
    <w:pPr>
      <w:keepNext/>
      <w:spacing w:after="0" w:line="240" w:lineRule="auto"/>
      <w:jc w:val="both"/>
      <w:outlineLvl w:val="3"/>
    </w:pPr>
    <w:rPr>
      <w:rFonts w:eastAsia="Times New Roman"/>
      <w:b/>
      <w:sz w:val="24"/>
      <w:szCs w:val="20"/>
      <w:lang w:eastAsia="ru-RU"/>
    </w:rPr>
  </w:style>
  <w:style w:type="paragraph" w:styleId="5">
    <w:name w:val="heading 5"/>
    <w:basedOn w:val="a"/>
    <w:next w:val="a"/>
    <w:link w:val="50"/>
    <w:unhideWhenUsed/>
    <w:qFormat/>
    <w:rsid w:val="004300E4"/>
    <w:pPr>
      <w:keepNext/>
      <w:overflowPunct w:val="0"/>
      <w:autoSpaceDE w:val="0"/>
      <w:autoSpaceDN w:val="0"/>
      <w:adjustRightInd w:val="0"/>
      <w:spacing w:after="0" w:line="240" w:lineRule="auto"/>
      <w:outlineLvl w:val="4"/>
    </w:pPr>
    <w:rPr>
      <w:rFonts w:eastAsia="Arial Unicode MS"/>
      <w:b/>
      <w:bCs/>
      <w:sz w:val="22"/>
      <w:szCs w:val="20"/>
      <w:lang w:eastAsia="ru-RU"/>
    </w:rPr>
  </w:style>
  <w:style w:type="paragraph" w:styleId="6">
    <w:name w:val="heading 6"/>
    <w:basedOn w:val="a"/>
    <w:next w:val="a"/>
    <w:link w:val="60"/>
    <w:unhideWhenUsed/>
    <w:qFormat/>
    <w:rsid w:val="004300E4"/>
    <w:pPr>
      <w:keepNext/>
      <w:overflowPunct w:val="0"/>
      <w:autoSpaceDE w:val="0"/>
      <w:autoSpaceDN w:val="0"/>
      <w:adjustRightInd w:val="0"/>
      <w:spacing w:after="0" w:line="240" w:lineRule="auto"/>
      <w:jc w:val="both"/>
      <w:outlineLvl w:val="5"/>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507275"/>
    <w:pPr>
      <w:ind w:left="720"/>
      <w:contextualSpacing/>
    </w:pPr>
  </w:style>
  <w:style w:type="character" w:customStyle="1" w:styleId="10">
    <w:name w:val="Заголовок 1 Знак"/>
    <w:basedOn w:val="a0"/>
    <w:link w:val="1"/>
    <w:rsid w:val="004300E4"/>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semiHidden/>
    <w:rsid w:val="004300E4"/>
    <w:rPr>
      <w:rFonts w:ascii="Times New Roman" w:eastAsia="Times New Roman" w:hAnsi="Times New Roman" w:cs="Times New Roman"/>
      <w:b/>
      <w:bCs/>
      <w:i/>
      <w:iCs/>
      <w:sz w:val="24"/>
      <w:szCs w:val="20"/>
      <w:lang w:eastAsia="ru-RU"/>
    </w:rPr>
  </w:style>
  <w:style w:type="character" w:customStyle="1" w:styleId="30">
    <w:name w:val="Заголовок 3 Знак"/>
    <w:basedOn w:val="a0"/>
    <w:link w:val="3"/>
    <w:semiHidden/>
    <w:rsid w:val="004300E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300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0E4"/>
    <w:rPr>
      <w:rFonts w:ascii="Times New Roman" w:eastAsia="Arial Unicode MS" w:hAnsi="Times New Roman" w:cs="Times New Roman"/>
      <w:b/>
      <w:bCs/>
      <w:szCs w:val="20"/>
      <w:lang w:eastAsia="ru-RU"/>
    </w:rPr>
  </w:style>
  <w:style w:type="character" w:customStyle="1" w:styleId="60">
    <w:name w:val="Заголовок 6 Знак"/>
    <w:basedOn w:val="a0"/>
    <w:link w:val="6"/>
    <w:semiHidden/>
    <w:rsid w:val="004300E4"/>
    <w:rPr>
      <w:rFonts w:ascii="Times New Roman" w:eastAsia="Times New Roman" w:hAnsi="Times New Roman" w:cs="Times New Roman"/>
      <w:b/>
      <w:bCs/>
      <w:szCs w:val="20"/>
      <w:lang w:eastAsia="ru-RU"/>
    </w:rPr>
  </w:style>
  <w:style w:type="character" w:styleId="ab">
    <w:name w:val="Hyperlink"/>
    <w:uiPriority w:val="99"/>
    <w:unhideWhenUsed/>
    <w:rsid w:val="004300E4"/>
    <w:rPr>
      <w:color w:val="0066CC"/>
      <w:u w:val="single"/>
    </w:rPr>
  </w:style>
  <w:style w:type="character" w:styleId="ac">
    <w:name w:val="FollowedHyperlink"/>
    <w:basedOn w:val="a0"/>
    <w:uiPriority w:val="99"/>
    <w:semiHidden/>
    <w:unhideWhenUsed/>
    <w:rsid w:val="004300E4"/>
    <w:rPr>
      <w:color w:val="800080" w:themeColor="followedHyperlink"/>
      <w:u w:val="single"/>
    </w:rPr>
  </w:style>
  <w:style w:type="paragraph" w:styleId="ad">
    <w:name w:val="footnote text"/>
    <w:basedOn w:val="a"/>
    <w:link w:val="ae"/>
    <w:uiPriority w:val="99"/>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e">
    <w:name w:val="Текст сноски Знак"/>
    <w:basedOn w:val="a0"/>
    <w:link w:val="ad"/>
    <w:uiPriority w:val="99"/>
    <w:rsid w:val="004300E4"/>
    <w:rPr>
      <w:rFonts w:ascii="Times New Roman" w:eastAsia="Times New Roman" w:hAnsi="Times New Roman" w:cs="Times New Roman"/>
      <w:sz w:val="20"/>
      <w:szCs w:val="20"/>
      <w:lang w:eastAsia="ru-RU"/>
    </w:rPr>
  </w:style>
  <w:style w:type="paragraph" w:styleId="af">
    <w:name w:val="endnote text"/>
    <w:basedOn w:val="a"/>
    <w:link w:val="af0"/>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f0">
    <w:name w:val="Текст концевой сноски Знак"/>
    <w:basedOn w:val="a0"/>
    <w:link w:val="af"/>
    <w:rsid w:val="004300E4"/>
    <w:rPr>
      <w:rFonts w:ascii="Times New Roman" w:eastAsia="Times New Roman" w:hAnsi="Times New Roman" w:cs="Times New Roman"/>
      <w:sz w:val="20"/>
      <w:szCs w:val="20"/>
      <w:lang w:eastAsia="ru-RU"/>
    </w:rPr>
  </w:style>
  <w:style w:type="paragraph" w:styleId="af1">
    <w:name w:val="Body Text"/>
    <w:basedOn w:val="a"/>
    <w:link w:val="af2"/>
    <w:unhideWhenUsed/>
    <w:rsid w:val="004300E4"/>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2">
    <w:name w:val="Основной текст Знак"/>
    <w:basedOn w:val="a0"/>
    <w:link w:val="af1"/>
    <w:semiHidden/>
    <w:rsid w:val="004300E4"/>
    <w:rPr>
      <w:rFonts w:ascii="Times New Roman" w:eastAsia="Times New Roman" w:hAnsi="Times New Roman" w:cs="Times New Roman"/>
      <w:sz w:val="28"/>
      <w:szCs w:val="20"/>
      <w:lang w:eastAsia="ru-RU"/>
    </w:rPr>
  </w:style>
  <w:style w:type="paragraph" w:styleId="af3">
    <w:name w:val="Body Text Indent"/>
    <w:basedOn w:val="a"/>
    <w:link w:val="af4"/>
    <w:unhideWhenUsed/>
    <w:rsid w:val="004300E4"/>
    <w:pPr>
      <w:overflowPunct w:val="0"/>
      <w:autoSpaceDE w:val="0"/>
      <w:autoSpaceDN w:val="0"/>
      <w:adjustRightInd w:val="0"/>
      <w:spacing w:after="0" w:line="240" w:lineRule="auto"/>
      <w:ind w:firstLine="600"/>
      <w:jc w:val="both"/>
    </w:pPr>
    <w:rPr>
      <w:rFonts w:eastAsia="Times New Roman"/>
      <w:szCs w:val="20"/>
      <w:lang w:eastAsia="ru-RU"/>
    </w:rPr>
  </w:style>
  <w:style w:type="character" w:customStyle="1" w:styleId="af4">
    <w:name w:val="Основной текст с отступом Знак"/>
    <w:basedOn w:val="a0"/>
    <w:link w:val="af3"/>
    <w:semiHidden/>
    <w:rsid w:val="004300E4"/>
    <w:rPr>
      <w:rFonts w:ascii="Times New Roman" w:eastAsia="Times New Roman" w:hAnsi="Times New Roman" w:cs="Times New Roman"/>
      <w:sz w:val="28"/>
      <w:szCs w:val="20"/>
      <w:lang w:eastAsia="ru-RU"/>
    </w:rPr>
  </w:style>
  <w:style w:type="paragraph" w:styleId="af5">
    <w:name w:val="No Spacing"/>
    <w:uiPriority w:val="1"/>
    <w:qFormat/>
    <w:rsid w:val="004300E4"/>
    <w:pPr>
      <w:spacing w:after="0" w:line="240" w:lineRule="auto"/>
    </w:pPr>
    <w:rPr>
      <w:rFonts w:ascii="Calibri" w:eastAsia="Times New Roman" w:hAnsi="Calibri" w:cs="Times New Roman"/>
    </w:rPr>
  </w:style>
  <w:style w:type="paragraph" w:customStyle="1" w:styleId="-">
    <w:name w:val="Список -"/>
    <w:basedOn w:val="a"/>
    <w:rsid w:val="004300E4"/>
    <w:pPr>
      <w:numPr>
        <w:numId w:val="3"/>
      </w:numPr>
      <w:overflowPunct w:val="0"/>
      <w:autoSpaceDE w:val="0"/>
      <w:autoSpaceDN w:val="0"/>
      <w:adjustRightInd w:val="0"/>
      <w:spacing w:after="0" w:line="240" w:lineRule="auto"/>
    </w:pPr>
    <w:rPr>
      <w:rFonts w:eastAsia="Times New Roman"/>
      <w:szCs w:val="20"/>
      <w:lang w:eastAsia="ru-RU"/>
    </w:rPr>
  </w:style>
  <w:style w:type="character" w:styleId="af6">
    <w:name w:val="footnote reference"/>
    <w:uiPriority w:val="99"/>
    <w:unhideWhenUsed/>
    <w:rsid w:val="004300E4"/>
    <w:rPr>
      <w:vertAlign w:val="superscript"/>
    </w:rPr>
  </w:style>
  <w:style w:type="character" w:styleId="af7">
    <w:name w:val="endnote reference"/>
    <w:unhideWhenUsed/>
    <w:rsid w:val="004300E4"/>
    <w:rPr>
      <w:vertAlign w:val="superscript"/>
    </w:rPr>
  </w:style>
  <w:style w:type="table" w:styleId="af8">
    <w:name w:val="Table Grid"/>
    <w:basedOn w:val="a1"/>
    <w:uiPriority w:val="59"/>
    <w:rsid w:val="004300E4"/>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rsid w:val="00A7472F"/>
  </w:style>
  <w:style w:type="character" w:customStyle="1" w:styleId="aa">
    <w:name w:val="Абзац списка Знак"/>
    <w:link w:val="a9"/>
    <w:uiPriority w:val="34"/>
    <w:locked/>
    <w:rsid w:val="00A7472F"/>
    <w:rPr>
      <w:rFonts w:ascii="Times New Roman" w:eastAsia="Calibri" w:hAnsi="Times New Roman" w:cs="Times New Roman"/>
      <w:sz w:val="28"/>
    </w:rPr>
  </w:style>
  <w:style w:type="paragraph" w:styleId="afa">
    <w:name w:val="Normal (Web)"/>
    <w:basedOn w:val="a"/>
    <w:uiPriority w:val="99"/>
    <w:unhideWhenUsed/>
    <w:rsid w:val="00A7472F"/>
    <w:pPr>
      <w:spacing w:before="100" w:beforeAutospacing="1" w:after="100" w:afterAutospacing="1" w:line="240" w:lineRule="auto"/>
    </w:pPr>
    <w:rPr>
      <w:rFonts w:eastAsia="Times New Roman"/>
      <w:sz w:val="24"/>
      <w:szCs w:val="24"/>
      <w:lang w:eastAsia="ru-RU"/>
    </w:rPr>
  </w:style>
  <w:style w:type="character" w:styleId="afb">
    <w:name w:val="annotation reference"/>
    <w:rsid w:val="00A7472F"/>
    <w:rPr>
      <w:sz w:val="16"/>
      <w:szCs w:val="16"/>
    </w:rPr>
  </w:style>
  <w:style w:type="paragraph" w:styleId="afc">
    <w:name w:val="annotation text"/>
    <w:basedOn w:val="a"/>
    <w:link w:val="afd"/>
    <w:rsid w:val="00A7472F"/>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afd">
    <w:name w:val="Текст примечания Знак"/>
    <w:basedOn w:val="a0"/>
    <w:link w:val="afc"/>
    <w:rsid w:val="00A7472F"/>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8260A"/>
  </w:style>
  <w:style w:type="paragraph" w:styleId="afe">
    <w:name w:val="annotation subject"/>
    <w:basedOn w:val="afc"/>
    <w:next w:val="afc"/>
    <w:link w:val="aff"/>
    <w:uiPriority w:val="99"/>
    <w:semiHidden/>
    <w:unhideWhenUsed/>
    <w:rsid w:val="00336819"/>
    <w:pPr>
      <w:overflowPunct/>
      <w:autoSpaceDE/>
      <w:autoSpaceDN/>
      <w:adjustRightInd/>
      <w:spacing w:after="160"/>
      <w:textAlignment w:val="auto"/>
    </w:pPr>
    <w:rPr>
      <w:rFonts w:eastAsia="Calibri"/>
      <w:b/>
      <w:bCs/>
      <w:lang w:eastAsia="en-US"/>
    </w:rPr>
  </w:style>
  <w:style w:type="character" w:customStyle="1" w:styleId="aff">
    <w:name w:val="Тема примечания Знак"/>
    <w:basedOn w:val="afd"/>
    <w:link w:val="afe"/>
    <w:uiPriority w:val="99"/>
    <w:semiHidden/>
    <w:rsid w:val="00336819"/>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5602">
      <w:bodyDiv w:val="1"/>
      <w:marLeft w:val="0"/>
      <w:marRight w:val="0"/>
      <w:marTop w:val="0"/>
      <w:marBottom w:val="0"/>
      <w:divBdr>
        <w:top w:val="none" w:sz="0" w:space="0" w:color="auto"/>
        <w:left w:val="none" w:sz="0" w:space="0" w:color="auto"/>
        <w:bottom w:val="none" w:sz="0" w:space="0" w:color="auto"/>
        <w:right w:val="none" w:sz="0" w:space="0" w:color="auto"/>
      </w:divBdr>
    </w:div>
    <w:div w:id="1685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sp.nalog.ru/searc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tymurmansk.ru/img/all/175_reshenie_o_strateg_planir__utv.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ibiny.com/murmanskaya_oblas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7775D"/>
    <w:rsid w:val="00074303"/>
    <w:rsid w:val="000C59EE"/>
    <w:rsid w:val="001C6D26"/>
    <w:rsid w:val="00303FFE"/>
    <w:rsid w:val="00314765"/>
    <w:rsid w:val="003C4FD3"/>
    <w:rsid w:val="00595723"/>
    <w:rsid w:val="005B164C"/>
    <w:rsid w:val="005C61E8"/>
    <w:rsid w:val="0060603F"/>
    <w:rsid w:val="00606047"/>
    <w:rsid w:val="00613FF2"/>
    <w:rsid w:val="00727E60"/>
    <w:rsid w:val="00873073"/>
    <w:rsid w:val="008C7ECE"/>
    <w:rsid w:val="008D58B9"/>
    <w:rsid w:val="008E17B1"/>
    <w:rsid w:val="009E143C"/>
    <w:rsid w:val="00AC2154"/>
    <w:rsid w:val="00AD7AD5"/>
    <w:rsid w:val="00AE75FF"/>
    <w:rsid w:val="00B36CB6"/>
    <w:rsid w:val="00B7775D"/>
    <w:rsid w:val="00BC6EA2"/>
    <w:rsid w:val="00C72AB0"/>
    <w:rsid w:val="00CE63DB"/>
    <w:rsid w:val="00E91391"/>
    <w:rsid w:val="00F6047B"/>
    <w:rsid w:val="00FD2E98"/>
    <w:rsid w:val="00FD73FB"/>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5199-EF49-49FE-ADD6-1583059B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65</Pages>
  <Words>21688</Words>
  <Characters>123623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Дубинина Дарья Александровна</cp:lastModifiedBy>
  <cp:revision>9</cp:revision>
  <cp:lastPrinted>2021-08-30T12:19:00Z</cp:lastPrinted>
  <dcterms:created xsi:type="dcterms:W3CDTF">2021-08-30T10:36:00Z</dcterms:created>
  <dcterms:modified xsi:type="dcterms:W3CDTF">2021-08-30T12:27:00Z</dcterms:modified>
</cp:coreProperties>
</file>