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012800F5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76B97963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9275B">
            <w:rPr>
              <w:b/>
            </w:rPr>
            <w:t>«Управление имуществом и жилищная политика»</w:t>
          </w:r>
          <w:r>
            <w:rPr>
              <w:b/>
            </w:rPr>
            <w:t xml:space="preserve"> на 2018 – 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>
            <w:rPr>
              <w:b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7350CBB5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C23615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C23615">
          <w:t>законом</w:t>
        </w:r>
      </w:hyperlink>
      <w:r w:rsidRPr="00C23615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>
        <w:t>1</w:t>
      </w:r>
      <w:r w:rsidR="008A2710">
        <w:t>3</w:t>
      </w:r>
      <w:r w:rsidRPr="00C23615">
        <w:t>.12.201</w:t>
      </w:r>
      <w:r>
        <w:t>9</w:t>
      </w:r>
      <w:r w:rsidRPr="00C23615">
        <w:t xml:space="preserve"> № </w:t>
      </w:r>
      <w:r w:rsidR="008A2710">
        <w:t>6-82</w:t>
      </w:r>
      <w:r w:rsidRPr="00C23615">
        <w:t xml:space="preserve"> «О бюджете муниципального образования город Мурманск на 20</w:t>
      </w:r>
      <w:r>
        <w:t>20</w:t>
      </w:r>
      <w:r w:rsidRPr="00C23615">
        <w:t xml:space="preserve"> год и на плановый период 202</w:t>
      </w:r>
      <w:r>
        <w:t>1</w:t>
      </w:r>
      <w:r w:rsidRPr="00C23615">
        <w:t xml:space="preserve"> и 202</w:t>
      </w:r>
      <w:r>
        <w:t>2</w:t>
      </w:r>
      <w:r w:rsidRPr="00C23615">
        <w:t xml:space="preserve"> годов», постановлением администрации города Мурманска от 21.08.2013 № 2143</w:t>
      </w:r>
      <w:proofErr w:type="gramEnd"/>
      <w:r w:rsidRPr="00C23615"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23615">
        <w:rPr>
          <w:sz w:val="27"/>
          <w:szCs w:val="27"/>
        </w:rPr>
        <w:t xml:space="preserve">от 09.11.2017 № 79-р </w:t>
      </w:r>
      <w:r w:rsidR="00931826">
        <w:rPr>
          <w:sz w:val="27"/>
          <w:szCs w:val="27"/>
        </w:rPr>
        <w:br/>
      </w:r>
      <w:r w:rsidRPr="00C23615">
        <w:t>«Об утверждении перечня муниципальных программ города Мурманска на 2018</w:t>
      </w:r>
      <w:r w:rsidR="00A00B09">
        <w:t>-</w:t>
      </w:r>
      <w:r w:rsidRPr="00C23615">
        <w:t>2024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227B1D" w14:textId="1C678C92" w:rsidR="001E0F25" w:rsidRPr="00FD5ACA" w:rsidRDefault="001E0F25" w:rsidP="00AB59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>
        <w:rPr>
          <w:rFonts w:ascii="Times New Roman" w:hAnsi="Times New Roman" w:cs="Times New Roman"/>
        </w:rPr>
        <w:t>1</w:t>
      </w:r>
      <w:r w:rsidRPr="00503DCA">
        <w:rPr>
          <w:rFonts w:ascii="Times New Roman" w:hAnsi="Times New Roman" w:cs="Times New Roman"/>
        </w:rPr>
        <w:t xml:space="preserve">. </w:t>
      </w:r>
      <w:proofErr w:type="gramStart"/>
      <w:r w:rsidRPr="00FD5ACA">
        <w:rPr>
          <w:rFonts w:ascii="Times New Roman" w:hAnsi="Times New Roman" w:cs="Times New Roman"/>
          <w:color w:val="000000" w:themeColor="text1"/>
        </w:rPr>
        <w:t xml:space="preserve">Внести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</w:t>
      </w:r>
      <w:r w:rsidR="00B268F9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(в ред. постановлений от 20.03.2018 № 711, от 31.05.2018 № 1599,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01.10.2018 № 3355, от 06.12.2018 № 4211, от 20.12.2018 № 4444,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04.04.2019 № 1238, от 08.07.2019 № 2293, от 28.08.2019 № 2897,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</w:t>
      </w:r>
      <w:r w:rsidR="00395745" w:rsidRPr="00FD5ACA">
        <w:rPr>
          <w:rFonts w:ascii="Times New Roman" w:hAnsi="Times New Roman" w:cs="Times New Roman"/>
          <w:color w:val="000000" w:themeColor="text1"/>
        </w:rPr>
        <w:t>16.12.2019</w:t>
      </w:r>
      <w:r w:rsidRPr="00FD5ACA">
        <w:rPr>
          <w:rFonts w:ascii="Times New Roman" w:hAnsi="Times New Roman" w:cs="Times New Roman"/>
          <w:color w:val="000000" w:themeColor="text1"/>
        </w:rPr>
        <w:t xml:space="preserve"> № </w:t>
      </w:r>
      <w:r w:rsidR="00395745" w:rsidRPr="00FD5ACA">
        <w:rPr>
          <w:rFonts w:ascii="Times New Roman" w:hAnsi="Times New Roman" w:cs="Times New Roman"/>
          <w:color w:val="000000" w:themeColor="text1"/>
        </w:rPr>
        <w:t>4222</w:t>
      </w:r>
      <w:r w:rsidR="009501CB" w:rsidRPr="00FD5ACA">
        <w:rPr>
          <w:rFonts w:ascii="Times New Roman" w:hAnsi="Times New Roman" w:cs="Times New Roman"/>
          <w:color w:val="000000" w:themeColor="text1"/>
        </w:rPr>
        <w:t>,</w:t>
      </w:r>
      <w:r w:rsidR="00413957">
        <w:rPr>
          <w:rFonts w:ascii="Times New Roman" w:hAnsi="Times New Roman" w:cs="Times New Roman"/>
          <w:color w:val="000000" w:themeColor="text1"/>
        </w:rPr>
        <w:t xml:space="preserve"> от</w:t>
      </w:r>
      <w:r w:rsidR="009501CB" w:rsidRPr="00FD5ACA">
        <w:rPr>
          <w:rFonts w:ascii="Times New Roman" w:hAnsi="Times New Roman" w:cs="Times New Roman"/>
          <w:color w:val="000000" w:themeColor="text1"/>
        </w:rPr>
        <w:t xml:space="preserve"> 18.12.2019 № 4249</w:t>
      </w:r>
      <w:r w:rsidR="00AE182E">
        <w:rPr>
          <w:rFonts w:ascii="Times New Roman" w:hAnsi="Times New Roman" w:cs="Times New Roman"/>
          <w:color w:val="000000" w:themeColor="text1"/>
        </w:rPr>
        <w:t>, от 08.06.2020 № 1348</w:t>
      </w:r>
      <w:r w:rsidR="002009E1">
        <w:rPr>
          <w:rFonts w:ascii="Times New Roman" w:hAnsi="Times New Roman" w:cs="Times New Roman"/>
          <w:color w:val="000000" w:themeColor="text1"/>
        </w:rPr>
        <w:t>, от</w:t>
      </w:r>
      <w:proofErr w:type="gramEnd"/>
      <w:r w:rsidR="002009E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009E1">
        <w:rPr>
          <w:rFonts w:ascii="Times New Roman" w:hAnsi="Times New Roman" w:cs="Times New Roman"/>
          <w:color w:val="000000" w:themeColor="text1"/>
        </w:rPr>
        <w:t>30.07.2020 № 1825</w:t>
      </w:r>
      <w:r w:rsidRPr="00FD5ACA">
        <w:rPr>
          <w:rFonts w:ascii="Times New Roman" w:hAnsi="Times New Roman" w:cs="Times New Roman"/>
          <w:color w:val="000000" w:themeColor="text1"/>
        </w:rPr>
        <w:t>)</w:t>
      </w:r>
      <w:r w:rsidR="00413957">
        <w:rPr>
          <w:rFonts w:ascii="Times New Roman" w:hAnsi="Times New Roman" w:cs="Times New Roman"/>
          <w:color w:val="000000" w:themeColor="text1"/>
        </w:rPr>
        <w:t>,</w:t>
      </w:r>
      <w:r w:rsidR="00C8075D" w:rsidRPr="00FD5ACA">
        <w:rPr>
          <w:rFonts w:ascii="Times New Roman" w:hAnsi="Times New Roman" w:cs="Times New Roman"/>
          <w:color w:val="000000" w:themeColor="text1"/>
        </w:rPr>
        <w:t xml:space="preserve"> следующие изменения:</w:t>
      </w:r>
      <w:proofErr w:type="gramEnd"/>
    </w:p>
    <w:p w14:paraId="3F1BE61C" w14:textId="77777777" w:rsidR="00AB5986" w:rsidRDefault="00AB5986" w:rsidP="00AB5986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 </w:t>
      </w:r>
      <w:proofErr w:type="gramStart"/>
      <w:r>
        <w:rPr>
          <w:color w:val="000000" w:themeColor="text1"/>
        </w:rPr>
        <w:t>паспорте</w:t>
      </w:r>
      <w:proofErr w:type="gramEnd"/>
      <w:r>
        <w:rPr>
          <w:color w:val="000000" w:themeColor="text1"/>
        </w:rPr>
        <w:t xml:space="preserve"> муниципальной программы:</w:t>
      </w:r>
    </w:p>
    <w:p w14:paraId="2C5795BE" w14:textId="77777777" w:rsidR="00AB5986" w:rsidRDefault="00AB5986" w:rsidP="00AB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1.1.1. Строку «Финансовое обеспечение программы» изложить в следующей редакции:</w:t>
      </w:r>
    </w:p>
    <w:p w14:paraId="37185E22" w14:textId="77777777" w:rsidR="00AB5986" w:rsidRDefault="00AB5986" w:rsidP="00AB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800"/>
      </w:tblGrid>
      <w:tr w:rsidR="00AB5986" w14:paraId="7979B77D" w14:textId="77777777" w:rsidTr="00AB5986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C76" w14:textId="77777777" w:rsidR="00AB5986" w:rsidRDefault="00AB5986" w:rsidP="00AB59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3A15" w14:textId="122EABAE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муниципальной программе: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E33D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876 801,5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14:paraId="5DBE356F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6514BC30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6784679C" w14:textId="768A8911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2020 год – 1 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89 927,3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 </w:t>
            </w:r>
          </w:p>
          <w:p w14:paraId="5D87B445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978 787,5 тыс. руб.; </w:t>
            </w:r>
          </w:p>
          <w:p w14:paraId="3A1BAAC9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1 692 319,3 тыс. руб.; </w:t>
            </w:r>
          </w:p>
          <w:p w14:paraId="5273B430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1 714 408,1 тыс. руб.; </w:t>
            </w:r>
          </w:p>
          <w:p w14:paraId="3BD4871B" w14:textId="6ACB95F8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5 </w:t>
            </w:r>
            <w:r w:rsidR="00C433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E33D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45 607,5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 </w:t>
            </w:r>
          </w:p>
          <w:p w14:paraId="634FDF56" w14:textId="396A7BA5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МБ: 4 56</w:t>
            </w:r>
            <w:r w:rsidR="005C4A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4A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537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,3 тыс. руб., из них:</w:t>
            </w:r>
          </w:p>
          <w:p w14:paraId="0A37DFDB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1C938078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61B44000" w14:textId="197A93A0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="005C4A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649 573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,5 тыс. руб.; </w:t>
            </w:r>
          </w:p>
          <w:p w14:paraId="5B0839FB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563 003,8 тыс. руб.; </w:t>
            </w:r>
          </w:p>
          <w:p w14:paraId="65A5474B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646 499,4 тыс. руб.; </w:t>
            </w:r>
          </w:p>
          <w:p w14:paraId="10AD04C8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773 676,5 тыс. руб.; </w:t>
            </w:r>
          </w:p>
          <w:p w14:paraId="589D1BC9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14:paraId="1E3FD187" w14:textId="463F8DF8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ОБ: 1</w:t>
            </w:r>
            <w:r w:rsidR="005C4A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203 638,7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1155E3EA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27154081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75586D0D" w14:textId="2387E114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="005C4A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193 140,4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 </w:t>
            </w:r>
          </w:p>
          <w:p w14:paraId="5C5C83E8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124 294,3 тыс. руб.; </w:t>
            </w:r>
          </w:p>
          <w:p w14:paraId="643D429B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208 874,0 тыс. руб.; </w:t>
            </w:r>
          </w:p>
          <w:p w14:paraId="1D3120A8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172 402,9 тыс. руб.; </w:t>
            </w:r>
          </w:p>
          <w:p w14:paraId="00BE998A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14:paraId="2B14E1B5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ФБ: 3 102 627,4 тыс. руб., из них:</w:t>
            </w:r>
          </w:p>
          <w:p w14:paraId="5B23946D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7F01FD5C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0A61C044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214 843,7 тыс. руб.; </w:t>
            </w:r>
          </w:p>
          <w:p w14:paraId="63199E55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14:paraId="68DC1478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14:paraId="5E0A2785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14:paraId="469AF0AF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41103B79" w14:textId="2368C4F4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ВБ: </w:t>
            </w:r>
            <w:r w:rsidR="000E33D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4 002 998,1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26C658E4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224CE4B1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7AEE272D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232 369,7 тыс. руб.; </w:t>
            </w:r>
          </w:p>
          <w:p w14:paraId="1D61D120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234 747,9 тыс. руб.; </w:t>
            </w:r>
          </w:p>
          <w:p w14:paraId="4CA08221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252 165,9 тыс. руб.; </w:t>
            </w:r>
          </w:p>
          <w:p w14:paraId="44AD0D18" w14:textId="77777777" w:rsidR="00AB5986" w:rsidRPr="00AB3217" w:rsidRDefault="00AB5986" w:rsidP="00AB59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254 624,5 тыс. руб.; </w:t>
            </w:r>
          </w:p>
          <w:p w14:paraId="638ED477" w14:textId="3A96DBB7" w:rsidR="00AB5986" w:rsidRDefault="00AB5986" w:rsidP="000E33DC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AB3217">
              <w:rPr>
                <w:color w:val="000000" w:themeColor="text1"/>
                <w:sz w:val="24"/>
                <w:szCs w:val="24"/>
              </w:rPr>
              <w:t>2024 год – 2</w:t>
            </w:r>
            <w:r w:rsidR="000E33DC">
              <w:rPr>
                <w:color w:val="000000" w:themeColor="text1"/>
                <w:sz w:val="24"/>
                <w:szCs w:val="24"/>
              </w:rPr>
              <w:t> 567 910,2</w:t>
            </w:r>
            <w:r w:rsidRPr="00AB3217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14:paraId="4D812395" w14:textId="77777777" w:rsidR="00AB5986" w:rsidRDefault="00AB5986" w:rsidP="00AB59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kern w:val="32"/>
          <w:szCs w:val="28"/>
        </w:rPr>
      </w:pPr>
      <w:r>
        <w:rPr>
          <w:color w:val="000000" w:themeColor="text1"/>
        </w:rPr>
        <w:t>».</w:t>
      </w:r>
    </w:p>
    <w:p w14:paraId="25E7C635" w14:textId="2F121C5D" w:rsidR="001E0F25" w:rsidRPr="001D2CFA" w:rsidRDefault="00AB5986" w:rsidP="001D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1.1.2. В строке «Ожидаемые конечные р</w:t>
      </w:r>
      <w:r w:rsidR="004B6379">
        <w:rPr>
          <w:color w:val="000000" w:themeColor="text1"/>
        </w:rPr>
        <w:t>езультаты реализации программы» цифры «4 190» заменить цифрами «4 161»</w:t>
      </w:r>
      <w:r>
        <w:rPr>
          <w:color w:val="000000" w:themeColor="text1"/>
        </w:rPr>
        <w:t>.</w:t>
      </w:r>
    </w:p>
    <w:p w14:paraId="47AB9B7F" w14:textId="0950047C" w:rsidR="001E0F25" w:rsidRDefault="001D2CFA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1E0F25" w:rsidRPr="00FD5ACA">
        <w:rPr>
          <w:color w:val="000000" w:themeColor="text1"/>
        </w:rPr>
        <w:t xml:space="preserve">. В </w:t>
      </w:r>
      <w:proofErr w:type="gramStart"/>
      <w:r w:rsidR="001E0F25" w:rsidRPr="00FD5ACA">
        <w:rPr>
          <w:color w:val="000000" w:themeColor="text1"/>
        </w:rPr>
        <w:t>разделе</w:t>
      </w:r>
      <w:proofErr w:type="gramEnd"/>
      <w:r w:rsidR="001E0F25" w:rsidRPr="00FD5ACA">
        <w:rPr>
          <w:color w:val="000000" w:themeColor="text1"/>
        </w:rPr>
        <w:t xml:space="preserve"> </w:t>
      </w:r>
      <w:r w:rsidR="001E0F25" w:rsidRPr="00FD5ACA">
        <w:rPr>
          <w:color w:val="000000" w:themeColor="text1"/>
          <w:lang w:val="en-US"/>
        </w:rPr>
        <w:t>II</w:t>
      </w:r>
      <w:r w:rsidR="001E0F25" w:rsidRPr="00FD5ACA">
        <w:rPr>
          <w:color w:val="000000" w:themeColor="text1"/>
        </w:rPr>
        <w:t xml:space="preserve"> «Подпрограмм</w:t>
      </w:r>
      <w:r w:rsidR="00A3440E" w:rsidRPr="00FD5ACA">
        <w:rPr>
          <w:color w:val="000000" w:themeColor="text1"/>
        </w:rPr>
        <w:t>а</w:t>
      </w:r>
      <w:r w:rsidR="001E0F25" w:rsidRPr="00FD5ACA">
        <w:rPr>
          <w:color w:val="000000" w:themeColor="text1"/>
        </w:rPr>
        <w:t xml:space="preserve">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</w:r>
      <w:r w:rsidR="008C6590">
        <w:rPr>
          <w:color w:val="000000" w:themeColor="text1"/>
        </w:rPr>
        <w:t xml:space="preserve">                         на </w:t>
      </w:r>
      <w:r w:rsidR="001E0F25" w:rsidRPr="00FD5ACA">
        <w:rPr>
          <w:color w:val="000000" w:themeColor="text1"/>
        </w:rPr>
        <w:t>2018</w:t>
      </w:r>
      <w:r w:rsidR="00A00B09">
        <w:rPr>
          <w:color w:val="000000" w:themeColor="text1"/>
        </w:rPr>
        <w:t>-</w:t>
      </w:r>
      <w:r w:rsidR="001E0F25" w:rsidRPr="00FD5ACA">
        <w:rPr>
          <w:color w:val="000000" w:themeColor="text1"/>
        </w:rPr>
        <w:t>2024 годы»:</w:t>
      </w:r>
    </w:p>
    <w:p w14:paraId="39812C8B" w14:textId="4066E4AB" w:rsidR="001D2CFA" w:rsidRDefault="00B60CCD" w:rsidP="001D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1.2.1. </w:t>
      </w:r>
      <w:r w:rsidR="001D2CFA">
        <w:rPr>
          <w:color w:val="000000" w:themeColor="text1"/>
        </w:rPr>
        <w:t>Строку «Финансовое обеспечение подпрограммы» изложить в следующей редакции:</w:t>
      </w:r>
    </w:p>
    <w:p w14:paraId="2B96B281" w14:textId="77777777" w:rsidR="001D2CFA" w:rsidRDefault="001D2CFA" w:rsidP="001D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800"/>
      </w:tblGrid>
      <w:tr w:rsidR="001D2CFA" w14:paraId="292F57BF" w14:textId="77777777" w:rsidTr="001F54D5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C8D1" w14:textId="77777777" w:rsidR="001D2CFA" w:rsidRDefault="001D2CFA" w:rsidP="001F54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DE7C" w14:textId="3ECA4A75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программе: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E33D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644 862,2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14:paraId="4C9ECF19" w14:textId="63782F66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>МБ: 1 283</w:t>
            </w:r>
            <w:r>
              <w:rPr>
                <w:bCs/>
                <w:sz w:val="24"/>
                <w:szCs w:val="24"/>
              </w:rPr>
              <w:t> 604,4</w:t>
            </w:r>
            <w:r w:rsidRPr="00635D84">
              <w:rPr>
                <w:bCs/>
                <w:sz w:val="24"/>
                <w:szCs w:val="24"/>
              </w:rPr>
              <w:t xml:space="preserve"> тыс. руб., из них:</w:t>
            </w:r>
          </w:p>
          <w:p w14:paraId="037BBE37" w14:textId="77777777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2018 год – 189 252,3 тыс. руб.; </w:t>
            </w:r>
          </w:p>
          <w:p w14:paraId="3D3CE613" w14:textId="77777777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2019 год – 135 104,8 тыс. руб.; </w:t>
            </w:r>
          </w:p>
          <w:p w14:paraId="6453332D" w14:textId="13EA2F33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>2020 год – 128</w:t>
            </w:r>
            <w:r w:rsidR="00B60CCD">
              <w:rPr>
                <w:bCs/>
                <w:sz w:val="24"/>
                <w:szCs w:val="24"/>
              </w:rPr>
              <w:t> 947,3</w:t>
            </w:r>
            <w:r w:rsidRPr="00635D84">
              <w:rPr>
                <w:bCs/>
                <w:sz w:val="24"/>
                <w:szCs w:val="24"/>
              </w:rPr>
              <w:t xml:space="preserve"> тыс. руб.; </w:t>
            </w:r>
          </w:p>
          <w:p w14:paraId="66DF421A" w14:textId="77777777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2021 год – 230 000,0 тыс. руб.; </w:t>
            </w:r>
          </w:p>
          <w:p w14:paraId="1DF7C9D9" w14:textId="77777777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2022 год – 230 000,0 тыс. руб.; </w:t>
            </w:r>
          </w:p>
          <w:p w14:paraId="46073A9C" w14:textId="77777777" w:rsidR="001D2CFA" w:rsidRPr="00635D84" w:rsidRDefault="001D2CFA" w:rsidP="001D2CF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2023 год – 281 150,0 тыс. руб.; </w:t>
            </w:r>
          </w:p>
          <w:p w14:paraId="0CA40037" w14:textId="77577636" w:rsidR="001D2CFA" w:rsidRPr="00B60CCD" w:rsidRDefault="001D2CFA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2024 год – 89 150,0 тыс. руб. </w:t>
            </w:r>
          </w:p>
          <w:p w14:paraId="0AA8FAAD" w14:textId="14C09D4A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ОБ: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50 472,1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0FA57746" w14:textId="20CD54D5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 </w:t>
            </w:r>
          </w:p>
          <w:p w14:paraId="59DD634A" w14:textId="2050E35E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 </w:t>
            </w:r>
          </w:p>
          <w:p w14:paraId="1D36E3D4" w14:textId="04230977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50 472,1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тыс. руб.; </w:t>
            </w:r>
          </w:p>
          <w:p w14:paraId="5DCEFC9A" w14:textId="4F3DA574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 </w:t>
            </w:r>
          </w:p>
          <w:p w14:paraId="68BD8FD0" w14:textId="49AE2DC2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,0 тыс. руб.; </w:t>
            </w:r>
          </w:p>
          <w:p w14:paraId="4B42FFAB" w14:textId="354AB220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 </w:t>
            </w:r>
          </w:p>
          <w:p w14:paraId="64572C8B" w14:textId="59F5BB53" w:rsidR="001D2CFA" w:rsidRPr="00AB3217" w:rsidRDefault="001D2CFA" w:rsidP="001F54D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B60C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 </w:t>
            </w:r>
          </w:p>
          <w:p w14:paraId="1E4F2DB2" w14:textId="2DE017D5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ВБ: </w:t>
            </w:r>
            <w:r w:rsidR="000E33DC" w:rsidRPr="00635D84">
              <w:rPr>
                <w:bCs/>
                <w:sz w:val="24"/>
                <w:szCs w:val="24"/>
              </w:rPr>
              <w:t>2</w:t>
            </w:r>
            <w:r w:rsidR="000E33DC">
              <w:rPr>
                <w:bCs/>
                <w:sz w:val="24"/>
                <w:szCs w:val="24"/>
              </w:rPr>
              <w:t> 310 785,7</w:t>
            </w:r>
            <w:r w:rsidRPr="00635D84">
              <w:rPr>
                <w:bCs/>
                <w:sz w:val="24"/>
                <w:szCs w:val="24"/>
              </w:rPr>
              <w:t xml:space="preserve"> тыс. руб., из них:</w:t>
            </w:r>
          </w:p>
          <w:p w14:paraId="5E98C594" w14:textId="77777777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2018 год – 0,0 тыс. руб.; </w:t>
            </w:r>
          </w:p>
          <w:p w14:paraId="25E09649" w14:textId="77777777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2019 год – 0,0 тыс. руб.; </w:t>
            </w:r>
          </w:p>
          <w:p w14:paraId="33F227FE" w14:textId="77777777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2020 год – 0,0 тыс. руб.; </w:t>
            </w:r>
          </w:p>
          <w:p w14:paraId="6BF4FAF6" w14:textId="77777777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2021 год – 0,0 тыс. руб.; </w:t>
            </w:r>
          </w:p>
          <w:p w14:paraId="304C9858" w14:textId="77777777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2022 год – 0,0 тыс. руб.; </w:t>
            </w:r>
          </w:p>
          <w:p w14:paraId="057D2DE1" w14:textId="77777777" w:rsidR="00B60CCD" w:rsidRPr="00635D84" w:rsidRDefault="00B60CCD" w:rsidP="00B60CC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 xml:space="preserve">2023 год – 0,0 тыс. руб.; </w:t>
            </w:r>
          </w:p>
          <w:p w14:paraId="5918D850" w14:textId="728FE338" w:rsidR="001D2CFA" w:rsidRDefault="00B60CCD" w:rsidP="000E33DC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635D84">
              <w:rPr>
                <w:bCs/>
                <w:sz w:val="24"/>
                <w:szCs w:val="24"/>
              </w:rPr>
              <w:t>2024 год – 2</w:t>
            </w:r>
            <w:r w:rsidR="000E33DC">
              <w:rPr>
                <w:bCs/>
                <w:sz w:val="24"/>
                <w:szCs w:val="24"/>
              </w:rPr>
              <w:t> 310 785,7</w:t>
            </w:r>
            <w:r w:rsidRPr="00635D84">
              <w:rPr>
                <w:bCs/>
                <w:sz w:val="24"/>
                <w:szCs w:val="24"/>
              </w:rPr>
              <w:t xml:space="preserve"> тыс. руб.</w:t>
            </w:r>
          </w:p>
        </w:tc>
      </w:tr>
    </w:tbl>
    <w:p w14:paraId="1845F655" w14:textId="77777777" w:rsidR="001D2CFA" w:rsidRDefault="001D2CFA" w:rsidP="001D2C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kern w:val="32"/>
          <w:szCs w:val="28"/>
        </w:rPr>
      </w:pPr>
      <w:r>
        <w:rPr>
          <w:color w:val="000000" w:themeColor="text1"/>
        </w:rPr>
        <w:t>».</w:t>
      </w:r>
    </w:p>
    <w:p w14:paraId="0EA3B5C6" w14:textId="543E3B0F" w:rsidR="001D2CFA" w:rsidRPr="00FD5ACA" w:rsidRDefault="00B60CCD" w:rsidP="00447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1D2CFA">
        <w:rPr>
          <w:color w:val="000000" w:themeColor="text1"/>
        </w:rPr>
        <w:t>.2. В строке «Ожидаемые конечные результаты реализации программы» цифры «4 190» заменить цифрами «4 161».</w:t>
      </w:r>
    </w:p>
    <w:p w14:paraId="17FD1B2A" w14:textId="053B6FD7" w:rsidR="001E0F25" w:rsidRDefault="001E0F25" w:rsidP="001E0F25">
      <w:pPr>
        <w:spacing w:after="0" w:line="240" w:lineRule="auto"/>
        <w:ind w:firstLine="708"/>
        <w:jc w:val="both"/>
        <w:rPr>
          <w:color w:val="000000" w:themeColor="text1"/>
        </w:rPr>
      </w:pPr>
      <w:r w:rsidRPr="00FD5ACA">
        <w:rPr>
          <w:color w:val="000000" w:themeColor="text1"/>
        </w:rPr>
        <w:t>1.</w:t>
      </w:r>
      <w:r w:rsidR="004475B6">
        <w:rPr>
          <w:color w:val="000000" w:themeColor="text1"/>
        </w:rPr>
        <w:t>2</w:t>
      </w:r>
      <w:r w:rsidRPr="00FD5ACA">
        <w:rPr>
          <w:color w:val="000000" w:themeColor="text1"/>
        </w:rPr>
        <w:t>.</w:t>
      </w:r>
      <w:r w:rsidR="004475B6">
        <w:rPr>
          <w:color w:val="000000" w:themeColor="text1"/>
        </w:rPr>
        <w:t>3</w:t>
      </w:r>
      <w:r w:rsidRPr="00FD5ACA">
        <w:rPr>
          <w:color w:val="000000" w:themeColor="text1"/>
        </w:rPr>
        <w:t>. Таблицу пункта 2 «</w:t>
      </w:r>
      <w:r w:rsidRPr="00FD5ACA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FD5ACA">
        <w:rPr>
          <w:color w:val="000000" w:themeColor="text1"/>
        </w:rPr>
        <w:t>» изложить в следующей редакции:</w:t>
      </w:r>
    </w:p>
    <w:p w14:paraId="417759DD" w14:textId="560EC441" w:rsidR="002155E9" w:rsidRPr="00FD5ACA" w:rsidRDefault="002155E9" w:rsidP="001E0F25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FD5ACA" w:rsidRPr="00FD5ACA" w14:paraId="6311C84E" w14:textId="77777777" w:rsidTr="001D5932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8E8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D5AC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D5AC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E4A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6D7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 xml:space="preserve">Ед. </w:t>
            </w:r>
            <w:r w:rsidRPr="00FD5ACA">
              <w:rPr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44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Значение показателя (индикатора)</w:t>
            </w:r>
          </w:p>
        </w:tc>
      </w:tr>
      <w:tr w:rsidR="00FD5ACA" w:rsidRPr="00FD5ACA" w14:paraId="59107038" w14:textId="77777777" w:rsidTr="001D5932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4A3A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082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21C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F91" w14:textId="14865D12" w:rsidR="001E0F25" w:rsidRPr="00FD5ACA" w:rsidRDefault="00E31BAA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1E0F25" w:rsidRPr="00FD5ACA">
              <w:rPr>
                <w:color w:val="000000" w:themeColor="text1"/>
                <w:sz w:val="24"/>
                <w:szCs w:val="24"/>
              </w:rPr>
              <w:t>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DE2" w14:textId="6DBD696E" w:rsidR="001E0F25" w:rsidRPr="00FD5ACA" w:rsidRDefault="00E31BAA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1E0F25" w:rsidRPr="00FD5ACA">
              <w:rPr>
                <w:color w:val="000000" w:themeColor="text1"/>
                <w:sz w:val="24"/>
                <w:szCs w:val="24"/>
              </w:rPr>
              <w:t>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59A2" w14:textId="2B487E20" w:rsidR="001E0F25" w:rsidRPr="00FD5ACA" w:rsidRDefault="00E31BAA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1E0F25" w:rsidRPr="00FD5ACA">
              <w:rPr>
                <w:color w:val="000000" w:themeColor="text1"/>
                <w:sz w:val="24"/>
                <w:szCs w:val="24"/>
              </w:rPr>
              <w:t>оды реализации подпрограммы</w:t>
            </w:r>
          </w:p>
        </w:tc>
      </w:tr>
      <w:tr w:rsidR="00FD5ACA" w:rsidRPr="00FD5ACA" w14:paraId="517F96C3" w14:textId="77777777" w:rsidTr="001D5932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0269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FD4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F141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144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1B3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B41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48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980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56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31FC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8C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0CF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FD5ACA" w:rsidRPr="00FD5ACA" w14:paraId="4EB3FCD1" w14:textId="77777777" w:rsidTr="001D5932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E3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926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F519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A84E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B93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E5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3F6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26E0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852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290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55E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EDB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FD5ACA" w:rsidRPr="00FD5ACA" w14:paraId="3C61646E" w14:textId="77777777" w:rsidTr="001D5932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E9E" w14:textId="77777777" w:rsidR="001E0F25" w:rsidRPr="00FD5ACA" w:rsidRDefault="001E0F25" w:rsidP="001D59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1E0F25" w:rsidRPr="00FD5ACA" w14:paraId="69D84950" w14:textId="77777777" w:rsidTr="001D5932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26A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046" w14:textId="3D9260E1" w:rsidR="000E33DC" w:rsidRPr="000E33DC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</w:t>
            </w:r>
            <w:r w:rsidRPr="00FD5ACA">
              <w:rPr>
                <w:color w:val="000000" w:themeColor="text1"/>
                <w:sz w:val="24"/>
                <w:szCs w:val="24"/>
              </w:rPr>
              <w:lastRenderedPageBreak/>
              <w:t>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C956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BCC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363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123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39</w:t>
            </w:r>
            <w:r w:rsidRPr="00FD5ACA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FD5ACA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665" w14:textId="77777777" w:rsidR="001E0F25" w:rsidRPr="00FD5ACA" w:rsidRDefault="001E0F25" w:rsidP="001D5932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F49" w14:textId="110F8B56" w:rsidR="001E0F25" w:rsidRPr="00FD5ACA" w:rsidRDefault="001E0F25" w:rsidP="000E33DC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</w:t>
            </w:r>
            <w:r w:rsidR="000E33D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141" w14:textId="5656C550" w:rsidR="001E0F25" w:rsidRPr="00FD5ACA" w:rsidRDefault="000E33DC" w:rsidP="009E772D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7D5F" w14:textId="1F59918C" w:rsidR="001E0F25" w:rsidRPr="00FD5ACA" w:rsidRDefault="009E772D" w:rsidP="003C53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892" w14:textId="643BD062" w:rsidR="001E0F25" w:rsidRPr="00FD5ACA" w:rsidRDefault="009E772D" w:rsidP="003C53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8B0" w14:textId="1A6482E6" w:rsidR="001E0F25" w:rsidRPr="00FD5ACA" w:rsidRDefault="009E772D" w:rsidP="00A71F7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2442</w:t>
            </w:r>
          </w:p>
        </w:tc>
      </w:tr>
      <w:tr w:rsidR="000E33DC" w:rsidRPr="00FD5ACA" w14:paraId="463979FC" w14:textId="77777777" w:rsidTr="000E33DC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B29A" w14:textId="5927A74A" w:rsidR="000E33DC" w:rsidRPr="00FD5ACA" w:rsidRDefault="000E33DC" w:rsidP="001F54D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BB9A" w14:textId="119DD046" w:rsidR="000E33DC" w:rsidRPr="000E33DC" w:rsidRDefault="000E33DC" w:rsidP="000E33D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Количество переселенных граждан, проживающих в многоквартирных домах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E33DC">
              <w:rPr>
                <w:color w:val="000000" w:themeColor="text1"/>
                <w:sz w:val="24"/>
                <w:szCs w:val="24"/>
              </w:rPr>
              <w:t>признанных аварийными и подлежащими сносу или реконструкции в разные годы, расположенных в границах одного элемента планировочной структуры (квартала, микрорайона и т.п.) или смежных элементов планировочной структуры, переселение граждан из которых осуществляется без учёта первоочередного порядка переселения</w:t>
            </w:r>
            <w:r w:rsidRPr="00FD5AC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CDF3" w14:textId="77777777" w:rsidR="000E33DC" w:rsidRPr="00FD5ACA" w:rsidRDefault="000E33DC" w:rsidP="001F54D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64C" w14:textId="6C062C83" w:rsidR="000E33DC" w:rsidRPr="00FD5ACA" w:rsidRDefault="000E33DC" w:rsidP="001F54D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6557" w14:textId="7C5AFEE0" w:rsidR="000E33DC" w:rsidRPr="00FD5ACA" w:rsidRDefault="000E33DC" w:rsidP="001F54D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B75" w14:textId="3793BA0D" w:rsidR="000E33DC" w:rsidRPr="00FD5ACA" w:rsidRDefault="000E33DC" w:rsidP="001F54D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A9A" w14:textId="192E021A" w:rsidR="000E33DC" w:rsidRPr="00FD5ACA" w:rsidRDefault="000E33DC" w:rsidP="000E33D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A181" w14:textId="236F01BE" w:rsidR="000E33DC" w:rsidRPr="00FD5ACA" w:rsidRDefault="000E33DC" w:rsidP="001F54D5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997E" w14:textId="1C678F51" w:rsidR="000E33DC" w:rsidRPr="00FD5ACA" w:rsidRDefault="000E33DC" w:rsidP="001F54D5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97C" w14:textId="1AA9BD3E" w:rsidR="000E33DC" w:rsidRPr="00FD5ACA" w:rsidRDefault="000E33DC" w:rsidP="000E33D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DC5" w14:textId="789DBBE5" w:rsidR="000E33DC" w:rsidRPr="00FD5ACA" w:rsidRDefault="000E33DC" w:rsidP="000E33D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4D9" w14:textId="29735FE5" w:rsidR="000E33DC" w:rsidRPr="00FD5ACA" w:rsidRDefault="000E33DC" w:rsidP="000E33D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F011646" w14:textId="5B94353D" w:rsidR="000E33DC" w:rsidRDefault="002155E9" w:rsidP="000E33DC">
      <w:pPr>
        <w:spacing w:after="0" w:line="240" w:lineRule="auto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».</w:t>
      </w:r>
    </w:p>
    <w:p w14:paraId="07C03D98" w14:textId="77777777" w:rsidR="000E33DC" w:rsidRDefault="000E33DC" w:rsidP="000E33DC">
      <w:pPr>
        <w:spacing w:after="0" w:line="240" w:lineRule="auto"/>
        <w:ind w:right="-1"/>
        <w:jc w:val="both"/>
        <w:rPr>
          <w:bCs/>
          <w:szCs w:val="28"/>
        </w:rPr>
      </w:pPr>
    </w:p>
    <w:p w14:paraId="3C21EFFA" w14:textId="39417DE7" w:rsidR="004475B6" w:rsidRDefault="004475B6" w:rsidP="0087017C">
      <w:pPr>
        <w:spacing w:after="0" w:line="240" w:lineRule="auto"/>
        <w:ind w:firstLine="709"/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1.2.4. </w:t>
      </w:r>
      <w:r w:rsidR="006B2553">
        <w:rPr>
          <w:bCs/>
          <w:szCs w:val="28"/>
        </w:rPr>
        <w:t>П</w:t>
      </w:r>
      <w:r w:rsidR="0091454D">
        <w:rPr>
          <w:bCs/>
          <w:szCs w:val="28"/>
        </w:rPr>
        <w:t>ункт</w:t>
      </w:r>
      <w:r>
        <w:rPr>
          <w:bCs/>
          <w:szCs w:val="28"/>
        </w:rPr>
        <w:t xml:space="preserve"> 4 «Обоснование ресурсного обеспечения подпрограммы»</w:t>
      </w:r>
      <w:r w:rsidR="006B2553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14:paraId="6617731F" w14:textId="0AE565A8" w:rsidR="006B2553" w:rsidRPr="006B2553" w:rsidRDefault="006B2553" w:rsidP="006B2553">
      <w:pPr>
        <w:spacing w:after="0" w:line="240" w:lineRule="auto"/>
        <w:jc w:val="center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«4. Обоснование ресурсного обеспечения подпрограммы</w:t>
      </w:r>
    </w:p>
    <w:p w14:paraId="2CA86439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</w:p>
    <w:p w14:paraId="5319B121" w14:textId="4729B439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 xml:space="preserve">Финансирование подпрограммы планируется осуществлять за счет средств </w:t>
      </w:r>
      <w:r w:rsidRPr="006B2553">
        <w:rPr>
          <w:bCs/>
          <w:szCs w:val="28"/>
        </w:rPr>
        <w:t>областного, местного бюджетов</w:t>
      </w:r>
      <w:r w:rsidRPr="006B2553">
        <w:rPr>
          <w:bCs/>
          <w:color w:val="000000"/>
          <w:szCs w:val="28"/>
        </w:rPr>
        <w:t xml:space="preserve"> и внебюджетных средств.</w:t>
      </w:r>
    </w:p>
    <w:p w14:paraId="4F83E45D" w14:textId="40ED8A08" w:rsidR="006B2553" w:rsidRDefault="006B2553" w:rsidP="006B25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2553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6B255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3</w:t>
      </w:r>
      <w:r w:rsidR="00C23703">
        <w:rPr>
          <w:bCs/>
          <w:sz w:val="28"/>
          <w:szCs w:val="28"/>
        </w:rPr>
        <w:t> 644 862,2</w:t>
      </w:r>
      <w:r w:rsidRPr="006B2553">
        <w:rPr>
          <w:color w:val="auto"/>
          <w:sz w:val="28"/>
          <w:szCs w:val="28"/>
        </w:rPr>
        <w:t xml:space="preserve"> тыс. </w:t>
      </w:r>
      <w:r w:rsidRPr="006B2553">
        <w:rPr>
          <w:sz w:val="28"/>
          <w:szCs w:val="28"/>
        </w:rPr>
        <w:t xml:space="preserve">руб., в том числе планируемый объем финансовой </w:t>
      </w:r>
      <w:r w:rsidRPr="006B2553">
        <w:rPr>
          <w:color w:val="auto"/>
          <w:sz w:val="28"/>
          <w:szCs w:val="28"/>
        </w:rPr>
        <w:t>поддержки муниципального образования город Мурманск за счет:</w:t>
      </w:r>
    </w:p>
    <w:p w14:paraId="484D9603" w14:textId="77777777" w:rsidR="006B2553" w:rsidRDefault="006B2553" w:rsidP="006B2553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83"/>
        <w:gridCol w:w="956"/>
        <w:gridCol w:w="959"/>
        <w:gridCol w:w="959"/>
        <w:gridCol w:w="960"/>
        <w:gridCol w:w="960"/>
        <w:gridCol w:w="960"/>
        <w:gridCol w:w="1084"/>
      </w:tblGrid>
      <w:tr w:rsidR="006B2553" w:rsidRPr="00656A6F" w14:paraId="3B8B7ED4" w14:textId="77777777" w:rsidTr="001F54D5">
        <w:trPr>
          <w:cantSplit/>
          <w:tblHeader/>
        </w:trPr>
        <w:tc>
          <w:tcPr>
            <w:tcW w:w="914" w:type="pct"/>
            <w:vMerge w:val="restart"/>
            <w:vAlign w:val="center"/>
            <w:hideMark/>
          </w:tcPr>
          <w:p w14:paraId="706C0C5A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vAlign w:val="center"/>
            <w:hideMark/>
          </w:tcPr>
          <w:p w14:paraId="7C22D286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3527" w:type="pct"/>
            <w:gridSpan w:val="7"/>
            <w:vAlign w:val="center"/>
            <w:hideMark/>
          </w:tcPr>
          <w:p w14:paraId="5EF36C38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6B2553" w:rsidRPr="00656A6F" w14:paraId="1C3A406C" w14:textId="77777777" w:rsidTr="001F54D5">
        <w:trPr>
          <w:cantSplit/>
          <w:tblHeader/>
        </w:trPr>
        <w:tc>
          <w:tcPr>
            <w:tcW w:w="914" w:type="pct"/>
            <w:vMerge/>
            <w:vAlign w:val="center"/>
            <w:hideMark/>
          </w:tcPr>
          <w:p w14:paraId="718D66BA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14:paraId="58AAD3FF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  <w:hideMark/>
          </w:tcPr>
          <w:p w14:paraId="2C93C32B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5" w:type="pct"/>
            <w:vAlign w:val="center"/>
            <w:hideMark/>
          </w:tcPr>
          <w:p w14:paraId="3BB300D1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5" w:type="pct"/>
            <w:vAlign w:val="center"/>
            <w:hideMark/>
          </w:tcPr>
          <w:p w14:paraId="5D33349B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95" w:type="pct"/>
            <w:vAlign w:val="center"/>
            <w:hideMark/>
          </w:tcPr>
          <w:p w14:paraId="1076009E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95" w:type="pct"/>
            <w:vAlign w:val="center"/>
            <w:hideMark/>
          </w:tcPr>
          <w:p w14:paraId="1A026CDE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95" w:type="pct"/>
            <w:vAlign w:val="center"/>
            <w:hideMark/>
          </w:tcPr>
          <w:p w14:paraId="6A172E5A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9" w:type="pct"/>
            <w:vAlign w:val="center"/>
            <w:hideMark/>
          </w:tcPr>
          <w:p w14:paraId="165A2B42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6B2553" w:rsidRPr="00656A6F" w14:paraId="6AA369A6" w14:textId="77777777" w:rsidTr="001F54D5">
        <w:trPr>
          <w:cantSplit/>
          <w:tblHeader/>
        </w:trPr>
        <w:tc>
          <w:tcPr>
            <w:tcW w:w="914" w:type="pct"/>
            <w:vAlign w:val="center"/>
            <w:hideMark/>
          </w:tcPr>
          <w:p w14:paraId="01C6209E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center"/>
            <w:hideMark/>
          </w:tcPr>
          <w:p w14:paraId="28DDF569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  <w:vAlign w:val="center"/>
            <w:hideMark/>
          </w:tcPr>
          <w:p w14:paraId="661C96D6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  <w:hideMark/>
          </w:tcPr>
          <w:p w14:paraId="71D36A7A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vAlign w:val="center"/>
            <w:hideMark/>
          </w:tcPr>
          <w:p w14:paraId="56A8C93F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14:paraId="243D6A8D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  <w:hideMark/>
          </w:tcPr>
          <w:p w14:paraId="632D75F1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  <w:hideMark/>
          </w:tcPr>
          <w:p w14:paraId="62128CC5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9" w:type="pct"/>
            <w:vAlign w:val="center"/>
            <w:hideMark/>
          </w:tcPr>
          <w:p w14:paraId="7CAF42D2" w14:textId="77777777" w:rsidR="006B2553" w:rsidRPr="00656A6F" w:rsidRDefault="006B2553" w:rsidP="001F54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B2553" w:rsidRPr="00656A6F" w14:paraId="5E5BA044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1A18ECC9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559" w:type="pct"/>
            <w:vAlign w:val="center"/>
            <w:hideMark/>
          </w:tcPr>
          <w:p w14:paraId="49408893" w14:textId="56AB2D52" w:rsidR="006B2553" w:rsidRPr="00656A6F" w:rsidRDefault="00C2370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3644862,2</w:t>
            </w:r>
          </w:p>
        </w:tc>
        <w:tc>
          <w:tcPr>
            <w:tcW w:w="493" w:type="pct"/>
            <w:vAlign w:val="center"/>
            <w:hideMark/>
          </w:tcPr>
          <w:p w14:paraId="4BC45A06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495" w:type="pct"/>
            <w:vAlign w:val="center"/>
            <w:hideMark/>
          </w:tcPr>
          <w:p w14:paraId="46BE843A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495" w:type="pct"/>
            <w:vAlign w:val="center"/>
            <w:hideMark/>
          </w:tcPr>
          <w:p w14:paraId="15E37C11" w14:textId="5DE7AA4A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179419,4</w:t>
            </w:r>
          </w:p>
        </w:tc>
        <w:tc>
          <w:tcPr>
            <w:tcW w:w="495" w:type="pct"/>
            <w:vAlign w:val="center"/>
            <w:hideMark/>
          </w:tcPr>
          <w:p w14:paraId="531B473B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58887EF8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077BD673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59" w:type="pct"/>
            <w:vAlign w:val="center"/>
            <w:hideMark/>
          </w:tcPr>
          <w:p w14:paraId="34DEB1E6" w14:textId="319E958E" w:rsidR="006B2553" w:rsidRPr="00656A6F" w:rsidRDefault="00C2370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2399935,7</w:t>
            </w:r>
          </w:p>
        </w:tc>
      </w:tr>
      <w:tr w:rsidR="006B2553" w:rsidRPr="00656A6F" w14:paraId="7AEFD270" w14:textId="77777777" w:rsidTr="001F54D5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7C203720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 том числе за счет:</w:t>
            </w:r>
          </w:p>
        </w:tc>
      </w:tr>
      <w:tr w:rsidR="006B2553" w:rsidRPr="00656A6F" w14:paraId="510ADD8A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5D6910A4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14:paraId="22B04A75" w14:textId="14582F78" w:rsidR="006B2553" w:rsidRPr="00656A6F" w:rsidRDefault="00C23703" w:rsidP="006B058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1334076,5</w:t>
            </w:r>
          </w:p>
        </w:tc>
        <w:tc>
          <w:tcPr>
            <w:tcW w:w="493" w:type="pct"/>
            <w:vAlign w:val="center"/>
            <w:hideMark/>
          </w:tcPr>
          <w:p w14:paraId="60252D0A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495" w:type="pct"/>
            <w:vAlign w:val="center"/>
            <w:hideMark/>
          </w:tcPr>
          <w:p w14:paraId="0D3DBDDD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495" w:type="pct"/>
            <w:vAlign w:val="center"/>
            <w:hideMark/>
          </w:tcPr>
          <w:p w14:paraId="14A989F9" w14:textId="07A0210F" w:rsidR="006B2553" w:rsidRPr="00656A6F" w:rsidRDefault="00264B70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128947,3</w:t>
            </w:r>
          </w:p>
        </w:tc>
        <w:tc>
          <w:tcPr>
            <w:tcW w:w="495" w:type="pct"/>
            <w:vAlign w:val="center"/>
            <w:hideMark/>
          </w:tcPr>
          <w:p w14:paraId="471EE242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06DADECA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15A19293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59" w:type="pct"/>
            <w:vAlign w:val="center"/>
            <w:hideMark/>
          </w:tcPr>
          <w:p w14:paraId="7280C4CD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89150,0</w:t>
            </w:r>
          </w:p>
        </w:tc>
      </w:tr>
      <w:tr w:rsidR="006B058E" w:rsidRPr="00656A6F" w14:paraId="32C66D99" w14:textId="77777777" w:rsidTr="001F54D5">
        <w:trPr>
          <w:cantSplit/>
        </w:trPr>
        <w:tc>
          <w:tcPr>
            <w:tcW w:w="914" w:type="pct"/>
            <w:vAlign w:val="center"/>
          </w:tcPr>
          <w:p w14:paraId="3BAB804D" w14:textId="7FED11CF" w:rsidR="006B058E" w:rsidRPr="00656A6F" w:rsidRDefault="00DA2DFE" w:rsidP="001F54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B058E">
              <w:rPr>
                <w:color w:val="000000"/>
                <w:sz w:val="24"/>
                <w:szCs w:val="24"/>
              </w:rPr>
              <w:t>редства областного бюджета</w:t>
            </w:r>
          </w:p>
        </w:tc>
        <w:tc>
          <w:tcPr>
            <w:tcW w:w="559" w:type="pct"/>
            <w:vAlign w:val="center"/>
          </w:tcPr>
          <w:p w14:paraId="3D65D773" w14:textId="67DD8EF6" w:rsidR="006B058E" w:rsidRDefault="006B058E" w:rsidP="006B058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3" w:type="pct"/>
            <w:vAlign w:val="center"/>
          </w:tcPr>
          <w:p w14:paraId="07072994" w14:textId="39C25021" w:rsidR="006B058E" w:rsidRPr="00656A6F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38D2BB3A" w14:textId="6E88D6E1" w:rsidR="006B058E" w:rsidRPr="00656A6F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07657D36" w14:textId="12A86E3A" w:rsidR="006B058E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5" w:type="pct"/>
            <w:vAlign w:val="center"/>
          </w:tcPr>
          <w:p w14:paraId="5B812BA0" w14:textId="62995D8B" w:rsidR="006B058E" w:rsidRPr="00656A6F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05737D02" w14:textId="30A6795C" w:rsidR="006B058E" w:rsidRPr="00656A6F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3A8F6E13" w14:textId="7D8A8C6B" w:rsidR="006B058E" w:rsidRPr="00656A6F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</w:tcPr>
          <w:p w14:paraId="2B7E9928" w14:textId="139735C2" w:rsidR="006B058E" w:rsidRPr="00656A6F" w:rsidRDefault="006B058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2553" w:rsidRPr="00656A6F" w14:paraId="2351292B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28E1D4B8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14:paraId="7AAA6BA9" w14:textId="2BBC9492" w:rsidR="006B2553" w:rsidRPr="00656A6F" w:rsidRDefault="00C2370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2310785,7</w:t>
            </w:r>
          </w:p>
        </w:tc>
        <w:tc>
          <w:tcPr>
            <w:tcW w:w="493" w:type="pct"/>
            <w:vAlign w:val="center"/>
            <w:hideMark/>
          </w:tcPr>
          <w:p w14:paraId="76F123E8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1BFB82AE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1AD10962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6061A29B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1CA80261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7470168E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  <w:hideMark/>
          </w:tcPr>
          <w:p w14:paraId="0B1E4531" w14:textId="2FFDFF8B" w:rsidR="006B2553" w:rsidRPr="00656A6F" w:rsidRDefault="00C2370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2310785,7</w:t>
            </w:r>
          </w:p>
        </w:tc>
      </w:tr>
      <w:tr w:rsidR="006B2553" w:rsidRPr="00656A6F" w14:paraId="05AC50D1" w14:textId="77777777" w:rsidTr="001F54D5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7BA50B38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 том числе по заказчикам:</w:t>
            </w:r>
          </w:p>
        </w:tc>
      </w:tr>
      <w:tr w:rsidR="006B2553" w:rsidRPr="00656A6F" w14:paraId="60608900" w14:textId="77777777" w:rsidTr="001F54D5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3EA523F0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6B2553" w:rsidRPr="00656A6F" w14:paraId="43320B68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7274A488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14:paraId="7FD8E5F2" w14:textId="7BE065EC" w:rsidR="006B2553" w:rsidRPr="00656A6F" w:rsidRDefault="00264B70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1209736,0</w:t>
            </w:r>
          </w:p>
        </w:tc>
        <w:tc>
          <w:tcPr>
            <w:tcW w:w="493" w:type="pct"/>
            <w:vAlign w:val="center"/>
            <w:hideMark/>
          </w:tcPr>
          <w:p w14:paraId="3EFA6E60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185847,2</w:t>
            </w:r>
          </w:p>
        </w:tc>
        <w:tc>
          <w:tcPr>
            <w:tcW w:w="495" w:type="pct"/>
            <w:vAlign w:val="center"/>
            <w:hideMark/>
          </w:tcPr>
          <w:p w14:paraId="28691D49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132038,0</w:t>
            </w:r>
          </w:p>
        </w:tc>
        <w:tc>
          <w:tcPr>
            <w:tcW w:w="495" w:type="pct"/>
            <w:vAlign w:val="center"/>
            <w:hideMark/>
          </w:tcPr>
          <w:p w14:paraId="63954D23" w14:textId="5432493F" w:rsidR="006B2553" w:rsidRPr="00656A6F" w:rsidRDefault="00264B70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128947,3</w:t>
            </w:r>
          </w:p>
        </w:tc>
        <w:tc>
          <w:tcPr>
            <w:tcW w:w="495" w:type="pct"/>
            <w:vAlign w:val="center"/>
            <w:hideMark/>
          </w:tcPr>
          <w:p w14:paraId="71BD2CD3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495" w:type="pct"/>
            <w:vAlign w:val="center"/>
            <w:hideMark/>
          </w:tcPr>
          <w:p w14:paraId="016D9730" w14:textId="25E09412" w:rsidR="006B2553" w:rsidRPr="00656A6F" w:rsidRDefault="00C2370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2202</w:t>
            </w:r>
            <w:r w:rsidR="006B2553" w:rsidRPr="00656A6F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95" w:type="pct"/>
            <w:vAlign w:val="center"/>
            <w:hideMark/>
          </w:tcPr>
          <w:p w14:paraId="644DBB91" w14:textId="752A9264" w:rsidR="006B2553" w:rsidRPr="00656A6F" w:rsidRDefault="00264B70" w:rsidP="00C237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260650,0</w:t>
            </w:r>
          </w:p>
        </w:tc>
        <w:tc>
          <w:tcPr>
            <w:tcW w:w="559" w:type="pct"/>
            <w:vAlign w:val="center"/>
            <w:hideMark/>
          </w:tcPr>
          <w:p w14:paraId="15218D2F" w14:textId="76DBD649" w:rsidR="006B2553" w:rsidRPr="00656A6F" w:rsidRDefault="00264B70" w:rsidP="00C2370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68650,0</w:t>
            </w:r>
          </w:p>
        </w:tc>
      </w:tr>
      <w:tr w:rsidR="00DA2DFE" w:rsidRPr="00656A6F" w14:paraId="4573241D" w14:textId="77777777" w:rsidTr="001F54D5">
        <w:trPr>
          <w:cantSplit/>
        </w:trPr>
        <w:tc>
          <w:tcPr>
            <w:tcW w:w="914" w:type="pct"/>
            <w:vAlign w:val="center"/>
          </w:tcPr>
          <w:p w14:paraId="7E4295EA" w14:textId="5ECDED20" w:rsidR="00DA2DFE" w:rsidRPr="00656A6F" w:rsidRDefault="00DA2DFE" w:rsidP="001F54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vAlign w:val="center"/>
          </w:tcPr>
          <w:p w14:paraId="5B7E26D2" w14:textId="0BF8FA3A" w:rsidR="00DA2DFE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3" w:type="pct"/>
            <w:vAlign w:val="center"/>
          </w:tcPr>
          <w:p w14:paraId="11A42706" w14:textId="5D7F7700" w:rsidR="00DA2DFE" w:rsidRPr="00656A6F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6179D7C3" w14:textId="7E053248" w:rsidR="00DA2DFE" w:rsidRPr="00656A6F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1A5731BA" w14:textId="69A441DC" w:rsidR="00DA2DFE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5" w:type="pct"/>
            <w:vAlign w:val="center"/>
          </w:tcPr>
          <w:p w14:paraId="1E1B76E7" w14:textId="3F64FF9C" w:rsidR="00DA2DFE" w:rsidRPr="00656A6F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1EAD3697" w14:textId="20AEDD97" w:rsidR="00DA2DFE" w:rsidRPr="00656A6F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7613FAF2" w14:textId="6F779C21" w:rsidR="00DA2DFE" w:rsidRPr="00656A6F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</w:tcPr>
          <w:p w14:paraId="778F09AD" w14:textId="5AAD999E" w:rsidR="00DA2DFE" w:rsidRPr="00656A6F" w:rsidRDefault="00DA2DFE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2553" w:rsidRPr="00656A6F" w14:paraId="34FBCD4C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71EC6B9F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14:paraId="15E9A09C" w14:textId="4AEE3720" w:rsidR="006B2553" w:rsidRPr="00656A6F" w:rsidRDefault="00264B70" w:rsidP="00DA2DF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2161469,0</w:t>
            </w:r>
          </w:p>
        </w:tc>
        <w:tc>
          <w:tcPr>
            <w:tcW w:w="493" w:type="pct"/>
            <w:vAlign w:val="center"/>
            <w:hideMark/>
          </w:tcPr>
          <w:p w14:paraId="3EC33F16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63581498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451AF0BF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3592ADF2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727FF98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34854C87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  <w:hideMark/>
          </w:tcPr>
          <w:p w14:paraId="78D59681" w14:textId="0A604689" w:rsidR="006B2553" w:rsidRPr="00656A6F" w:rsidRDefault="00264B70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2161469,0</w:t>
            </w:r>
          </w:p>
        </w:tc>
      </w:tr>
      <w:tr w:rsidR="006B2553" w:rsidRPr="00656A6F" w14:paraId="4B00FA7E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3AFFAECE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59" w:type="pct"/>
            <w:vAlign w:val="center"/>
            <w:hideMark/>
          </w:tcPr>
          <w:p w14:paraId="7DE1F8A3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center"/>
            <w:hideMark/>
          </w:tcPr>
          <w:p w14:paraId="610C8351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3816AF3D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594D97D1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10C612E8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19D009ED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5D19930D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  <w:hideMark/>
          </w:tcPr>
          <w:p w14:paraId="392B3E47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6B2553" w:rsidRPr="00656A6F" w14:paraId="4B9E8A68" w14:textId="77777777" w:rsidTr="001F54D5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7F967F4C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комитет по строительству администрации города Мурманска:</w:t>
            </w:r>
          </w:p>
        </w:tc>
      </w:tr>
      <w:tr w:rsidR="006B2553" w:rsidRPr="00656A6F" w14:paraId="170EFB38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1C30A51B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14:paraId="113AB0D0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73868,4</w:t>
            </w:r>
          </w:p>
        </w:tc>
        <w:tc>
          <w:tcPr>
            <w:tcW w:w="493" w:type="pct"/>
            <w:vAlign w:val="center"/>
            <w:hideMark/>
          </w:tcPr>
          <w:p w14:paraId="139DD14A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3405,1</w:t>
            </w:r>
          </w:p>
        </w:tc>
        <w:tc>
          <w:tcPr>
            <w:tcW w:w="495" w:type="pct"/>
            <w:vAlign w:val="center"/>
            <w:hideMark/>
          </w:tcPr>
          <w:p w14:paraId="2872C06D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495" w:type="pct"/>
            <w:vAlign w:val="center"/>
            <w:hideMark/>
          </w:tcPr>
          <w:p w14:paraId="554CE672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6396,5</w:t>
            </w:r>
          </w:p>
        </w:tc>
        <w:tc>
          <w:tcPr>
            <w:tcW w:w="495" w:type="pct"/>
            <w:vAlign w:val="center"/>
            <w:hideMark/>
          </w:tcPr>
          <w:p w14:paraId="02317CE2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495" w:type="pct"/>
            <w:vAlign w:val="center"/>
            <w:hideMark/>
          </w:tcPr>
          <w:p w14:paraId="3F9098EF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495" w:type="pct"/>
            <w:vAlign w:val="center"/>
            <w:hideMark/>
          </w:tcPr>
          <w:p w14:paraId="2947D076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20500,0</w:t>
            </w:r>
          </w:p>
        </w:tc>
        <w:tc>
          <w:tcPr>
            <w:tcW w:w="559" w:type="pct"/>
            <w:vAlign w:val="center"/>
            <w:hideMark/>
          </w:tcPr>
          <w:p w14:paraId="4314FBDC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20500,0</w:t>
            </w:r>
          </w:p>
        </w:tc>
      </w:tr>
      <w:tr w:rsidR="006B2553" w:rsidRPr="00656A6F" w14:paraId="1373F95E" w14:textId="77777777" w:rsidTr="001F54D5">
        <w:trPr>
          <w:cantSplit/>
          <w:trHeight w:val="90"/>
        </w:trPr>
        <w:tc>
          <w:tcPr>
            <w:tcW w:w="914" w:type="pct"/>
            <w:vAlign w:val="center"/>
            <w:hideMark/>
          </w:tcPr>
          <w:p w14:paraId="34C85415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14:paraId="044E8113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149316,7</w:t>
            </w:r>
          </w:p>
        </w:tc>
        <w:tc>
          <w:tcPr>
            <w:tcW w:w="493" w:type="pct"/>
            <w:vAlign w:val="center"/>
            <w:hideMark/>
          </w:tcPr>
          <w:p w14:paraId="52BA6867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4442197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4C98674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237FFDC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495F6E18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6D0F5A05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  <w:hideMark/>
          </w:tcPr>
          <w:p w14:paraId="00FD60B7" w14:textId="77777777" w:rsidR="006B2553" w:rsidRPr="00656A6F" w:rsidRDefault="006B2553" w:rsidP="001F54D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149316,7</w:t>
            </w:r>
          </w:p>
        </w:tc>
      </w:tr>
      <w:tr w:rsidR="006B2553" w:rsidRPr="00656A6F" w14:paraId="1739DD37" w14:textId="77777777" w:rsidTr="001F54D5">
        <w:trPr>
          <w:cantSplit/>
        </w:trPr>
        <w:tc>
          <w:tcPr>
            <w:tcW w:w="914" w:type="pct"/>
            <w:vAlign w:val="center"/>
            <w:hideMark/>
          </w:tcPr>
          <w:p w14:paraId="6332370E" w14:textId="77777777" w:rsidR="006B2553" w:rsidRPr="00656A6F" w:rsidRDefault="006B2553" w:rsidP="001F54D5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59" w:type="pct"/>
            <w:vAlign w:val="center"/>
            <w:hideMark/>
          </w:tcPr>
          <w:p w14:paraId="18770A5D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center"/>
            <w:hideMark/>
          </w:tcPr>
          <w:p w14:paraId="29D54DBB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7713BE65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4B7C2320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745C54D2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152EE019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4257D076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  <w:hideMark/>
          </w:tcPr>
          <w:p w14:paraId="3DE50D3E" w14:textId="77777777" w:rsidR="006B2553" w:rsidRPr="00656A6F" w:rsidRDefault="006B2553" w:rsidP="001F54D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0A9E2BB" w14:textId="77777777" w:rsidR="006B2553" w:rsidRPr="006B2553" w:rsidRDefault="006B2553" w:rsidP="006B255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BAD1156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 xml:space="preserve">Расчетная стоимость одного квадратного метра общей площади благоустроенного жилья в целях реализации подпрограммы установлена в размере: </w:t>
      </w:r>
    </w:p>
    <w:p w14:paraId="597EDB9E" w14:textId="77777777" w:rsidR="006B2553" w:rsidRPr="006B2553" w:rsidRDefault="006B2553" w:rsidP="006B2553">
      <w:pPr>
        <w:widowControl w:val="0"/>
        <w:spacing w:after="0" w:line="240" w:lineRule="auto"/>
        <w:ind w:firstLine="709"/>
        <w:jc w:val="both"/>
        <w:rPr>
          <w:bCs/>
          <w:color w:val="000000"/>
          <w:szCs w:val="28"/>
        </w:rPr>
      </w:pPr>
      <w:proofErr w:type="gramStart"/>
      <w:r w:rsidRPr="006B2553">
        <w:rPr>
          <w:bCs/>
          <w:color w:val="000000"/>
          <w:szCs w:val="28"/>
        </w:rPr>
        <w:t xml:space="preserve">– при приобретении жилых помещений в многоквартирных домах у лиц, не являющихся застройщиками, – 55,0 тыс. руб. </w:t>
      </w:r>
      <w:r w:rsidRPr="006B2553">
        <w:rPr>
          <w:rFonts w:eastAsia="Times New Roman"/>
          <w:color w:val="000000"/>
          <w:szCs w:val="28"/>
          <w:lang w:eastAsia="ru-RU"/>
        </w:rPr>
        <w:t xml:space="preserve">В соответствии со статьей 22 </w:t>
      </w:r>
      <w:r w:rsidRPr="006B2553">
        <w:rPr>
          <w:rFonts w:eastAsia="Times New Roman"/>
          <w:color w:val="000000"/>
          <w:szCs w:val="28"/>
          <w:lang w:eastAsia="ru-RU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</w:t>
      </w:r>
      <w:proofErr w:type="gramEnd"/>
      <w:r w:rsidRPr="006B2553">
        <w:rPr>
          <w:rFonts w:eastAsia="Times New Roman"/>
          <w:color w:val="000000"/>
          <w:szCs w:val="28"/>
          <w:lang w:eastAsia="ru-RU"/>
        </w:rPr>
        <w:t xml:space="preserve"> В </w:t>
      </w:r>
      <w:proofErr w:type="gramStart"/>
      <w:r w:rsidRPr="006B2553">
        <w:rPr>
          <w:rFonts w:eastAsia="Times New Roman"/>
          <w:color w:val="000000"/>
          <w:szCs w:val="28"/>
          <w:lang w:eastAsia="ru-RU"/>
        </w:rPr>
        <w:t>качестве</w:t>
      </w:r>
      <w:proofErr w:type="gramEnd"/>
      <w:r w:rsidRPr="006B2553">
        <w:rPr>
          <w:rFonts w:eastAsia="Times New Roman"/>
          <w:color w:val="000000"/>
          <w:szCs w:val="28"/>
          <w:lang w:eastAsia="ru-RU"/>
        </w:rPr>
        <w:t xml:space="preserve"> источников ценовой информации использованы коммерческие предложения, полученные по запросам </w:t>
      </w:r>
      <w:r w:rsidRPr="006B2553">
        <w:rPr>
          <w:bCs/>
          <w:color w:val="000000"/>
          <w:szCs w:val="28"/>
        </w:rPr>
        <w:t>комитета имущественных отношений города Мурманска;</w:t>
      </w:r>
    </w:p>
    <w:p w14:paraId="72BC3242" w14:textId="77777777" w:rsidR="006B2553" w:rsidRPr="006B2553" w:rsidRDefault="006B2553" w:rsidP="006B2553">
      <w:pPr>
        <w:keepNext/>
        <w:keepLines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6B2553">
        <w:rPr>
          <w:bCs/>
          <w:color w:val="000000"/>
          <w:szCs w:val="28"/>
        </w:rPr>
        <w:t>–</w:t>
      </w:r>
      <w:r w:rsidRPr="006B2553">
        <w:rPr>
          <w:color w:val="000000"/>
          <w:szCs w:val="28"/>
        </w:rPr>
        <w:t xml:space="preserve"> при строительстве и приобретении жилых помещений у застройщиков </w:t>
      </w:r>
      <w:r w:rsidRPr="006B2553">
        <w:rPr>
          <w:color w:val="000000"/>
          <w:szCs w:val="28"/>
        </w:rPr>
        <w:br/>
      </w:r>
      <w:r w:rsidRPr="006B2553">
        <w:rPr>
          <w:bCs/>
          <w:color w:val="000000"/>
          <w:szCs w:val="28"/>
        </w:rPr>
        <w:t>–</w:t>
      </w:r>
      <w:r w:rsidRPr="006B2553">
        <w:rPr>
          <w:color w:val="000000"/>
          <w:szCs w:val="28"/>
        </w:rPr>
        <w:t xml:space="preserve"> 70,0 тыс. руб. </w:t>
      </w:r>
      <w:r w:rsidRPr="006B2553">
        <w:rPr>
          <w:rFonts w:eastAsia="Times New Roman"/>
          <w:color w:val="000000"/>
          <w:szCs w:val="28"/>
          <w:lang w:eastAsia="ru-RU"/>
        </w:rPr>
        <w:t>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</w:t>
      </w:r>
      <w:proofErr w:type="gramEnd"/>
      <w:r w:rsidRPr="006B2553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6B2553">
        <w:rPr>
          <w:rFonts w:eastAsia="Times New Roman"/>
          <w:color w:val="000000"/>
          <w:szCs w:val="28"/>
          <w:lang w:eastAsia="ru-RU"/>
        </w:rPr>
        <w:t xml:space="preserve">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 </w:t>
      </w:r>
      <w:proofErr w:type="gramEnd"/>
    </w:p>
    <w:p w14:paraId="38E10377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6B2553">
        <w:rPr>
          <w:color w:val="000000"/>
          <w:szCs w:val="28"/>
        </w:rPr>
        <w:t>Нанимателям жилых помещений допускается предоставление жилого помещения площадью больше ранее занимаемого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14:paraId="2B4EBEE1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14:paraId="06FD7EA1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proofErr w:type="gramStart"/>
      <w:r w:rsidRPr="006B2553">
        <w:rPr>
          <w:bCs/>
          <w:color w:val="000000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</w:t>
      </w:r>
      <w:proofErr w:type="gramEnd"/>
      <w:r w:rsidRPr="006B2553">
        <w:rPr>
          <w:bCs/>
          <w:color w:val="000000"/>
          <w:szCs w:val="28"/>
        </w:rPr>
        <w:t xml:space="preserve">, </w:t>
      </w:r>
      <w:proofErr w:type="gramStart"/>
      <w:r w:rsidRPr="006B2553">
        <w:rPr>
          <w:bCs/>
          <w:color w:val="000000"/>
          <w:szCs w:val="28"/>
        </w:rPr>
        <w:t>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  <w:proofErr w:type="gramEnd"/>
    </w:p>
    <w:p w14:paraId="45EFA581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14:paraId="15AD167D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6B2553">
        <w:rPr>
          <w:color w:val="000000"/>
          <w:szCs w:val="28"/>
        </w:rPr>
        <w:lastRenderedPageBreak/>
        <w:t xml:space="preserve">В </w:t>
      </w:r>
      <w:proofErr w:type="gramStart"/>
      <w:r w:rsidRPr="006B2553">
        <w:rPr>
          <w:color w:val="000000"/>
          <w:szCs w:val="28"/>
        </w:rPr>
        <w:t>случае</w:t>
      </w:r>
      <w:proofErr w:type="gramEnd"/>
      <w:r w:rsidRPr="006B2553">
        <w:rPr>
          <w:color w:val="000000"/>
          <w:szCs w:val="28"/>
        </w:rPr>
        <w:t xml:space="preserve">,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  </w:t>
      </w:r>
    </w:p>
    <w:p w14:paraId="2C447DF9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14:paraId="5AA174A6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кадастровая съемка земельного участка, изготовление схемы расположения земельных участков на кадастровом плане территории, оформление межевого плана, изготовление карты-плана.</w:t>
      </w:r>
    </w:p>
    <w:p w14:paraId="7F04F12C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proofErr w:type="gramStart"/>
      <w:r w:rsidRPr="006B2553">
        <w:rPr>
          <w:bCs/>
          <w:color w:val="000000"/>
          <w:szCs w:val="28"/>
        </w:rPr>
        <w:t>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(анализа рынка).</w:t>
      </w:r>
      <w:proofErr w:type="gramEnd"/>
      <w:r w:rsidRPr="006B2553">
        <w:rPr>
          <w:bCs/>
          <w:color w:val="000000"/>
          <w:szCs w:val="28"/>
        </w:rPr>
        <w:t xml:space="preserve"> </w:t>
      </w:r>
      <w:proofErr w:type="gramStart"/>
      <w:r w:rsidRPr="006B2553">
        <w:rPr>
          <w:bCs/>
          <w:color w:val="000000"/>
          <w:szCs w:val="28"/>
        </w:rPr>
        <w:t xml:space="preserve">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 </w:t>
      </w:r>
      <w:proofErr w:type="gramEnd"/>
    </w:p>
    <w:p w14:paraId="7BA52243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участка, в том числе:</w:t>
      </w:r>
    </w:p>
    <w:p w14:paraId="09205928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– кадастровая съемка участка – 10,0 тыс. руб.;</w:t>
      </w:r>
    </w:p>
    <w:p w14:paraId="39090DE7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– изготовление схемы расположения земельных участков на кадастровом плане территории – 20,0 тыс. руб.;</w:t>
      </w:r>
    </w:p>
    <w:p w14:paraId="2B671D81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>– оформление межевого плана – 20,0 тыс. руб.;</w:t>
      </w:r>
    </w:p>
    <w:p w14:paraId="2DE39563" w14:textId="77777777" w:rsidR="006B2553" w:rsidRPr="006B2553" w:rsidRDefault="006B2553" w:rsidP="006B255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6B2553">
        <w:rPr>
          <w:bCs/>
          <w:color w:val="000000"/>
          <w:szCs w:val="28"/>
        </w:rPr>
        <w:t xml:space="preserve">– изготовление карты-плана – 20,0 тыс. руб. </w:t>
      </w:r>
    </w:p>
    <w:p w14:paraId="5321B0C5" w14:textId="631EDF5F" w:rsidR="0091454D" w:rsidRDefault="006B2553" w:rsidP="0091454D">
      <w:pPr>
        <w:spacing w:after="0" w:line="240" w:lineRule="auto"/>
        <w:ind w:right="-1" w:firstLine="709"/>
        <w:jc w:val="both"/>
        <w:rPr>
          <w:bCs/>
          <w:szCs w:val="28"/>
        </w:rPr>
      </w:pPr>
      <w:r w:rsidRPr="006B2553">
        <w:rPr>
          <w:bCs/>
          <w:color w:val="000000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</w:t>
      </w:r>
      <w:proofErr w:type="gramStart"/>
      <w:r w:rsidRPr="006B2553">
        <w:rPr>
          <w:bCs/>
          <w:color w:val="000000"/>
          <w:szCs w:val="28"/>
        </w:rPr>
        <w:t>.</w:t>
      </w:r>
      <w:r w:rsidR="00042A75">
        <w:rPr>
          <w:bCs/>
          <w:color w:val="000000"/>
          <w:szCs w:val="28"/>
        </w:rPr>
        <w:t>».</w:t>
      </w:r>
      <w:proofErr w:type="gramEnd"/>
    </w:p>
    <w:p w14:paraId="1B35C762" w14:textId="53E0D46E" w:rsidR="0091454D" w:rsidRDefault="001E0F25" w:rsidP="0091454D">
      <w:pPr>
        <w:spacing w:after="0" w:line="240" w:lineRule="auto"/>
        <w:ind w:right="-1" w:firstLine="709"/>
        <w:jc w:val="both"/>
        <w:rPr>
          <w:bCs/>
          <w:szCs w:val="28"/>
        </w:rPr>
      </w:pPr>
      <w:r w:rsidRPr="006B2553">
        <w:rPr>
          <w:bCs/>
          <w:color w:val="000000" w:themeColor="text1"/>
          <w:szCs w:val="28"/>
        </w:rPr>
        <w:t>1.</w:t>
      </w:r>
      <w:r w:rsidR="007D50D0">
        <w:rPr>
          <w:bCs/>
          <w:color w:val="000000" w:themeColor="text1"/>
          <w:szCs w:val="28"/>
        </w:rPr>
        <w:t>2.5</w:t>
      </w:r>
      <w:r w:rsidRPr="006B2553">
        <w:rPr>
          <w:bCs/>
          <w:color w:val="000000" w:themeColor="text1"/>
          <w:szCs w:val="28"/>
        </w:rPr>
        <w:t xml:space="preserve">. </w:t>
      </w:r>
      <w:r w:rsidR="0091454D">
        <w:rPr>
          <w:bCs/>
          <w:szCs w:val="28"/>
        </w:rPr>
        <w:t>Пункт 5 «Механизм реализации подпрограммы» изложить в следующей редакции:</w:t>
      </w:r>
    </w:p>
    <w:p w14:paraId="6DE638B4" w14:textId="77777777" w:rsidR="004F620A" w:rsidRPr="00656A6F" w:rsidRDefault="0091454D" w:rsidP="004F620A">
      <w:pPr>
        <w:spacing w:after="0" w:line="240" w:lineRule="auto"/>
        <w:jc w:val="center"/>
        <w:rPr>
          <w:bCs/>
          <w:szCs w:val="28"/>
        </w:rPr>
      </w:pPr>
      <w:r w:rsidRPr="006B2553">
        <w:rPr>
          <w:bCs/>
          <w:color w:val="000000"/>
          <w:szCs w:val="28"/>
        </w:rPr>
        <w:t>«</w:t>
      </w:r>
      <w:r w:rsidR="004F620A" w:rsidRPr="00656A6F">
        <w:rPr>
          <w:bCs/>
          <w:szCs w:val="28"/>
        </w:rPr>
        <w:t>5. Механизм реализации подпрограммы</w:t>
      </w:r>
    </w:p>
    <w:p w14:paraId="341A3306" w14:textId="77777777" w:rsidR="004F620A" w:rsidRPr="00656A6F" w:rsidRDefault="004F620A" w:rsidP="004F620A">
      <w:pPr>
        <w:pStyle w:val="ae"/>
        <w:spacing w:after="0" w:line="240" w:lineRule="auto"/>
        <w:ind w:left="0" w:firstLine="709"/>
        <w:jc w:val="center"/>
        <w:rPr>
          <w:bCs/>
          <w:szCs w:val="28"/>
        </w:rPr>
      </w:pPr>
    </w:p>
    <w:p w14:paraId="6C243ABA" w14:textId="77777777" w:rsidR="004F620A" w:rsidRPr="00656A6F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656A6F">
        <w:rPr>
          <w:bCs/>
          <w:szCs w:val="28"/>
        </w:rPr>
        <w:lastRenderedPageBreak/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14:paraId="44EDF1B3" w14:textId="77777777" w:rsidR="004F620A" w:rsidRPr="00656A6F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656A6F">
        <w:rPr>
          <w:bCs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14:paraId="775E2ABA" w14:textId="77777777" w:rsidR="004F620A" w:rsidRPr="00656A6F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656A6F">
        <w:rPr>
          <w:bCs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14:paraId="729A2571" w14:textId="77777777" w:rsidR="004F620A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656A6F">
        <w:rPr>
          <w:bCs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строительства.</w:t>
      </w:r>
    </w:p>
    <w:p w14:paraId="1E9B5444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</w:t>
      </w:r>
      <w:proofErr w:type="gramStart"/>
      <w:r w:rsidRPr="00214E1D">
        <w:rPr>
          <w:bCs/>
          <w:szCs w:val="28"/>
        </w:rPr>
        <w:t>контроль за</w:t>
      </w:r>
      <w:proofErr w:type="gramEnd"/>
      <w:r w:rsidRPr="00214E1D">
        <w:rPr>
          <w:bCs/>
          <w:szCs w:val="28"/>
        </w:rPr>
        <w:t xml:space="preserve"> ходом ее выполнения. </w:t>
      </w:r>
    </w:p>
    <w:p w14:paraId="47FC840D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214E1D">
        <w:rPr>
          <w:bCs/>
          <w:szCs w:val="28"/>
        </w:rPr>
        <w:t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периодом, на бумажном и электронном носителях.</w:t>
      </w:r>
      <w:proofErr w:type="gramEnd"/>
    </w:p>
    <w:p w14:paraId="3D62CE46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 февраля года, следующего за </w:t>
      </w:r>
      <w:proofErr w:type="gramStart"/>
      <w:r w:rsidRPr="00214E1D">
        <w:rPr>
          <w:bCs/>
          <w:szCs w:val="28"/>
        </w:rPr>
        <w:t>отчетным</w:t>
      </w:r>
      <w:proofErr w:type="gramEnd"/>
      <w:r w:rsidRPr="00214E1D">
        <w:rPr>
          <w:bCs/>
          <w:szCs w:val="28"/>
        </w:rPr>
        <w:t>, направляет их в комитет имущественных отношений города Мурманска.</w:t>
      </w:r>
    </w:p>
    <w:p w14:paraId="12902E52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404DBFEE" w14:textId="68CFB90D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214E1D">
        <w:rPr>
          <w:bCs/>
          <w:szCs w:val="28"/>
        </w:rPr>
        <w:t>В рамках настоящей подпрограммы переселению подлежат граждане, пр</w:t>
      </w:r>
      <w:r>
        <w:rPr>
          <w:bCs/>
          <w:szCs w:val="28"/>
        </w:rPr>
        <w:t>оживающие в</w:t>
      </w:r>
      <w:r w:rsidRPr="00214E1D">
        <w:rPr>
          <w:bCs/>
          <w:szCs w:val="28"/>
        </w:rPr>
        <w:t xml:space="preserve"> многоквартирных домах пониженной капитальности, имеющих не все виды благоустройства, после п</w:t>
      </w:r>
      <w:r w:rsidR="00E44CAB">
        <w:rPr>
          <w:bCs/>
          <w:szCs w:val="28"/>
        </w:rPr>
        <w:t xml:space="preserve">ризнания таких домов аварийными, а также граждане из многоквартирных домов </w:t>
      </w:r>
      <w:r w:rsidR="00E44CAB" w:rsidRPr="006F26C2">
        <w:rPr>
          <w:szCs w:val="28"/>
        </w:rPr>
        <w:t>признанных аварийными и подлежащими сносу или реконструкции в разные годы, расположенных в границах одного элемента планировочной структуры (квартала, микрорайона) или смежных элементов планировочной структуры, переселение граждан из которых осуществляется без уч</w:t>
      </w:r>
      <w:r w:rsidR="00E44CAB">
        <w:rPr>
          <w:szCs w:val="28"/>
        </w:rPr>
        <w:t>е</w:t>
      </w:r>
      <w:r w:rsidR="00E44CAB" w:rsidRPr="006F26C2">
        <w:rPr>
          <w:szCs w:val="28"/>
        </w:rPr>
        <w:t>та</w:t>
      </w:r>
      <w:proofErr w:type="gramEnd"/>
      <w:r w:rsidR="00E44CAB" w:rsidRPr="006F26C2">
        <w:rPr>
          <w:szCs w:val="28"/>
        </w:rPr>
        <w:t xml:space="preserve"> первоочередного порядка переселения, за исключением многоквартирных домов, расселение которых предусмотрено региональной адресной программой «Переселение граждан из аварийного жилищного фонда в Мурманской области на 2019-2025 годы»</w:t>
      </w:r>
      <w:r w:rsidR="00E44CAB">
        <w:rPr>
          <w:szCs w:val="28"/>
        </w:rPr>
        <w:t>, перечень</w:t>
      </w:r>
      <w:r w:rsidR="00264B70" w:rsidRPr="00264B70">
        <w:rPr>
          <w:szCs w:val="28"/>
        </w:rPr>
        <w:t xml:space="preserve"> </w:t>
      </w:r>
      <w:r w:rsidR="00264B70">
        <w:rPr>
          <w:szCs w:val="28"/>
        </w:rPr>
        <w:t>которых утвержден приказом министерства строительства Мурманской области от 15.09.2020 № 404</w:t>
      </w:r>
      <w:r w:rsidR="00E44CAB">
        <w:rPr>
          <w:szCs w:val="28"/>
        </w:rPr>
        <w:t>.</w:t>
      </w:r>
    </w:p>
    <w:p w14:paraId="01C8D386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lastRenderedPageBreak/>
        <w:t xml:space="preserve">Признание многоквартирных домов </w:t>
      </w:r>
      <w:proofErr w:type="gramStart"/>
      <w:r w:rsidRPr="00214E1D">
        <w:rPr>
          <w:bCs/>
          <w:szCs w:val="28"/>
        </w:rPr>
        <w:t>аварийными</w:t>
      </w:r>
      <w:proofErr w:type="gramEnd"/>
      <w:r w:rsidRPr="00214E1D">
        <w:rPr>
          <w:bCs/>
          <w:szCs w:val="28"/>
        </w:rPr>
        <w:t xml:space="preserve">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14:paraId="106768CA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</w:t>
      </w:r>
      <w:proofErr w:type="gramStart"/>
      <w:r w:rsidRPr="00214E1D">
        <w:rPr>
          <w:bCs/>
          <w:szCs w:val="28"/>
        </w:rPr>
        <w:t>и</w:t>
      </w:r>
      <w:proofErr w:type="gramEnd"/>
      <w:r w:rsidRPr="00214E1D">
        <w:rPr>
          <w:bCs/>
          <w:szCs w:val="28"/>
        </w:rPr>
        <w:t xml:space="preserve"> специализированной организации.</w:t>
      </w:r>
    </w:p>
    <w:p w14:paraId="6A2BCE32" w14:textId="4FCB1F3C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Pr="00A15F15">
        <w:rPr>
          <w:bCs/>
          <w:szCs w:val="28"/>
        </w:rPr>
        <w:t>01.</w:t>
      </w:r>
      <w:r w:rsidR="00264B70">
        <w:rPr>
          <w:bCs/>
          <w:szCs w:val="28"/>
        </w:rPr>
        <w:t>10</w:t>
      </w:r>
      <w:r w:rsidRPr="00A15F15">
        <w:rPr>
          <w:bCs/>
          <w:szCs w:val="28"/>
        </w:rPr>
        <w:t>.2020</w:t>
      </w:r>
      <w:r w:rsidRPr="00214E1D">
        <w:rPr>
          <w:bCs/>
          <w:szCs w:val="28"/>
        </w:rPr>
        <w:t xml:space="preserve">, приведен в приложении </w:t>
      </w:r>
      <w:r w:rsidRPr="00214E1D">
        <w:rPr>
          <w:bCs/>
          <w:szCs w:val="28"/>
        </w:rPr>
        <w:br/>
        <w:t>№ 2 к настоящей подпрограмме.</w:t>
      </w:r>
    </w:p>
    <w:p w14:paraId="2D924994" w14:textId="6CA1D94A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Pr="00A15F15">
        <w:rPr>
          <w:bCs/>
          <w:szCs w:val="28"/>
        </w:rPr>
        <w:t>01.</w:t>
      </w:r>
      <w:r w:rsidR="00264B70">
        <w:rPr>
          <w:bCs/>
          <w:szCs w:val="28"/>
        </w:rPr>
        <w:t>10</w:t>
      </w:r>
      <w:r w:rsidRPr="00A15F15">
        <w:rPr>
          <w:bCs/>
          <w:szCs w:val="28"/>
        </w:rPr>
        <w:t>.2020</w:t>
      </w:r>
      <w:r w:rsidRPr="00214E1D">
        <w:rPr>
          <w:bCs/>
          <w:szCs w:val="28"/>
        </w:rPr>
        <w:t>, приведен в приложении № 3 к настоящей подпрограмме.</w:t>
      </w:r>
    </w:p>
    <w:p w14:paraId="601D7E71" w14:textId="77777777" w:rsidR="004F620A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Перечень аварийных многоквартирных домов, подлежащих сносу в 2018 - 2024 годах, представлен в приложении № 4.</w:t>
      </w:r>
    </w:p>
    <w:p w14:paraId="1819EAF7" w14:textId="2A82A2F1" w:rsidR="00264B70" w:rsidRPr="00214E1D" w:rsidRDefault="00264B70" w:rsidP="00264B70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Перечень многоквартирных домов </w:t>
      </w:r>
      <w:r w:rsidRPr="006F26C2">
        <w:rPr>
          <w:szCs w:val="28"/>
        </w:rPr>
        <w:t>признанных аварийными и подлежащими сносу или реконструкции в разные годы, расположенных в границах одного элемента планировочной структуры (квартала, микрорайона) или смежных элементов планировочной структуры, переселение граждан из которых осуществляется без уч</w:t>
      </w:r>
      <w:r>
        <w:rPr>
          <w:szCs w:val="28"/>
        </w:rPr>
        <w:t>е</w:t>
      </w:r>
      <w:r w:rsidRPr="006F26C2">
        <w:rPr>
          <w:szCs w:val="28"/>
        </w:rPr>
        <w:t>та первоочередного порядка переселения</w:t>
      </w:r>
      <w:r>
        <w:rPr>
          <w:szCs w:val="28"/>
        </w:rPr>
        <w:t>, представлен в приложении  № 5.</w:t>
      </w:r>
      <w:r w:rsidRPr="006F26C2">
        <w:rPr>
          <w:szCs w:val="28"/>
        </w:rPr>
        <w:t xml:space="preserve"> </w:t>
      </w:r>
    </w:p>
    <w:p w14:paraId="6688A06C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214E1D">
        <w:rPr>
          <w:bCs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в том числе </w:t>
      </w:r>
      <w:r w:rsidRPr="00656A6F">
        <w:rPr>
          <w:bCs/>
          <w:szCs w:val="28"/>
        </w:rPr>
        <w:t>на изъятие у собственников путем выкупа жилых помещений в связи с изъятием соответствующего земельного участка для муниципальных нужд.</w:t>
      </w:r>
      <w:proofErr w:type="gramEnd"/>
    </w:p>
    <w:p w14:paraId="227F343D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14:paraId="0503DC4F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214E1D">
        <w:rPr>
          <w:bCs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  <w:proofErr w:type="gramEnd"/>
    </w:p>
    <w:p w14:paraId="00277581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14:paraId="04D38F30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</w:t>
      </w:r>
      <w:r w:rsidRPr="00214E1D">
        <w:rPr>
          <w:bCs/>
          <w:szCs w:val="28"/>
        </w:rPr>
        <w:lastRenderedPageBreak/>
        <w:t>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14:paraId="4328D631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14:paraId="10ADEF08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214E1D">
        <w:rPr>
          <w:bCs/>
          <w:szCs w:val="28"/>
          <w:lang w:val="en-US"/>
        </w:rPr>
        <w:t>IV</w:t>
      </w:r>
      <w:r w:rsidRPr="00214E1D">
        <w:rPr>
          <w:bCs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14:paraId="7BB7AF57" w14:textId="77777777" w:rsidR="004F620A" w:rsidRPr="00214E1D" w:rsidRDefault="004F620A" w:rsidP="004F620A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14:paraId="7116B6DC" w14:textId="215489DC" w:rsidR="00264B70" w:rsidRDefault="004F620A" w:rsidP="00264B70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Согласно СНиП III-10-75 от 01.07.1976 «Правил</w:t>
      </w:r>
      <w:r w:rsidR="00042A75">
        <w:rPr>
          <w:bCs/>
          <w:szCs w:val="28"/>
        </w:rPr>
        <w:t>а производства и приемки работ.</w:t>
      </w:r>
      <w:r w:rsidR="006130AB">
        <w:rPr>
          <w:bCs/>
          <w:szCs w:val="28"/>
        </w:rPr>
        <w:t xml:space="preserve"> </w:t>
      </w:r>
      <w:r w:rsidRPr="00214E1D">
        <w:rPr>
          <w:bCs/>
          <w:szCs w:val="28"/>
        </w:rPr>
        <w:t xml:space="preserve">Благоустройство территории», учитывая, что при сносе многоквартирного дома в III-IV кварталах текущего года,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  </w:t>
      </w:r>
    </w:p>
    <w:p w14:paraId="528D0B67" w14:textId="5A7650E7" w:rsidR="005A2640" w:rsidRPr="00264B70" w:rsidRDefault="004F620A" w:rsidP="00264B70">
      <w:pPr>
        <w:spacing w:after="0" w:line="240" w:lineRule="auto"/>
        <w:ind w:firstLine="709"/>
        <w:jc w:val="both"/>
        <w:rPr>
          <w:bCs/>
          <w:szCs w:val="28"/>
        </w:rPr>
      </w:pPr>
      <w:r w:rsidRPr="00214E1D">
        <w:rPr>
          <w:bCs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</w:t>
      </w:r>
      <w:proofErr w:type="gramStart"/>
      <w:r w:rsidRPr="00214E1D">
        <w:rPr>
          <w:bCs/>
          <w:szCs w:val="28"/>
        </w:rPr>
        <w:t>.</w:t>
      </w:r>
      <w:r w:rsidR="00042A75">
        <w:rPr>
          <w:bCs/>
          <w:szCs w:val="28"/>
        </w:rPr>
        <w:t>».</w:t>
      </w:r>
      <w:proofErr w:type="gramEnd"/>
    </w:p>
    <w:p w14:paraId="1CF7D594" w14:textId="1F533258" w:rsidR="00AE4143" w:rsidRPr="006B2553" w:rsidRDefault="001E0F25" w:rsidP="00FE0DB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6B2553">
        <w:rPr>
          <w:bCs/>
          <w:color w:val="000000" w:themeColor="text1"/>
          <w:szCs w:val="28"/>
        </w:rPr>
        <w:t>1.</w:t>
      </w:r>
      <w:r w:rsidR="007D50D0">
        <w:rPr>
          <w:bCs/>
          <w:color w:val="000000" w:themeColor="text1"/>
          <w:szCs w:val="28"/>
        </w:rPr>
        <w:t>2.6</w:t>
      </w:r>
      <w:r w:rsidRPr="006B2553">
        <w:rPr>
          <w:bCs/>
          <w:color w:val="000000" w:themeColor="text1"/>
          <w:szCs w:val="28"/>
        </w:rPr>
        <w:t xml:space="preserve">. </w:t>
      </w:r>
      <w:r w:rsidR="00FE0DB4" w:rsidRPr="006B2553">
        <w:rPr>
          <w:bCs/>
          <w:color w:val="000000" w:themeColor="text1"/>
          <w:szCs w:val="28"/>
        </w:rPr>
        <w:t xml:space="preserve">В </w:t>
      </w:r>
      <w:proofErr w:type="gramStart"/>
      <w:r w:rsidR="00FE0DB4" w:rsidRPr="006B2553">
        <w:rPr>
          <w:bCs/>
          <w:color w:val="000000" w:themeColor="text1"/>
          <w:szCs w:val="28"/>
        </w:rPr>
        <w:t>абзаце</w:t>
      </w:r>
      <w:proofErr w:type="gramEnd"/>
      <w:r w:rsidR="00FE0DB4" w:rsidRPr="006B2553">
        <w:rPr>
          <w:bCs/>
          <w:color w:val="000000" w:themeColor="text1"/>
          <w:szCs w:val="28"/>
        </w:rPr>
        <w:t xml:space="preserve"> 1 </w:t>
      </w:r>
      <w:r w:rsidR="00AE4143" w:rsidRPr="006B2553">
        <w:rPr>
          <w:bCs/>
          <w:color w:val="000000" w:themeColor="text1"/>
          <w:szCs w:val="28"/>
        </w:rPr>
        <w:t>п</w:t>
      </w:r>
      <w:r w:rsidR="006155F6" w:rsidRPr="006B2553">
        <w:rPr>
          <w:bCs/>
          <w:color w:val="000000" w:themeColor="text1"/>
          <w:szCs w:val="28"/>
        </w:rPr>
        <w:t>ункт</w:t>
      </w:r>
      <w:r w:rsidR="00FE0DB4" w:rsidRPr="006B2553">
        <w:rPr>
          <w:bCs/>
          <w:color w:val="000000" w:themeColor="text1"/>
          <w:szCs w:val="28"/>
        </w:rPr>
        <w:t>а</w:t>
      </w:r>
      <w:r w:rsidR="006155F6" w:rsidRPr="006B2553">
        <w:rPr>
          <w:bCs/>
          <w:color w:val="000000" w:themeColor="text1"/>
          <w:szCs w:val="28"/>
        </w:rPr>
        <w:t xml:space="preserve"> 6 «Оценка эффективности подп</w:t>
      </w:r>
      <w:r w:rsidR="00FE0DB4" w:rsidRPr="006B2553">
        <w:rPr>
          <w:bCs/>
          <w:color w:val="000000" w:themeColor="text1"/>
          <w:szCs w:val="28"/>
        </w:rPr>
        <w:t xml:space="preserve">рограммы, рисков ее реализации» </w:t>
      </w:r>
      <w:r w:rsidR="00AE4143" w:rsidRPr="006B2553">
        <w:rPr>
          <w:color w:val="000000" w:themeColor="text1"/>
          <w:szCs w:val="28"/>
        </w:rPr>
        <w:t>цифры «41</w:t>
      </w:r>
      <w:r w:rsidR="007D50D0">
        <w:rPr>
          <w:color w:val="000000" w:themeColor="text1"/>
          <w:szCs w:val="28"/>
        </w:rPr>
        <w:t>90</w:t>
      </w:r>
      <w:r w:rsidR="00AE4143" w:rsidRPr="006B2553">
        <w:rPr>
          <w:color w:val="000000" w:themeColor="text1"/>
          <w:szCs w:val="28"/>
        </w:rPr>
        <w:t>» заменить цифрами «41</w:t>
      </w:r>
      <w:r w:rsidR="007D50D0">
        <w:rPr>
          <w:color w:val="000000" w:themeColor="text1"/>
          <w:szCs w:val="28"/>
        </w:rPr>
        <w:t>61</w:t>
      </w:r>
      <w:r w:rsidR="00AE4143" w:rsidRPr="006B2553">
        <w:rPr>
          <w:color w:val="000000" w:themeColor="text1"/>
          <w:szCs w:val="28"/>
        </w:rPr>
        <w:t>».</w:t>
      </w:r>
    </w:p>
    <w:p w14:paraId="3AE97A0D" w14:textId="6C5E96DC" w:rsidR="006130AB" w:rsidRDefault="001E0F25" w:rsidP="001E0F25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6B2553">
        <w:rPr>
          <w:bCs/>
          <w:color w:val="000000" w:themeColor="text1"/>
          <w:szCs w:val="28"/>
        </w:rPr>
        <w:t>1.</w:t>
      </w:r>
      <w:r w:rsidR="009A708B">
        <w:rPr>
          <w:bCs/>
          <w:color w:val="000000" w:themeColor="text1"/>
          <w:szCs w:val="28"/>
        </w:rPr>
        <w:t>2</w:t>
      </w:r>
      <w:r w:rsidRPr="006B2553">
        <w:rPr>
          <w:bCs/>
          <w:color w:val="000000" w:themeColor="text1"/>
          <w:szCs w:val="28"/>
        </w:rPr>
        <w:t>.</w:t>
      </w:r>
      <w:r w:rsidR="009A708B">
        <w:rPr>
          <w:bCs/>
          <w:color w:val="000000" w:themeColor="text1"/>
          <w:szCs w:val="28"/>
        </w:rPr>
        <w:t>7</w:t>
      </w:r>
      <w:r w:rsidR="008007F4" w:rsidRPr="006B2553">
        <w:rPr>
          <w:bCs/>
          <w:color w:val="000000" w:themeColor="text1"/>
          <w:szCs w:val="28"/>
        </w:rPr>
        <w:t xml:space="preserve">. </w:t>
      </w:r>
      <w:r w:rsidR="006130AB">
        <w:rPr>
          <w:bCs/>
          <w:color w:val="000000" w:themeColor="text1"/>
          <w:szCs w:val="28"/>
        </w:rPr>
        <w:t xml:space="preserve">Приложение № 1 к подпрограмме «Перечень основных мероприятий подпрограммы» </w:t>
      </w:r>
      <w:r w:rsidR="006130AB" w:rsidRPr="006B2553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6130AB" w:rsidRPr="006B2553">
        <w:rPr>
          <w:bCs/>
          <w:szCs w:val="28"/>
        </w:rPr>
        <w:t xml:space="preserve">№ </w:t>
      </w:r>
      <w:r w:rsidR="006130AB">
        <w:rPr>
          <w:bCs/>
          <w:szCs w:val="28"/>
        </w:rPr>
        <w:t>1</w:t>
      </w:r>
      <w:r w:rsidR="006130AB" w:rsidRPr="006B2553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2DC547B" w14:textId="6161DC3C" w:rsidR="001E0F25" w:rsidRPr="006B2553" w:rsidRDefault="006130AB" w:rsidP="001E0F25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1.2.8. </w:t>
      </w:r>
      <w:r w:rsidR="001E0F25" w:rsidRPr="006B2553">
        <w:rPr>
          <w:bCs/>
          <w:color w:val="000000" w:themeColor="text1"/>
          <w:szCs w:val="28"/>
        </w:rPr>
        <w:t xml:space="preserve">Приложение № 2 к подпрограмме «Перечень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="001F54D5">
        <w:rPr>
          <w:bCs/>
          <w:color w:val="000000" w:themeColor="text1"/>
          <w:szCs w:val="28"/>
        </w:rPr>
        <w:t>01.07</w:t>
      </w:r>
      <w:r w:rsidR="001E0F25" w:rsidRPr="006B2553">
        <w:rPr>
          <w:bCs/>
          <w:color w:val="000000" w:themeColor="text1"/>
          <w:szCs w:val="28"/>
        </w:rPr>
        <w:t>.20</w:t>
      </w:r>
      <w:r w:rsidR="001F54D5">
        <w:rPr>
          <w:bCs/>
          <w:color w:val="000000" w:themeColor="text1"/>
          <w:szCs w:val="28"/>
        </w:rPr>
        <w:t>20</w:t>
      </w:r>
      <w:r w:rsidR="001E0F25" w:rsidRPr="006B2553">
        <w:rPr>
          <w:bCs/>
          <w:color w:val="000000" w:themeColor="text1"/>
          <w:szCs w:val="28"/>
        </w:rPr>
        <w:t xml:space="preserve">» изложить в новой редакции согласно приложению </w:t>
      </w:r>
      <w:r w:rsidR="001E0F25" w:rsidRPr="006B2553">
        <w:rPr>
          <w:bCs/>
          <w:szCs w:val="28"/>
        </w:rPr>
        <w:t xml:space="preserve">№ </w:t>
      </w:r>
      <w:r w:rsidR="00123248" w:rsidRPr="006B2553">
        <w:rPr>
          <w:bCs/>
          <w:szCs w:val="28"/>
        </w:rPr>
        <w:t>2</w:t>
      </w:r>
      <w:r w:rsidR="001E0F25" w:rsidRPr="006B2553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79A1B165" w14:textId="327AA0BB" w:rsidR="001E0F25" w:rsidRDefault="009A708B" w:rsidP="001E0F25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1F54D5">
        <w:rPr>
          <w:bCs/>
          <w:color w:val="000000" w:themeColor="text1"/>
          <w:szCs w:val="28"/>
        </w:rPr>
        <w:t>2.9</w:t>
      </w:r>
      <w:r w:rsidR="001E0F25" w:rsidRPr="006B2553">
        <w:rPr>
          <w:bCs/>
          <w:color w:val="000000" w:themeColor="text1"/>
          <w:szCs w:val="28"/>
        </w:rPr>
        <w:t xml:space="preserve">. </w:t>
      </w:r>
      <w:r w:rsidR="001F54D5">
        <w:rPr>
          <w:bCs/>
          <w:color w:val="000000" w:themeColor="text1"/>
          <w:szCs w:val="28"/>
        </w:rPr>
        <w:t xml:space="preserve">В </w:t>
      </w:r>
      <w:proofErr w:type="gramStart"/>
      <w:r w:rsidR="001F54D5">
        <w:rPr>
          <w:bCs/>
          <w:color w:val="000000" w:themeColor="text1"/>
          <w:szCs w:val="28"/>
        </w:rPr>
        <w:t>наименовании</w:t>
      </w:r>
      <w:proofErr w:type="gramEnd"/>
      <w:r w:rsidR="001F54D5">
        <w:rPr>
          <w:bCs/>
          <w:color w:val="000000" w:themeColor="text1"/>
          <w:szCs w:val="28"/>
        </w:rPr>
        <w:t xml:space="preserve"> п</w:t>
      </w:r>
      <w:r w:rsidR="00B86AE8" w:rsidRPr="006B2553">
        <w:rPr>
          <w:bCs/>
          <w:color w:val="000000" w:themeColor="text1"/>
          <w:szCs w:val="28"/>
        </w:rPr>
        <w:t>риложени</w:t>
      </w:r>
      <w:r w:rsidR="001F54D5">
        <w:rPr>
          <w:bCs/>
          <w:color w:val="000000" w:themeColor="text1"/>
          <w:szCs w:val="28"/>
        </w:rPr>
        <w:t>я</w:t>
      </w:r>
      <w:r w:rsidR="00B86AE8" w:rsidRPr="006B2553">
        <w:rPr>
          <w:bCs/>
          <w:color w:val="000000" w:themeColor="text1"/>
          <w:szCs w:val="28"/>
        </w:rPr>
        <w:t xml:space="preserve"> № 3 к подпрограмме </w:t>
      </w:r>
      <w:r w:rsidR="001F54D5">
        <w:rPr>
          <w:bCs/>
          <w:color w:val="000000" w:themeColor="text1"/>
          <w:szCs w:val="28"/>
        </w:rPr>
        <w:t>дату</w:t>
      </w:r>
      <w:r w:rsidR="00B86AE8" w:rsidRPr="006B2553">
        <w:rPr>
          <w:bCs/>
          <w:color w:val="000000" w:themeColor="text1"/>
          <w:szCs w:val="28"/>
        </w:rPr>
        <w:t xml:space="preserve"> </w:t>
      </w:r>
      <w:r w:rsidR="001F54D5">
        <w:rPr>
          <w:bCs/>
          <w:color w:val="000000" w:themeColor="text1"/>
          <w:szCs w:val="28"/>
        </w:rPr>
        <w:t>«</w:t>
      </w:r>
      <w:r>
        <w:rPr>
          <w:bCs/>
          <w:color w:val="000000" w:themeColor="text1"/>
          <w:szCs w:val="28"/>
        </w:rPr>
        <w:t>01</w:t>
      </w:r>
      <w:r w:rsidR="00B86AE8" w:rsidRPr="006B2553">
        <w:rPr>
          <w:bCs/>
          <w:color w:val="000000" w:themeColor="text1"/>
          <w:szCs w:val="28"/>
        </w:rPr>
        <w:t>.</w:t>
      </w:r>
      <w:r w:rsidR="007D24A0" w:rsidRPr="006B2553">
        <w:rPr>
          <w:bCs/>
          <w:color w:val="000000" w:themeColor="text1"/>
          <w:szCs w:val="28"/>
        </w:rPr>
        <w:t>0</w:t>
      </w:r>
      <w:r>
        <w:rPr>
          <w:bCs/>
          <w:color w:val="000000" w:themeColor="text1"/>
          <w:szCs w:val="28"/>
        </w:rPr>
        <w:t>7</w:t>
      </w:r>
      <w:r w:rsidR="00B86AE8" w:rsidRPr="006B2553">
        <w:rPr>
          <w:bCs/>
          <w:color w:val="000000" w:themeColor="text1"/>
          <w:szCs w:val="28"/>
        </w:rPr>
        <w:t>.20</w:t>
      </w:r>
      <w:r w:rsidR="008007F4" w:rsidRPr="006B2553">
        <w:rPr>
          <w:bCs/>
          <w:color w:val="000000" w:themeColor="text1"/>
          <w:szCs w:val="28"/>
        </w:rPr>
        <w:t>20</w:t>
      </w:r>
      <w:r w:rsidR="00B86AE8" w:rsidRPr="006B2553">
        <w:rPr>
          <w:bCs/>
          <w:color w:val="000000" w:themeColor="text1"/>
          <w:szCs w:val="28"/>
        </w:rPr>
        <w:t xml:space="preserve">» </w:t>
      </w:r>
      <w:r w:rsidR="001F54D5">
        <w:rPr>
          <w:bCs/>
          <w:color w:val="000000" w:themeColor="text1"/>
          <w:szCs w:val="28"/>
        </w:rPr>
        <w:t>заменить датой «01.10.2020»</w:t>
      </w:r>
      <w:r w:rsidR="00B86AE8" w:rsidRPr="006B2553">
        <w:rPr>
          <w:bCs/>
          <w:color w:val="000000" w:themeColor="text1"/>
          <w:szCs w:val="28"/>
        </w:rPr>
        <w:t>.</w:t>
      </w:r>
    </w:p>
    <w:p w14:paraId="2574F7AF" w14:textId="2ED8E99D" w:rsidR="001F54D5" w:rsidRDefault="001F54D5" w:rsidP="001E0F25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1.2.10. Приложение № 4 к подпрограмме «Перечень аварийных домов, подлежащих сносу в 2018-2024 годах» изложить в новой редакции согласно приложению № 3 к настоящему постановлению.</w:t>
      </w:r>
    </w:p>
    <w:p w14:paraId="061D468B" w14:textId="530F429C" w:rsidR="00A00B09" w:rsidRDefault="00A00B09" w:rsidP="001E0F25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1.2.11. Дополнить подпрограмму приложением № 5 «Перечень аварийных многоквартирных домов, расположенных в границах одного элемента планировочной структуры (квартала, микрорайона) или смежных элементов планировочной структуры» согласно приложению № 4 к настоящему постановлению.</w:t>
      </w:r>
    </w:p>
    <w:p w14:paraId="3BF7EA3D" w14:textId="7A554CD9" w:rsidR="00A00B09" w:rsidRDefault="00A00B09" w:rsidP="00A00B09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Pr="00FD5ACA">
        <w:rPr>
          <w:color w:val="000000" w:themeColor="text1"/>
        </w:rPr>
        <w:t xml:space="preserve">. В </w:t>
      </w:r>
      <w:proofErr w:type="gramStart"/>
      <w:r w:rsidRPr="00FD5ACA">
        <w:rPr>
          <w:color w:val="000000" w:themeColor="text1"/>
        </w:rPr>
        <w:t>разделе</w:t>
      </w:r>
      <w:proofErr w:type="gramEnd"/>
      <w:r w:rsidRPr="00FD5AC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V</w:t>
      </w:r>
      <w:r w:rsidRPr="00FD5ACA">
        <w:rPr>
          <w:color w:val="000000" w:themeColor="text1"/>
          <w:lang w:val="en-US"/>
        </w:rPr>
        <w:t>I</w:t>
      </w:r>
      <w:r w:rsidRPr="00FD5ACA">
        <w:rPr>
          <w:color w:val="000000" w:themeColor="text1"/>
        </w:rPr>
        <w:t xml:space="preserve"> «Подпрограмма «</w:t>
      </w:r>
      <w:r>
        <w:rPr>
          <w:color w:val="000000" w:themeColor="text1"/>
        </w:rPr>
        <w:t>Создание условий для эффективного использования муниципального имущества города Мурманска</w:t>
      </w:r>
      <w:r w:rsidRPr="00FD5ACA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                         на </w:t>
      </w:r>
      <w:r w:rsidRPr="00FD5ACA">
        <w:rPr>
          <w:color w:val="000000" w:themeColor="text1"/>
        </w:rPr>
        <w:t>2018</w:t>
      </w:r>
      <w:r>
        <w:rPr>
          <w:color w:val="000000" w:themeColor="text1"/>
        </w:rPr>
        <w:t>-</w:t>
      </w:r>
      <w:r w:rsidRPr="00FD5ACA">
        <w:rPr>
          <w:color w:val="000000" w:themeColor="text1"/>
        </w:rPr>
        <w:t>2024 годы»:</w:t>
      </w:r>
    </w:p>
    <w:p w14:paraId="30E1ECE5" w14:textId="78CA144A" w:rsidR="00A00B09" w:rsidRDefault="00A00B09" w:rsidP="00A0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>3</w:t>
      </w:r>
      <w:r>
        <w:rPr>
          <w:color w:val="000000" w:themeColor="text1"/>
        </w:rPr>
        <w:t>.1. Строку «Финансовое обеспечение подпрограммы» изложить в следующей редакции:</w:t>
      </w:r>
    </w:p>
    <w:p w14:paraId="6649D2A6" w14:textId="77777777" w:rsidR="00A00B09" w:rsidRDefault="00A00B09" w:rsidP="00A0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800"/>
      </w:tblGrid>
      <w:tr w:rsidR="00A00B09" w14:paraId="773DAC5A" w14:textId="77777777" w:rsidTr="00811EDB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2C1" w14:textId="77777777" w:rsidR="00A00B09" w:rsidRDefault="00A00B09" w:rsidP="00811E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0E7A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>Всего по подпрограмме: 1 200 325,0 тыс. руб., в том числе:</w:t>
            </w:r>
          </w:p>
          <w:p w14:paraId="37C21625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>МБ: 1 200 325,0 тыс. руб., из них:</w:t>
            </w:r>
          </w:p>
          <w:p w14:paraId="2BD84948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 xml:space="preserve">2018 год – 189 485,0 тыс. руб.; </w:t>
            </w:r>
          </w:p>
          <w:p w14:paraId="23801FB5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 xml:space="preserve">2019 год – 158 499,4 тыс. руб.; </w:t>
            </w:r>
          </w:p>
          <w:p w14:paraId="054D2059" w14:textId="36A70BAA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 w:themeColor="text1"/>
                <w:sz w:val="24"/>
                <w:szCs w:val="24"/>
              </w:rPr>
              <w:t>259 209,8</w:t>
            </w:r>
            <w:r w:rsidRPr="00A15F15">
              <w:rPr>
                <w:color w:val="000000" w:themeColor="text1"/>
                <w:sz w:val="24"/>
                <w:szCs w:val="24"/>
              </w:rPr>
              <w:t xml:space="preserve"> тыс. руб.; </w:t>
            </w:r>
          </w:p>
          <w:p w14:paraId="7ADEB5A5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 xml:space="preserve">2021 год – 122 900,8 тыс. руб.; </w:t>
            </w:r>
          </w:p>
          <w:p w14:paraId="4CEB6770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 xml:space="preserve">2022 год – 121 816,7 тыс. руб.; </w:t>
            </w:r>
          </w:p>
          <w:p w14:paraId="7DEC0E1F" w14:textId="77777777" w:rsidR="002155E9" w:rsidRPr="00A15F15" w:rsidRDefault="002155E9" w:rsidP="002155E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 xml:space="preserve">2023 год – 184 493,5 тыс. руб.; </w:t>
            </w:r>
          </w:p>
          <w:p w14:paraId="5008A8B9" w14:textId="63E6C4AE" w:rsidR="00A00B09" w:rsidRDefault="002155E9" w:rsidP="002155E9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A15F15">
              <w:rPr>
                <w:color w:val="000000" w:themeColor="text1"/>
                <w:sz w:val="24"/>
                <w:szCs w:val="24"/>
              </w:rPr>
              <w:t>2024 год – 162 837,1 тыс. руб.</w:t>
            </w:r>
          </w:p>
        </w:tc>
      </w:tr>
    </w:tbl>
    <w:p w14:paraId="5BD95753" w14:textId="6FA41255" w:rsidR="00A00B09" w:rsidRDefault="002155E9" w:rsidP="001E0F25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».</w:t>
      </w:r>
    </w:p>
    <w:p w14:paraId="04603733" w14:textId="4968CFDF" w:rsidR="002155E9" w:rsidRPr="002155E9" w:rsidRDefault="002155E9" w:rsidP="001E0F25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1.3.2. В </w:t>
      </w:r>
      <w:proofErr w:type="gramStart"/>
      <w:r>
        <w:rPr>
          <w:bCs/>
          <w:color w:val="000000" w:themeColor="text1"/>
          <w:szCs w:val="28"/>
        </w:rPr>
        <w:t>пункте</w:t>
      </w:r>
      <w:proofErr w:type="gramEnd"/>
      <w:r>
        <w:rPr>
          <w:bCs/>
          <w:color w:val="000000" w:themeColor="text1"/>
          <w:szCs w:val="28"/>
        </w:rPr>
        <w:t xml:space="preserve"> 1.7 «Приобретение жилых помещений для отнесения их к специализированным жилым помещениям» приложения к подпрограмме «Перечень основных мероприятий на 2018-2024 годы» </w:t>
      </w:r>
      <w:r w:rsidRPr="002155E9">
        <w:rPr>
          <w:bCs/>
          <w:color w:val="000000" w:themeColor="text1"/>
          <w:szCs w:val="28"/>
        </w:rPr>
        <w:t>цифры «</w:t>
      </w:r>
      <w:r w:rsidRPr="002155E9">
        <w:rPr>
          <w:szCs w:val="28"/>
        </w:rPr>
        <w:t>126000,0</w:t>
      </w:r>
      <w:r w:rsidRPr="002155E9">
        <w:rPr>
          <w:szCs w:val="28"/>
        </w:rPr>
        <w:t>»</w:t>
      </w:r>
      <w:r>
        <w:rPr>
          <w:szCs w:val="28"/>
        </w:rPr>
        <w:t xml:space="preserve"> заменить цифрами «</w:t>
      </w:r>
      <w:r w:rsidRPr="002155E9">
        <w:rPr>
          <w:szCs w:val="28"/>
        </w:rPr>
        <w:t>124917,3</w:t>
      </w:r>
      <w:r>
        <w:rPr>
          <w:szCs w:val="28"/>
        </w:rPr>
        <w:t>».</w:t>
      </w:r>
    </w:p>
    <w:p w14:paraId="1604DB71" w14:textId="5792CC4F" w:rsidR="001E0F25" w:rsidRPr="006B2553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14:paraId="53634695" w14:textId="77777777" w:rsidR="001E0F25" w:rsidRPr="006B2553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6B2553">
        <w:rPr>
          <w:color w:val="000000" w:themeColor="text1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B2553">
        <w:rPr>
          <w:color w:val="000000" w:themeColor="text1"/>
          <w:szCs w:val="28"/>
        </w:rPr>
        <w:t>разместить</w:t>
      </w:r>
      <w:proofErr w:type="gramEnd"/>
      <w:r w:rsidRPr="006B2553">
        <w:rPr>
          <w:color w:val="000000" w:themeColor="text1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22979560" w14:textId="77777777" w:rsidR="001E0F25" w:rsidRPr="006B2553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2C4A5626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B2553">
        <w:rPr>
          <w:color w:val="000000" w:themeColor="text1"/>
          <w:szCs w:val="28"/>
        </w:rPr>
        <w:t>3. Редакции газеты «Вечерний Мурманск» (</w:t>
      </w:r>
      <w:proofErr w:type="gramStart"/>
      <w:r w:rsidRPr="006B2553">
        <w:rPr>
          <w:color w:val="000000" w:themeColor="text1"/>
          <w:szCs w:val="28"/>
        </w:rPr>
        <w:t>Хабаров</w:t>
      </w:r>
      <w:proofErr w:type="gramEnd"/>
      <w:r w:rsidRPr="006B2553">
        <w:rPr>
          <w:color w:val="000000" w:themeColor="text1"/>
          <w:szCs w:val="28"/>
        </w:rPr>
        <w:t xml:space="preserve"> В.А</w:t>
      </w:r>
      <w:r w:rsidRPr="00FD5ACA">
        <w:rPr>
          <w:color w:val="000000" w:themeColor="text1"/>
        </w:rPr>
        <w:t>.) опубликовать настоящее постановление с приложениями.</w:t>
      </w:r>
    </w:p>
    <w:p w14:paraId="3AD7B437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19163B2" w14:textId="6D86BBF2" w:rsidR="001E0F25" w:rsidRPr="00A66C8B" w:rsidRDefault="001E0F25" w:rsidP="001D5932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A66C8B">
        <w:rPr>
          <w:color w:val="000000" w:themeColor="text1"/>
          <w:spacing w:val="-4"/>
        </w:rPr>
        <w:t xml:space="preserve">4. Настоящее постановление вступает в силу со дня официального </w:t>
      </w:r>
      <w:r w:rsidRPr="00C62859">
        <w:rPr>
          <w:color w:val="000000" w:themeColor="text1"/>
          <w:spacing w:val="-4"/>
        </w:rPr>
        <w:t>опубликования.</w:t>
      </w:r>
    </w:p>
    <w:p w14:paraId="5105D6EF" w14:textId="77777777" w:rsidR="00BA5AFD" w:rsidRPr="00FD5ACA" w:rsidRDefault="00BA5AFD" w:rsidP="001D59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1AA79D5" w14:textId="77777777" w:rsidR="00683347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5ACA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FD5ACA">
        <w:rPr>
          <w:color w:val="000000" w:themeColor="text1"/>
        </w:rPr>
        <w:t>Синякаева</w:t>
      </w:r>
      <w:proofErr w:type="spellEnd"/>
      <w:r w:rsidRPr="00FD5ACA">
        <w:rPr>
          <w:color w:val="000000" w:themeColor="text1"/>
        </w:rPr>
        <w:t xml:space="preserve"> Р.Р</w:t>
      </w:r>
      <w:r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DBE9AA" w14:textId="77777777" w:rsidR="00736190" w:rsidRDefault="00736190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04E16DD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36190">
        <w:rPr>
          <w:rFonts w:eastAsia="Times New Roman"/>
          <w:b/>
          <w:szCs w:val="28"/>
          <w:lang w:eastAsia="ru-RU"/>
        </w:rPr>
        <w:t xml:space="preserve">                                             Е.В. Никора</w:t>
      </w:r>
      <w:permEnd w:id="1897362522"/>
    </w:p>
    <w:sectPr w:rsidR="00A502CA" w:rsidRPr="005D45D9" w:rsidSect="008C659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1F54D5" w:rsidRDefault="001F54D5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1F54D5" w:rsidRDefault="001F54D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1F54D5" w:rsidRDefault="001F54D5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1F54D5" w:rsidRDefault="001F54D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1F54D5" w:rsidRDefault="001F5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7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26C46"/>
    <w:rsid w:val="0003045D"/>
    <w:rsid w:val="00033A8D"/>
    <w:rsid w:val="000375F5"/>
    <w:rsid w:val="000408EA"/>
    <w:rsid w:val="00042A75"/>
    <w:rsid w:val="000542D1"/>
    <w:rsid w:val="0005696C"/>
    <w:rsid w:val="00086952"/>
    <w:rsid w:val="00095997"/>
    <w:rsid w:val="000A33F9"/>
    <w:rsid w:val="000A3E16"/>
    <w:rsid w:val="000B2C29"/>
    <w:rsid w:val="000B33BB"/>
    <w:rsid w:val="000C0231"/>
    <w:rsid w:val="000E33DC"/>
    <w:rsid w:val="00102425"/>
    <w:rsid w:val="0011029B"/>
    <w:rsid w:val="00122123"/>
    <w:rsid w:val="00123248"/>
    <w:rsid w:val="00124C87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456D"/>
    <w:rsid w:val="00195FE1"/>
    <w:rsid w:val="00197FD2"/>
    <w:rsid w:val="001A3B50"/>
    <w:rsid w:val="001A7593"/>
    <w:rsid w:val="001B1A9D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10C4A"/>
    <w:rsid w:val="00212D8C"/>
    <w:rsid w:val="002155E9"/>
    <w:rsid w:val="00217FB9"/>
    <w:rsid w:val="00232FBF"/>
    <w:rsid w:val="00240185"/>
    <w:rsid w:val="0025326D"/>
    <w:rsid w:val="002568C8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31FD8"/>
    <w:rsid w:val="0043566C"/>
    <w:rsid w:val="00436267"/>
    <w:rsid w:val="004475B6"/>
    <w:rsid w:val="00447DE4"/>
    <w:rsid w:val="00451559"/>
    <w:rsid w:val="00455A9C"/>
    <w:rsid w:val="0047067D"/>
    <w:rsid w:val="0047074B"/>
    <w:rsid w:val="004719C4"/>
    <w:rsid w:val="00476034"/>
    <w:rsid w:val="0047761A"/>
    <w:rsid w:val="004A12C7"/>
    <w:rsid w:val="004A157E"/>
    <w:rsid w:val="004A7A1D"/>
    <w:rsid w:val="004B58A7"/>
    <w:rsid w:val="004B6379"/>
    <w:rsid w:val="004C18C0"/>
    <w:rsid w:val="004D149E"/>
    <w:rsid w:val="004E0C52"/>
    <w:rsid w:val="004E0F90"/>
    <w:rsid w:val="004E1C92"/>
    <w:rsid w:val="004E6480"/>
    <w:rsid w:val="004F620A"/>
    <w:rsid w:val="0050684A"/>
    <w:rsid w:val="00510AB7"/>
    <w:rsid w:val="00512639"/>
    <w:rsid w:val="005157F0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C4A19"/>
    <w:rsid w:val="005D0823"/>
    <w:rsid w:val="005D45D9"/>
    <w:rsid w:val="005E11BD"/>
    <w:rsid w:val="005E1BDD"/>
    <w:rsid w:val="005E592F"/>
    <w:rsid w:val="005F3C94"/>
    <w:rsid w:val="0060075B"/>
    <w:rsid w:val="00600C9F"/>
    <w:rsid w:val="006056F3"/>
    <w:rsid w:val="006130AB"/>
    <w:rsid w:val="006155F6"/>
    <w:rsid w:val="0061778C"/>
    <w:rsid w:val="00630398"/>
    <w:rsid w:val="00634731"/>
    <w:rsid w:val="006348C4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58E"/>
    <w:rsid w:val="006B08F1"/>
    <w:rsid w:val="006B1E7D"/>
    <w:rsid w:val="006B2553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3616"/>
    <w:rsid w:val="007254EE"/>
    <w:rsid w:val="00726D74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50D0"/>
    <w:rsid w:val="007D73A4"/>
    <w:rsid w:val="007E0E1A"/>
    <w:rsid w:val="007F37D8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52F0F"/>
    <w:rsid w:val="00863CDE"/>
    <w:rsid w:val="00866DE7"/>
    <w:rsid w:val="008676D4"/>
    <w:rsid w:val="0087017C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1454D"/>
    <w:rsid w:val="00920FF3"/>
    <w:rsid w:val="00922A4B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A708B"/>
    <w:rsid w:val="009B0BB2"/>
    <w:rsid w:val="009B366A"/>
    <w:rsid w:val="009C1832"/>
    <w:rsid w:val="009C1A69"/>
    <w:rsid w:val="009D191E"/>
    <w:rsid w:val="009D5CCF"/>
    <w:rsid w:val="009D6B25"/>
    <w:rsid w:val="009D6F9D"/>
    <w:rsid w:val="009E772D"/>
    <w:rsid w:val="009F2514"/>
    <w:rsid w:val="009F7C08"/>
    <w:rsid w:val="00A00B09"/>
    <w:rsid w:val="00A0484D"/>
    <w:rsid w:val="00A04920"/>
    <w:rsid w:val="00A11ED6"/>
    <w:rsid w:val="00A126AD"/>
    <w:rsid w:val="00A144BC"/>
    <w:rsid w:val="00A27CB6"/>
    <w:rsid w:val="00A33EA6"/>
    <w:rsid w:val="00A3440E"/>
    <w:rsid w:val="00A425FC"/>
    <w:rsid w:val="00A465D9"/>
    <w:rsid w:val="00A502CA"/>
    <w:rsid w:val="00A53563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B5986"/>
    <w:rsid w:val="00AC03B6"/>
    <w:rsid w:val="00AC1BC4"/>
    <w:rsid w:val="00AC6D9E"/>
    <w:rsid w:val="00AD3188"/>
    <w:rsid w:val="00AD46A6"/>
    <w:rsid w:val="00AD498F"/>
    <w:rsid w:val="00AD4D52"/>
    <w:rsid w:val="00AE182E"/>
    <w:rsid w:val="00AE30B8"/>
    <w:rsid w:val="00AE4143"/>
    <w:rsid w:val="00AF28E8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0CCD"/>
    <w:rsid w:val="00B63303"/>
    <w:rsid w:val="00B638BB"/>
    <w:rsid w:val="00B640FF"/>
    <w:rsid w:val="00B73FA0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C3122"/>
    <w:rsid w:val="00BC53F2"/>
    <w:rsid w:val="00BC60AE"/>
    <w:rsid w:val="00BD713A"/>
    <w:rsid w:val="00BD7649"/>
    <w:rsid w:val="00BE3E0F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3615"/>
    <w:rsid w:val="00C23703"/>
    <w:rsid w:val="00C328CB"/>
    <w:rsid w:val="00C33E27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69B9"/>
    <w:rsid w:val="00C8075D"/>
    <w:rsid w:val="00C86CD8"/>
    <w:rsid w:val="00C935C5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57CD"/>
    <w:rsid w:val="00D02B37"/>
    <w:rsid w:val="00D074C1"/>
    <w:rsid w:val="00D13BFC"/>
    <w:rsid w:val="00D14AF4"/>
    <w:rsid w:val="00D14CFD"/>
    <w:rsid w:val="00D547A2"/>
    <w:rsid w:val="00D5630D"/>
    <w:rsid w:val="00D56734"/>
    <w:rsid w:val="00D64B24"/>
    <w:rsid w:val="00D663BB"/>
    <w:rsid w:val="00D6755B"/>
    <w:rsid w:val="00D77F60"/>
    <w:rsid w:val="00D82505"/>
    <w:rsid w:val="00D85009"/>
    <w:rsid w:val="00D852BA"/>
    <w:rsid w:val="00D930A3"/>
    <w:rsid w:val="00D9477D"/>
    <w:rsid w:val="00D974B6"/>
    <w:rsid w:val="00DA0266"/>
    <w:rsid w:val="00DA0A68"/>
    <w:rsid w:val="00DA2DFE"/>
    <w:rsid w:val="00DA5350"/>
    <w:rsid w:val="00DA6503"/>
    <w:rsid w:val="00DB7BF1"/>
    <w:rsid w:val="00DC0148"/>
    <w:rsid w:val="00DC2B6B"/>
    <w:rsid w:val="00DD0D57"/>
    <w:rsid w:val="00DD3351"/>
    <w:rsid w:val="00DE6B09"/>
    <w:rsid w:val="00E10923"/>
    <w:rsid w:val="00E236B0"/>
    <w:rsid w:val="00E30769"/>
    <w:rsid w:val="00E30D47"/>
    <w:rsid w:val="00E31BAA"/>
    <w:rsid w:val="00E32192"/>
    <w:rsid w:val="00E403E4"/>
    <w:rsid w:val="00E44CAB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F058A"/>
    <w:rsid w:val="00EF65D8"/>
    <w:rsid w:val="00F01DD0"/>
    <w:rsid w:val="00F13B69"/>
    <w:rsid w:val="00F239B5"/>
    <w:rsid w:val="00F303AC"/>
    <w:rsid w:val="00F42B9A"/>
    <w:rsid w:val="00F47041"/>
    <w:rsid w:val="00F63C4A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9692F"/>
    <w:rsid w:val="001C32C4"/>
    <w:rsid w:val="001F2E58"/>
    <w:rsid w:val="0025531B"/>
    <w:rsid w:val="00370BE2"/>
    <w:rsid w:val="004A30B6"/>
    <w:rsid w:val="004F4620"/>
    <w:rsid w:val="00513879"/>
    <w:rsid w:val="0053061A"/>
    <w:rsid w:val="00542249"/>
    <w:rsid w:val="00550615"/>
    <w:rsid w:val="006B5501"/>
    <w:rsid w:val="0074271C"/>
    <w:rsid w:val="0083717E"/>
    <w:rsid w:val="00862055"/>
    <w:rsid w:val="00890B0A"/>
    <w:rsid w:val="00926903"/>
    <w:rsid w:val="0094268B"/>
    <w:rsid w:val="00AC1843"/>
    <w:rsid w:val="00BE2718"/>
    <w:rsid w:val="00CB0B40"/>
    <w:rsid w:val="00CD7115"/>
    <w:rsid w:val="00D92D67"/>
    <w:rsid w:val="00E02C58"/>
    <w:rsid w:val="00E10DCB"/>
    <w:rsid w:val="00EC16D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7406-AB14-4EB9-AB32-40B626B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11</Pages>
  <Words>3471</Words>
  <Characters>19786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Переверза Оксана Вадимовна</cp:lastModifiedBy>
  <cp:revision>27</cp:revision>
  <cp:lastPrinted>2020-07-27T09:09:00Z</cp:lastPrinted>
  <dcterms:created xsi:type="dcterms:W3CDTF">2018-12-24T13:02:00Z</dcterms:created>
  <dcterms:modified xsi:type="dcterms:W3CDTF">2020-10-12T14:54:00Z</dcterms:modified>
</cp:coreProperties>
</file>