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28158B">
        <w:rPr>
          <w:sz w:val="26"/>
          <w:szCs w:val="26"/>
        </w:rPr>
        <w:t>,</w:t>
      </w:r>
      <w:r w:rsidR="007C5391" w:rsidRPr="007C5391">
        <w:rPr>
          <w:sz w:val="26"/>
          <w:szCs w:val="26"/>
        </w:rPr>
        <w:t>П</w:t>
      </w:r>
      <w:proofErr w:type="gramEnd"/>
      <w:r w:rsidR="007C5391" w:rsidRPr="007C5391">
        <w:rPr>
          <w:sz w:val="26"/>
          <w:szCs w:val="26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7C5391" w:rsidRPr="007C5391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202074">
        <w:rPr>
          <w:sz w:val="26"/>
          <w:szCs w:val="26"/>
        </w:rPr>
        <w:t>20</w:t>
      </w:r>
      <w:r w:rsidR="007C5391" w:rsidRPr="007C5391">
        <w:rPr>
          <w:sz w:val="26"/>
          <w:szCs w:val="26"/>
        </w:rPr>
        <w:t>-202</w:t>
      </w:r>
      <w:r w:rsidR="00202074">
        <w:rPr>
          <w:sz w:val="26"/>
          <w:szCs w:val="26"/>
        </w:rPr>
        <w:t>2</w:t>
      </w:r>
      <w:r w:rsidR="007C5391" w:rsidRPr="007C5391">
        <w:rPr>
          <w:sz w:val="26"/>
          <w:szCs w:val="26"/>
        </w:rPr>
        <w:t xml:space="preserve"> годы, утвержденным решением Совета депутатов города Мурманска от 28.11.2019 № 5-71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</w:t>
      </w:r>
      <w:r w:rsidR="00B71109">
        <w:rPr>
          <w:sz w:val="26"/>
          <w:szCs w:val="26"/>
        </w:rPr>
        <w:t xml:space="preserve"> 24.07.2020 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>№</w:t>
      </w:r>
      <w:r w:rsidR="00B71109">
        <w:rPr>
          <w:sz w:val="26"/>
          <w:szCs w:val="26"/>
        </w:rPr>
        <w:t xml:space="preserve"> 83, 84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5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="00B71109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B71109">
        <w:rPr>
          <w:sz w:val="26"/>
          <w:szCs w:val="26"/>
        </w:rPr>
        <w:t>2</w:t>
      </w:r>
      <w:r w:rsidR="00785606">
        <w:rPr>
          <w:b/>
          <w:sz w:val="26"/>
          <w:szCs w:val="26"/>
        </w:rPr>
        <w:t>8.08</w:t>
      </w:r>
      <w:r w:rsidR="008A793F" w:rsidRPr="0016292A">
        <w:rPr>
          <w:b/>
          <w:sz w:val="26"/>
          <w:szCs w:val="26"/>
        </w:rPr>
        <w:t>.2020</w:t>
      </w:r>
      <w:r w:rsidR="00B71109">
        <w:rPr>
          <w:b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</w:t>
      </w:r>
      <w:r w:rsidR="00B71109">
        <w:rPr>
          <w:sz w:val="26"/>
          <w:szCs w:val="26"/>
        </w:rPr>
        <w:t xml:space="preserve">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874078" w:rsidRPr="00874078" w:rsidRDefault="00874078" w:rsidP="00874078">
      <w:pPr>
        <w:spacing w:before="60" w:after="60"/>
        <w:ind w:firstLine="567"/>
        <w:jc w:val="both"/>
        <w:rPr>
          <w:b/>
          <w:sz w:val="26"/>
          <w:szCs w:val="26"/>
        </w:rPr>
      </w:pPr>
      <w:r w:rsidRPr="00874078">
        <w:rPr>
          <w:b/>
          <w:sz w:val="26"/>
          <w:szCs w:val="26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276"/>
        <w:gridCol w:w="2410"/>
        <w:gridCol w:w="1984"/>
        <w:gridCol w:w="1927"/>
      </w:tblGrid>
      <w:tr w:rsidR="00874078" w:rsidRPr="00874078" w:rsidTr="006D1042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Адрес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(местоположение)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 xml:space="preserve">Площадь 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7407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874078" w:rsidRPr="00874078" w:rsidRDefault="00874078" w:rsidP="00874078">
            <w:pPr>
              <w:jc w:val="center"/>
              <w:rPr>
                <w:b/>
                <w:sz w:val="20"/>
              </w:rPr>
            </w:pPr>
            <w:r w:rsidRPr="0087407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74078" w:rsidRPr="00874078" w:rsidTr="006D1042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Вид права</w:t>
            </w:r>
          </w:p>
        </w:tc>
      </w:tr>
      <w:tr w:rsidR="00874078" w:rsidRPr="00874078" w:rsidTr="006D1042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74078">
              <w:t>город Мурманск, проезд Капитана Тарана, дом 3</w:t>
            </w:r>
          </w:p>
        </w:tc>
        <w:tc>
          <w:tcPr>
            <w:tcW w:w="1276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078">
              <w:t xml:space="preserve">289,4 </w:t>
            </w:r>
            <w:r w:rsidRPr="00874078">
              <w:rPr>
                <w:sz w:val="20"/>
                <w:szCs w:val="20"/>
              </w:rPr>
              <w:t>кроме того пристройка</w:t>
            </w:r>
            <w:r w:rsidRPr="00874078">
              <w:t xml:space="preserve"> 5,3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74078" w:rsidRPr="00874078" w:rsidRDefault="00874078" w:rsidP="00874078">
            <w:pPr>
              <w:jc w:val="center"/>
              <w:rPr>
                <w:snapToGrid w:val="0"/>
              </w:rPr>
            </w:pPr>
            <w:r w:rsidRPr="00874078">
              <w:rPr>
                <w:snapToGrid w:val="0"/>
              </w:rPr>
              <w:t>51:20:0002071:1841</w:t>
            </w:r>
          </w:p>
          <w:p w:rsidR="00874078" w:rsidRPr="00874078" w:rsidRDefault="00874078" w:rsidP="00874078">
            <w:pPr>
              <w:jc w:val="center"/>
              <w:rPr>
                <w:snapToGrid w:val="0"/>
              </w:rPr>
            </w:pPr>
            <w:r w:rsidRPr="00874078">
              <w:rPr>
                <w:snapToGrid w:val="0"/>
              </w:rPr>
              <w:t>А/цоколь/1а</w:t>
            </w:r>
            <w:proofErr w:type="gramStart"/>
            <w:r w:rsidRPr="00874078">
              <w:rPr>
                <w:snapToGrid w:val="0"/>
              </w:rPr>
              <w:t>,Б</w:t>
            </w:r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078">
              <w:rPr>
                <w:bCs/>
              </w:rPr>
              <w:t>Нежилое помещение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078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0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74078" w:rsidRPr="00874078" w:rsidTr="006D1042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874078" w:rsidRPr="00874078" w:rsidRDefault="00874078" w:rsidP="008740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4078" w:rsidRPr="00874078" w:rsidRDefault="00874078" w:rsidP="0087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74078" w:rsidRPr="00874078" w:rsidRDefault="00874078" w:rsidP="008740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74078" w:rsidRPr="00874078" w:rsidRDefault="00874078" w:rsidP="008740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078">
              <w:rPr>
                <w:sz w:val="20"/>
                <w:szCs w:val="20"/>
              </w:rPr>
              <w:t>Собственность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74078">
              <w:rPr>
                <w:sz w:val="22"/>
                <w:szCs w:val="22"/>
              </w:rPr>
              <w:t>нет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2211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74078">
              <w:rPr>
                <w:b/>
              </w:rPr>
              <w:t>1 283 000,00 рублей (с учетом НДС)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2211" w:type="dxa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128 300,00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874078" w:rsidRPr="00874078" w:rsidTr="0087407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641 500,00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2211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74078">
              <w:rPr>
                <w:b/>
              </w:rPr>
              <w:t>64 150,00 рублей.</w:t>
            </w:r>
          </w:p>
        </w:tc>
      </w:tr>
      <w:tr w:rsidR="00874078" w:rsidRPr="00874078" w:rsidTr="006D1042">
        <w:trPr>
          <w:trHeight w:val="169"/>
          <w:jc w:val="center"/>
        </w:trPr>
        <w:tc>
          <w:tcPr>
            <w:tcW w:w="2211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74078">
              <w:rPr>
                <w:b/>
              </w:rPr>
              <w:t>256 600,00 рублей</w:t>
            </w:r>
          </w:p>
        </w:tc>
      </w:tr>
    </w:tbl>
    <w:p w:rsidR="00874078" w:rsidRPr="00874078" w:rsidRDefault="00874078" w:rsidP="00874078">
      <w:pPr>
        <w:spacing w:before="60" w:after="60"/>
        <w:ind w:firstLine="567"/>
        <w:jc w:val="both"/>
        <w:rPr>
          <w:b/>
          <w:sz w:val="26"/>
          <w:szCs w:val="26"/>
        </w:rPr>
      </w:pPr>
      <w:r w:rsidRPr="00874078">
        <w:rPr>
          <w:b/>
          <w:sz w:val="26"/>
          <w:szCs w:val="26"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17"/>
        <w:gridCol w:w="2552"/>
        <w:gridCol w:w="1842"/>
        <w:gridCol w:w="1927"/>
      </w:tblGrid>
      <w:tr w:rsidR="00874078" w:rsidRPr="00874078" w:rsidTr="006D1042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Адрес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(местоположение)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 xml:space="preserve">Площадь 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74078" w:rsidRPr="00874078" w:rsidRDefault="00874078" w:rsidP="00874078">
            <w:pPr>
              <w:jc w:val="center"/>
              <w:rPr>
                <w:b/>
                <w:sz w:val="20"/>
              </w:rPr>
            </w:pPr>
            <w:r w:rsidRPr="0087407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74078" w:rsidRPr="00874078" w:rsidTr="006D1042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4078">
              <w:rPr>
                <w:b/>
                <w:sz w:val="20"/>
                <w:szCs w:val="20"/>
              </w:rPr>
              <w:t>Вид права</w:t>
            </w:r>
          </w:p>
        </w:tc>
      </w:tr>
      <w:tr w:rsidR="00874078" w:rsidRPr="00874078" w:rsidTr="006D1042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874078" w:rsidRPr="00874078" w:rsidRDefault="00874078" w:rsidP="008740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74078">
              <w:t xml:space="preserve">город Мурманск, улица Скальная, </w:t>
            </w:r>
            <w:r w:rsidRPr="00874078">
              <w:br/>
              <w:t>дом 23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078">
              <w:t>185,8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874078" w:rsidRPr="00874078" w:rsidRDefault="00874078" w:rsidP="00874078">
            <w:pPr>
              <w:jc w:val="center"/>
              <w:rPr>
                <w:snapToGrid w:val="0"/>
              </w:rPr>
            </w:pPr>
            <w:r w:rsidRPr="00874078">
              <w:rPr>
                <w:snapToGrid w:val="0"/>
              </w:rPr>
              <w:t>51:20:0002403:2216</w:t>
            </w:r>
          </w:p>
          <w:p w:rsidR="00874078" w:rsidRPr="00874078" w:rsidRDefault="00874078" w:rsidP="00874078">
            <w:pPr>
              <w:jc w:val="center"/>
              <w:rPr>
                <w:snapToGrid w:val="0"/>
              </w:rPr>
            </w:pPr>
            <w:r w:rsidRPr="00874078">
              <w:rPr>
                <w:snapToGrid w:val="0"/>
              </w:rPr>
              <w:t>А/подвал/</w:t>
            </w:r>
            <w:r w:rsidRPr="00874078">
              <w:rPr>
                <w:snapToGrid w:val="0"/>
                <w:lang w:val="en-US"/>
              </w:rPr>
              <w:t>X</w:t>
            </w:r>
            <w:r w:rsidRPr="00874078">
              <w:rPr>
                <w:snapToGrid w:val="0"/>
              </w:rPr>
              <w:t>(1-9)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078">
              <w:rPr>
                <w:bCs/>
              </w:rPr>
              <w:t>Нежилое помещение</w:t>
            </w:r>
          </w:p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078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07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74078" w:rsidRPr="00874078" w:rsidTr="006D1042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874078" w:rsidRPr="00874078" w:rsidRDefault="00874078" w:rsidP="008740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74078" w:rsidRPr="00874078" w:rsidRDefault="00874078" w:rsidP="0087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874078" w:rsidRPr="00874078" w:rsidRDefault="00874078" w:rsidP="0087407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74078" w:rsidRPr="00874078" w:rsidRDefault="00874078" w:rsidP="008740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078">
              <w:rPr>
                <w:sz w:val="20"/>
                <w:szCs w:val="20"/>
              </w:rPr>
              <w:t>Собственность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74078">
              <w:rPr>
                <w:sz w:val="22"/>
                <w:szCs w:val="22"/>
              </w:rPr>
              <w:t>нет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2070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74078">
              <w:rPr>
                <w:b/>
              </w:rPr>
              <w:t>735 000,00 рублей (с учетом НДС)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2070" w:type="dxa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4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73 500,00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874078" w:rsidRPr="00874078" w:rsidTr="0087407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874078" w:rsidRPr="00B06B3B" w:rsidRDefault="00874078" w:rsidP="006D104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367 500,00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874078" w:rsidRPr="00874078" w:rsidTr="006D1042">
        <w:trPr>
          <w:trHeight w:val="209"/>
          <w:jc w:val="center"/>
        </w:trPr>
        <w:tc>
          <w:tcPr>
            <w:tcW w:w="2070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74078">
              <w:rPr>
                <w:b/>
              </w:rPr>
              <w:t>36 750,00 рублей.</w:t>
            </w:r>
          </w:p>
        </w:tc>
      </w:tr>
      <w:tr w:rsidR="00874078" w:rsidRPr="00874078" w:rsidTr="006D1042">
        <w:trPr>
          <w:trHeight w:val="169"/>
          <w:jc w:val="center"/>
        </w:trPr>
        <w:tc>
          <w:tcPr>
            <w:tcW w:w="2070" w:type="dxa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07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874078" w:rsidRPr="00874078" w:rsidRDefault="00874078" w:rsidP="008740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74078">
              <w:rPr>
                <w:b/>
              </w:rPr>
              <w:t>147 000,00 рублей</w:t>
            </w:r>
          </w:p>
        </w:tc>
      </w:tr>
    </w:tbl>
    <w:p w:rsidR="00B06B3B" w:rsidRPr="00C908F8" w:rsidRDefault="00B06B3B" w:rsidP="00C908F8">
      <w:pPr>
        <w:spacing w:before="60"/>
        <w:ind w:firstLine="567"/>
        <w:jc w:val="both"/>
        <w:rPr>
          <w:b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продажа в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lastRenderedPageBreak/>
        <w:t>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hyperlink r:id="rId6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590472">
          <w:rPr>
            <w:rStyle w:val="a7"/>
            <w:sz w:val="26"/>
            <w:szCs w:val="26"/>
          </w:rPr>
          <w:t>http://utp.sberbank-ast.ru</w:t>
        </w:r>
      </w:hyperlink>
      <w:r w:rsidRPr="00327079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 w:rsidR="00B71109">
        <w:rPr>
          <w:b/>
          <w:snapToGrid w:val="0"/>
          <w:sz w:val="26"/>
          <w:szCs w:val="26"/>
        </w:rPr>
        <w:t>00</w:t>
      </w:r>
      <w:r>
        <w:rPr>
          <w:b/>
          <w:snapToGrid w:val="0"/>
          <w:sz w:val="26"/>
          <w:szCs w:val="26"/>
        </w:rPr>
        <w:t>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874078">
        <w:rPr>
          <w:b/>
          <w:snapToGrid w:val="0"/>
          <w:sz w:val="26"/>
          <w:szCs w:val="26"/>
        </w:rPr>
        <w:t>2</w:t>
      </w:r>
      <w:r w:rsidR="00B71109">
        <w:rPr>
          <w:b/>
          <w:snapToGrid w:val="0"/>
          <w:sz w:val="26"/>
          <w:szCs w:val="26"/>
        </w:rPr>
        <w:t>9</w:t>
      </w:r>
      <w:r w:rsidR="00785606">
        <w:rPr>
          <w:b/>
          <w:snapToGrid w:val="0"/>
          <w:sz w:val="26"/>
          <w:szCs w:val="26"/>
        </w:rPr>
        <w:t>.07.</w:t>
      </w:r>
      <w:r w:rsidR="006D007D">
        <w:rPr>
          <w:b/>
          <w:snapToGrid w:val="0"/>
          <w:sz w:val="26"/>
          <w:szCs w:val="26"/>
        </w:rPr>
        <w:t>2020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874078">
        <w:rPr>
          <w:b/>
          <w:snapToGrid w:val="0"/>
          <w:sz w:val="26"/>
          <w:szCs w:val="26"/>
        </w:rPr>
        <w:t>2</w:t>
      </w:r>
      <w:r w:rsidR="00B71109">
        <w:rPr>
          <w:b/>
          <w:snapToGrid w:val="0"/>
          <w:sz w:val="26"/>
          <w:szCs w:val="26"/>
        </w:rPr>
        <w:t>4</w:t>
      </w:r>
      <w:r w:rsidR="00B644F0">
        <w:rPr>
          <w:b/>
          <w:snapToGrid w:val="0"/>
          <w:sz w:val="26"/>
          <w:szCs w:val="26"/>
        </w:rPr>
        <w:t>.08.</w:t>
      </w:r>
      <w:r w:rsidRPr="00612D2A">
        <w:rPr>
          <w:b/>
          <w:snapToGrid w:val="0"/>
          <w:sz w:val="26"/>
          <w:szCs w:val="26"/>
        </w:rPr>
        <w:t xml:space="preserve"> 20</w:t>
      </w:r>
      <w:r w:rsidR="006D007D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874078">
        <w:rPr>
          <w:b/>
          <w:snapToGrid w:val="0"/>
          <w:sz w:val="26"/>
          <w:szCs w:val="26"/>
        </w:rPr>
        <w:t>2</w:t>
      </w:r>
      <w:r w:rsidR="00B71109">
        <w:rPr>
          <w:b/>
          <w:snapToGrid w:val="0"/>
          <w:sz w:val="26"/>
          <w:szCs w:val="26"/>
        </w:rPr>
        <w:t>7</w:t>
      </w:r>
      <w:r w:rsidR="00B644F0">
        <w:rPr>
          <w:b/>
          <w:snapToGrid w:val="0"/>
          <w:sz w:val="26"/>
          <w:szCs w:val="26"/>
        </w:rPr>
        <w:t>.08.2020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6D007D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874078">
        <w:rPr>
          <w:b/>
          <w:snapToGrid w:val="0"/>
          <w:sz w:val="26"/>
          <w:szCs w:val="26"/>
        </w:rPr>
        <w:t>2</w:t>
      </w:r>
      <w:r w:rsidR="00B644F0">
        <w:rPr>
          <w:b/>
          <w:snapToGrid w:val="0"/>
          <w:sz w:val="26"/>
          <w:szCs w:val="26"/>
        </w:rPr>
        <w:t>8.08.2020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lastRenderedPageBreak/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52501">
        <w:rPr>
          <w:sz w:val="26"/>
          <w:szCs w:val="26"/>
        </w:rPr>
        <w:t>)д</w:t>
      </w:r>
      <w:proofErr w:type="gramEnd"/>
      <w:r w:rsidRPr="00F52501">
        <w:rPr>
          <w:sz w:val="26"/>
          <w:szCs w:val="26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lastRenderedPageBreak/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 № </w:t>
      </w:r>
      <w:r w:rsidR="00B644F0">
        <w:rPr>
          <w:sz w:val="26"/>
          <w:szCs w:val="26"/>
        </w:rPr>
        <w:t>1</w:t>
      </w:r>
      <w:r w:rsidR="000651FF">
        <w:rPr>
          <w:sz w:val="26"/>
          <w:szCs w:val="26"/>
        </w:rPr>
        <w:t xml:space="preserve"> выставлялся</w:t>
      </w:r>
      <w:r w:rsidRPr="00995A65">
        <w:rPr>
          <w:sz w:val="26"/>
          <w:szCs w:val="26"/>
        </w:rPr>
        <w:t xml:space="preserve"> на торги </w:t>
      </w:r>
      <w:r w:rsidR="00B644F0">
        <w:rPr>
          <w:sz w:val="26"/>
          <w:szCs w:val="26"/>
        </w:rPr>
        <w:t>08.07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 признан несостоявшимся в </w:t>
      </w:r>
      <w:r w:rsidR="00A1039F" w:rsidRPr="00A1039F">
        <w:rPr>
          <w:sz w:val="26"/>
          <w:szCs w:val="26"/>
        </w:rPr>
        <w:t xml:space="preserve">связи с </w:t>
      </w:r>
      <w:r w:rsidR="00B644F0" w:rsidRPr="00B644F0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974961" w:rsidRDefault="00974961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74961">
        <w:rPr>
          <w:sz w:val="26"/>
          <w:szCs w:val="26"/>
        </w:rPr>
        <w:t>Лот №</w:t>
      </w:r>
      <w:r w:rsidR="000651FF">
        <w:rPr>
          <w:sz w:val="26"/>
          <w:szCs w:val="26"/>
        </w:rPr>
        <w:t>2</w:t>
      </w:r>
      <w:r w:rsidRPr="00974961">
        <w:rPr>
          <w:sz w:val="26"/>
          <w:szCs w:val="26"/>
        </w:rPr>
        <w:t xml:space="preserve"> выставлялс</w:t>
      </w:r>
      <w:r w:rsidR="00B644F0">
        <w:rPr>
          <w:sz w:val="26"/>
          <w:szCs w:val="26"/>
        </w:rPr>
        <w:t>я</w:t>
      </w:r>
      <w:r w:rsidRPr="00974961">
        <w:rPr>
          <w:sz w:val="26"/>
          <w:szCs w:val="26"/>
        </w:rPr>
        <w:t xml:space="preserve"> на торги </w:t>
      </w:r>
      <w:r w:rsidR="000651FF">
        <w:rPr>
          <w:sz w:val="26"/>
          <w:szCs w:val="26"/>
        </w:rPr>
        <w:t>08.07</w:t>
      </w:r>
      <w:r w:rsidRPr="00974961">
        <w:rPr>
          <w:sz w:val="26"/>
          <w:szCs w:val="26"/>
        </w:rPr>
        <w:t xml:space="preserve">.2020 - аукцион признан несостоявшимся в связи с </w:t>
      </w:r>
      <w:r w:rsidR="000651FF">
        <w:rPr>
          <w:sz w:val="26"/>
          <w:szCs w:val="26"/>
        </w:rPr>
        <w:t>поступлением одной</w:t>
      </w:r>
      <w:r w:rsidRPr="00974961">
        <w:rPr>
          <w:sz w:val="26"/>
          <w:szCs w:val="26"/>
        </w:rPr>
        <w:t xml:space="preserve"> заявк</w:t>
      </w:r>
      <w:r w:rsidR="000651FF">
        <w:rPr>
          <w:sz w:val="26"/>
          <w:szCs w:val="26"/>
        </w:rPr>
        <w:t>и</w:t>
      </w:r>
      <w:bookmarkStart w:id="0" w:name="_GoBack"/>
      <w:bookmarkEnd w:id="0"/>
      <w:r w:rsidRPr="00974961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5C018D" w:rsidRPr="00196DD8" w:rsidRDefault="00B71109" w:rsidP="00196D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96DD8" w:rsidRPr="00196DD8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 xml:space="preserve">ь </w:t>
      </w:r>
      <w:r w:rsidR="00196DD8" w:rsidRPr="00196DD8">
        <w:rPr>
          <w:b/>
          <w:sz w:val="26"/>
          <w:szCs w:val="26"/>
        </w:rPr>
        <w:t xml:space="preserve"> комитета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="00196DD8" w:rsidRPr="00196D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B644F0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4B9A"/>
    <w:rsid w:val="000251D8"/>
    <w:rsid w:val="00032F9B"/>
    <w:rsid w:val="000403ED"/>
    <w:rsid w:val="00054AC7"/>
    <w:rsid w:val="000651FF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F627E"/>
    <w:rsid w:val="00126458"/>
    <w:rsid w:val="00127AAE"/>
    <w:rsid w:val="001314FC"/>
    <w:rsid w:val="00145852"/>
    <w:rsid w:val="00151BA9"/>
    <w:rsid w:val="00151DE0"/>
    <w:rsid w:val="0016277F"/>
    <w:rsid w:val="0016292A"/>
    <w:rsid w:val="00164E10"/>
    <w:rsid w:val="00166C9B"/>
    <w:rsid w:val="00173086"/>
    <w:rsid w:val="00175A3D"/>
    <w:rsid w:val="001776A6"/>
    <w:rsid w:val="00196DD8"/>
    <w:rsid w:val="001A698A"/>
    <w:rsid w:val="001A70B5"/>
    <w:rsid w:val="001B1218"/>
    <w:rsid w:val="001B43A8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7097"/>
    <w:rsid w:val="004A039B"/>
    <w:rsid w:val="004A1790"/>
    <w:rsid w:val="004C05DF"/>
    <w:rsid w:val="004C3B50"/>
    <w:rsid w:val="004C62BD"/>
    <w:rsid w:val="004D06CA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2DC8"/>
    <w:rsid w:val="0067437A"/>
    <w:rsid w:val="00675950"/>
    <w:rsid w:val="0067668F"/>
    <w:rsid w:val="00682EFE"/>
    <w:rsid w:val="0068571F"/>
    <w:rsid w:val="006874F1"/>
    <w:rsid w:val="00690E16"/>
    <w:rsid w:val="006A3AE2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6EF2"/>
    <w:rsid w:val="007B2F13"/>
    <w:rsid w:val="007B7EEE"/>
    <w:rsid w:val="007C5391"/>
    <w:rsid w:val="007D4006"/>
    <w:rsid w:val="00805A2A"/>
    <w:rsid w:val="0081546A"/>
    <w:rsid w:val="00820314"/>
    <w:rsid w:val="00823324"/>
    <w:rsid w:val="008261A6"/>
    <w:rsid w:val="0082650A"/>
    <w:rsid w:val="008626F3"/>
    <w:rsid w:val="008716B8"/>
    <w:rsid w:val="00874078"/>
    <w:rsid w:val="008A793F"/>
    <w:rsid w:val="008B14B2"/>
    <w:rsid w:val="008C3B55"/>
    <w:rsid w:val="008C64DB"/>
    <w:rsid w:val="008F0333"/>
    <w:rsid w:val="00904B3B"/>
    <w:rsid w:val="00906BB8"/>
    <w:rsid w:val="00915324"/>
    <w:rsid w:val="00930964"/>
    <w:rsid w:val="00974961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2395"/>
    <w:rsid w:val="00A23E0D"/>
    <w:rsid w:val="00A36A5C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1109"/>
    <w:rsid w:val="00B751CA"/>
    <w:rsid w:val="00B935F9"/>
    <w:rsid w:val="00B94CB6"/>
    <w:rsid w:val="00BB2C06"/>
    <w:rsid w:val="00BE7D29"/>
    <w:rsid w:val="00BF3DD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43CE6"/>
    <w:rsid w:val="00F52501"/>
    <w:rsid w:val="00F67D48"/>
    <w:rsid w:val="00F74514"/>
    <w:rsid w:val="00F823B6"/>
    <w:rsid w:val="00F93725"/>
    <w:rsid w:val="00F94BDB"/>
    <w:rsid w:val="00FB0582"/>
    <w:rsid w:val="00FB6C2B"/>
    <w:rsid w:val="00FC55F3"/>
    <w:rsid w:val="00FD2CF7"/>
    <w:rsid w:val="00FD2D92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E6A9-E162-4CB5-B5C8-C635DDC2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2020-07-27T07:32:00Z</cp:lastPrinted>
  <dcterms:created xsi:type="dcterms:W3CDTF">2020-07-27T12:55:00Z</dcterms:created>
  <dcterms:modified xsi:type="dcterms:W3CDTF">2020-07-27T12:55:00Z</dcterms:modified>
</cp:coreProperties>
</file>