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E48" w:rsidRDefault="00041E48" w:rsidP="00041E48">
      <w:pPr>
        <w:jc w:val="center"/>
        <w:outlineLvl w:val="0"/>
        <w:rPr>
          <w:b/>
          <w:sz w:val="28"/>
          <w:szCs w:val="28"/>
        </w:rPr>
      </w:pPr>
      <w:r w:rsidRPr="00041E48">
        <w:rPr>
          <w:b/>
          <w:sz w:val="28"/>
          <w:szCs w:val="28"/>
        </w:rPr>
        <w:t>Итоги работы межведомственной комиссии по налогам и сборам, легализации объектов налогообложения и увеличения доходной части бюджета муниципального образования город Мурманск</w:t>
      </w:r>
    </w:p>
    <w:p w:rsidR="00633A3C" w:rsidRPr="00041E48" w:rsidRDefault="00633A3C" w:rsidP="00041E48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за 2014 год</w:t>
      </w:r>
    </w:p>
    <w:p w:rsidR="00041E48" w:rsidRDefault="00041E48" w:rsidP="00041E48">
      <w:pPr>
        <w:jc w:val="right"/>
        <w:outlineLvl w:val="0"/>
        <w:rPr>
          <w:sz w:val="28"/>
          <w:szCs w:val="28"/>
        </w:rPr>
      </w:pPr>
    </w:p>
    <w:p w:rsidR="00041E48" w:rsidRDefault="00041E48" w:rsidP="00041E48">
      <w:pPr>
        <w:jc w:val="right"/>
        <w:outlineLvl w:val="0"/>
        <w:rPr>
          <w:sz w:val="28"/>
          <w:szCs w:val="28"/>
        </w:rPr>
      </w:pPr>
    </w:p>
    <w:p w:rsidR="00041E48" w:rsidRDefault="00041E48" w:rsidP="00041E48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В 2014 году </w:t>
      </w:r>
      <w:r w:rsidR="0090271D">
        <w:rPr>
          <w:bCs/>
          <w:iCs/>
          <w:sz w:val="28"/>
          <w:szCs w:val="28"/>
        </w:rPr>
        <w:t xml:space="preserve">в конструктивном взаимодействии </w:t>
      </w:r>
      <w:r>
        <w:rPr>
          <w:bCs/>
          <w:iCs/>
          <w:sz w:val="28"/>
          <w:szCs w:val="28"/>
        </w:rPr>
        <w:t xml:space="preserve">администрации города Мурманска, Инспекции ФНС России по г. Мурманску, отделений Пенсионного фонда РФ, Государственной инспекции труда в Мурманской области и т.д. проведено 4 заседания межведомственной </w:t>
      </w:r>
      <w:r w:rsidRPr="00041E48">
        <w:rPr>
          <w:bCs/>
          <w:iCs/>
          <w:sz w:val="28"/>
          <w:szCs w:val="28"/>
        </w:rPr>
        <w:t xml:space="preserve">комиссии </w:t>
      </w:r>
      <w:r w:rsidRPr="00041E48">
        <w:rPr>
          <w:sz w:val="28"/>
          <w:szCs w:val="28"/>
        </w:rPr>
        <w:t>по налогам и сборам, легализации объектов налогообложения и увеличения доходной части бюджета муниципального образования город Мурманск</w:t>
      </w:r>
      <w:r>
        <w:rPr>
          <w:bCs/>
          <w:iCs/>
          <w:sz w:val="28"/>
          <w:szCs w:val="28"/>
        </w:rPr>
        <w:t>.</w:t>
      </w:r>
    </w:p>
    <w:p w:rsidR="00041E48" w:rsidRDefault="00041E48" w:rsidP="00041E48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Всего на заседания были приглашены руководители 98 организаций, имеющих </w:t>
      </w:r>
      <w:r w:rsidRPr="00041E48">
        <w:rPr>
          <w:bCs/>
          <w:iCs/>
          <w:sz w:val="28"/>
          <w:szCs w:val="28"/>
        </w:rPr>
        <w:t>задолженность по налогам и сборам</w:t>
      </w:r>
      <w:r>
        <w:rPr>
          <w:bCs/>
          <w:iCs/>
          <w:sz w:val="28"/>
          <w:szCs w:val="28"/>
        </w:rPr>
        <w:t xml:space="preserve"> в общей сумме </w:t>
      </w:r>
      <w:r w:rsidRPr="00041E48">
        <w:rPr>
          <w:b/>
          <w:bCs/>
          <w:iCs/>
          <w:sz w:val="28"/>
          <w:szCs w:val="28"/>
        </w:rPr>
        <w:t>206 519 тыс. рублей, в т.ч.</w:t>
      </w:r>
      <w:r>
        <w:rPr>
          <w:bCs/>
          <w:iCs/>
          <w:sz w:val="28"/>
          <w:szCs w:val="28"/>
        </w:rPr>
        <w:t xml:space="preserve"> </w:t>
      </w:r>
      <w:r w:rsidRPr="00041E48">
        <w:rPr>
          <w:b/>
          <w:bCs/>
          <w:iCs/>
          <w:sz w:val="28"/>
          <w:szCs w:val="28"/>
        </w:rPr>
        <w:t>по НДФЛ</w:t>
      </w:r>
      <w:r>
        <w:rPr>
          <w:bCs/>
          <w:iCs/>
          <w:sz w:val="28"/>
          <w:szCs w:val="28"/>
        </w:rPr>
        <w:t xml:space="preserve"> – </w:t>
      </w:r>
      <w:r w:rsidRPr="00041E48">
        <w:rPr>
          <w:b/>
          <w:bCs/>
          <w:iCs/>
          <w:sz w:val="28"/>
          <w:szCs w:val="28"/>
        </w:rPr>
        <w:t>101 007 тыс. рублей</w:t>
      </w:r>
      <w:r>
        <w:rPr>
          <w:bCs/>
          <w:iCs/>
          <w:sz w:val="28"/>
          <w:szCs w:val="28"/>
        </w:rPr>
        <w:t>,</w:t>
      </w:r>
      <w:r w:rsidRPr="00C4575E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из них 63 работодателя, допускающие выплату заработной платы в размере ниже среднеотраслевого значения, 23 организации, имеющие убытки по результатам финансово-хозяйственной деятельности. На заседаниях в присутствии представителей рассмотрено 17 организаций с общей суммой задолженности по налогам и сборам 24 968 тыс. рублей, в т.ч. по НДФЛ – 16 642 тыс. рублей.</w:t>
      </w:r>
    </w:p>
    <w:p w:rsidR="00041E48" w:rsidRPr="003776D5" w:rsidRDefault="00041E48" w:rsidP="00041E48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В результате работы межведомственной комиссии в 2014 году по состоянию на 01.01.2015 полностью или частично </w:t>
      </w:r>
      <w:r w:rsidRPr="00041E48">
        <w:rPr>
          <w:b/>
          <w:bCs/>
          <w:iCs/>
          <w:sz w:val="28"/>
          <w:szCs w:val="28"/>
        </w:rPr>
        <w:t>погасила задолженность по налогам и сборам 41 организация на общую сумму 71 219 тыс. рублей</w:t>
      </w:r>
      <w:r>
        <w:rPr>
          <w:bCs/>
          <w:iCs/>
          <w:sz w:val="28"/>
          <w:szCs w:val="28"/>
        </w:rPr>
        <w:t xml:space="preserve">,  </w:t>
      </w:r>
      <w:r w:rsidRPr="00041E48">
        <w:rPr>
          <w:b/>
          <w:bCs/>
          <w:iCs/>
          <w:sz w:val="28"/>
          <w:szCs w:val="28"/>
        </w:rPr>
        <w:t>в т.ч. 17 организаций – по НДФЛ на сумму 11 231 тыс. рублей</w:t>
      </w:r>
      <w:r>
        <w:rPr>
          <w:bCs/>
          <w:iCs/>
          <w:sz w:val="28"/>
          <w:szCs w:val="28"/>
        </w:rPr>
        <w:t>.</w:t>
      </w:r>
    </w:p>
    <w:p w:rsidR="00041E48" w:rsidRDefault="00041E48" w:rsidP="00041E48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Информация об организациях, не погасивших задолженность по уплате НДФЛ, размещается на официальном сайте</w:t>
      </w:r>
      <w:r w:rsidR="0090271D">
        <w:rPr>
          <w:bCs/>
          <w:iCs/>
          <w:sz w:val="28"/>
          <w:szCs w:val="28"/>
        </w:rPr>
        <w:t xml:space="preserve"> администрации города Мурманска, что являет</w:t>
      </w:r>
      <w:bookmarkStart w:id="0" w:name="_GoBack"/>
      <w:bookmarkEnd w:id="0"/>
      <w:r w:rsidR="0090271D">
        <w:rPr>
          <w:bCs/>
          <w:iCs/>
          <w:sz w:val="28"/>
          <w:szCs w:val="28"/>
        </w:rPr>
        <w:t>ся дополнительным стимулом для погашения ими задолженности.</w:t>
      </w:r>
    </w:p>
    <w:p w:rsidR="0090271D" w:rsidRDefault="0090271D" w:rsidP="00041E48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Работа межведомственной комиссии зарекомендовала себя как эффективный инструмент в борьбе с неплательщиками по налогам и другим обязательным платежам, поэтому в 2015 году деятельность комиссии продолжится.</w:t>
      </w:r>
    </w:p>
    <w:p w:rsidR="00041E48" w:rsidRPr="00041E48" w:rsidRDefault="00041E48" w:rsidP="00041E48">
      <w:pPr>
        <w:jc w:val="center"/>
        <w:outlineLvl w:val="0"/>
        <w:rPr>
          <w:b/>
          <w:sz w:val="28"/>
          <w:szCs w:val="28"/>
        </w:rPr>
      </w:pPr>
    </w:p>
    <w:p w:rsidR="00041E48" w:rsidRDefault="00041E48" w:rsidP="009155BC">
      <w:pPr>
        <w:outlineLvl w:val="0"/>
        <w:rPr>
          <w:b/>
          <w:sz w:val="28"/>
          <w:szCs w:val="28"/>
        </w:rPr>
      </w:pPr>
    </w:p>
    <w:p w:rsidR="00041E48" w:rsidRDefault="00041E48" w:rsidP="009155BC">
      <w:pPr>
        <w:outlineLvl w:val="0"/>
        <w:rPr>
          <w:b/>
          <w:sz w:val="28"/>
          <w:szCs w:val="28"/>
        </w:rPr>
      </w:pPr>
    </w:p>
    <w:p w:rsidR="00041E48" w:rsidRDefault="00EB18E6" w:rsidP="009155BC">
      <w:pPr>
        <w:outlineLvl w:val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2034540</wp:posOffset>
                </wp:positionH>
                <wp:positionV relativeFrom="paragraph">
                  <wp:posOffset>48895</wp:posOffset>
                </wp:positionV>
                <wp:extent cx="1619250" cy="1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19250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0.2pt,3.85pt" to="287.7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" strokecolor="black [3040]"/>
            </w:pict>
          </mc:Fallback>
        </mc:AlternateContent>
      </w:r>
    </w:p>
    <w:p w:rsidR="00041E48" w:rsidRDefault="00041E48" w:rsidP="009155BC">
      <w:pPr>
        <w:outlineLvl w:val="0"/>
        <w:rPr>
          <w:b/>
          <w:sz w:val="28"/>
          <w:szCs w:val="28"/>
        </w:rPr>
      </w:pPr>
    </w:p>
    <w:p w:rsidR="009155BC" w:rsidRDefault="009155BC" w:rsidP="009155BC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sectPr w:rsidR="00915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5BC" w:rsidRDefault="009155BC" w:rsidP="009155BC">
      <w:r>
        <w:separator/>
      </w:r>
    </w:p>
  </w:endnote>
  <w:endnote w:type="continuationSeparator" w:id="0">
    <w:p w:rsidR="009155BC" w:rsidRDefault="009155BC" w:rsidP="00915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5BC" w:rsidRDefault="009155BC" w:rsidP="009155BC">
      <w:r>
        <w:separator/>
      </w:r>
    </w:p>
  </w:footnote>
  <w:footnote w:type="continuationSeparator" w:id="0">
    <w:p w:rsidR="009155BC" w:rsidRDefault="009155BC" w:rsidP="00915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B1791"/>
    <w:multiLevelType w:val="hybridMultilevel"/>
    <w:tmpl w:val="B3E2786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E172AC6"/>
    <w:multiLevelType w:val="hybridMultilevel"/>
    <w:tmpl w:val="8FD8FECC"/>
    <w:lvl w:ilvl="0" w:tplc="767272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15CD0CDD"/>
    <w:multiLevelType w:val="hybridMultilevel"/>
    <w:tmpl w:val="7E7E380C"/>
    <w:lvl w:ilvl="0" w:tplc="670CACEE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1BD44E50"/>
    <w:multiLevelType w:val="hybridMultilevel"/>
    <w:tmpl w:val="351E26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766A6B"/>
    <w:multiLevelType w:val="hybridMultilevel"/>
    <w:tmpl w:val="D76A8498"/>
    <w:lvl w:ilvl="0" w:tplc="670CACE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F56"/>
    <w:rsid w:val="0002586A"/>
    <w:rsid w:val="00035160"/>
    <w:rsid w:val="00041E48"/>
    <w:rsid w:val="000453F0"/>
    <w:rsid w:val="000464B7"/>
    <w:rsid w:val="00055785"/>
    <w:rsid w:val="0007198F"/>
    <w:rsid w:val="00074678"/>
    <w:rsid w:val="00082C79"/>
    <w:rsid w:val="000A5A04"/>
    <w:rsid w:val="000B3649"/>
    <w:rsid w:val="000D5980"/>
    <w:rsid w:val="000E05CB"/>
    <w:rsid w:val="000F149A"/>
    <w:rsid w:val="0010377A"/>
    <w:rsid w:val="00103C16"/>
    <w:rsid w:val="00124E00"/>
    <w:rsid w:val="001449CB"/>
    <w:rsid w:val="001900EA"/>
    <w:rsid w:val="0019656C"/>
    <w:rsid w:val="001D1DC0"/>
    <w:rsid w:val="00226CE8"/>
    <w:rsid w:val="00233A55"/>
    <w:rsid w:val="002720B9"/>
    <w:rsid w:val="00283A00"/>
    <w:rsid w:val="00290E4E"/>
    <w:rsid w:val="002F0F13"/>
    <w:rsid w:val="00320AD3"/>
    <w:rsid w:val="003237A7"/>
    <w:rsid w:val="00367206"/>
    <w:rsid w:val="00387665"/>
    <w:rsid w:val="00397647"/>
    <w:rsid w:val="003A7C55"/>
    <w:rsid w:val="003D3684"/>
    <w:rsid w:val="00411277"/>
    <w:rsid w:val="004303BD"/>
    <w:rsid w:val="00433F56"/>
    <w:rsid w:val="004401DD"/>
    <w:rsid w:val="00445DE9"/>
    <w:rsid w:val="004B630D"/>
    <w:rsid w:val="004D23C0"/>
    <w:rsid w:val="00503C19"/>
    <w:rsid w:val="005625BE"/>
    <w:rsid w:val="005626AF"/>
    <w:rsid w:val="00575593"/>
    <w:rsid w:val="00594DDA"/>
    <w:rsid w:val="005B32DC"/>
    <w:rsid w:val="005B6451"/>
    <w:rsid w:val="005C2808"/>
    <w:rsid w:val="005C34D1"/>
    <w:rsid w:val="005E5837"/>
    <w:rsid w:val="00603EFD"/>
    <w:rsid w:val="00633A17"/>
    <w:rsid w:val="00633A3C"/>
    <w:rsid w:val="0063723B"/>
    <w:rsid w:val="00641219"/>
    <w:rsid w:val="00671C50"/>
    <w:rsid w:val="00683B5C"/>
    <w:rsid w:val="00693B7C"/>
    <w:rsid w:val="006B499A"/>
    <w:rsid w:val="006B59CE"/>
    <w:rsid w:val="006C7256"/>
    <w:rsid w:val="006F0FF4"/>
    <w:rsid w:val="00700890"/>
    <w:rsid w:val="0070507E"/>
    <w:rsid w:val="00714E84"/>
    <w:rsid w:val="00744475"/>
    <w:rsid w:val="007816FC"/>
    <w:rsid w:val="007E2EEA"/>
    <w:rsid w:val="007E7F60"/>
    <w:rsid w:val="00824AA5"/>
    <w:rsid w:val="00856188"/>
    <w:rsid w:val="008565CA"/>
    <w:rsid w:val="008711D4"/>
    <w:rsid w:val="00877478"/>
    <w:rsid w:val="00895E08"/>
    <w:rsid w:val="008B6CE3"/>
    <w:rsid w:val="0090271D"/>
    <w:rsid w:val="009155BC"/>
    <w:rsid w:val="00916F72"/>
    <w:rsid w:val="009D3B70"/>
    <w:rsid w:val="009D7BFE"/>
    <w:rsid w:val="009E4B75"/>
    <w:rsid w:val="009F1994"/>
    <w:rsid w:val="00A42FB7"/>
    <w:rsid w:val="00A4560C"/>
    <w:rsid w:val="00A75EE7"/>
    <w:rsid w:val="00B61CAA"/>
    <w:rsid w:val="00BC53D0"/>
    <w:rsid w:val="00BE79C6"/>
    <w:rsid w:val="00C037A4"/>
    <w:rsid w:val="00C16E5D"/>
    <w:rsid w:val="00C22AD9"/>
    <w:rsid w:val="00C44B52"/>
    <w:rsid w:val="00C50679"/>
    <w:rsid w:val="00C63F13"/>
    <w:rsid w:val="00C75BD8"/>
    <w:rsid w:val="00CB71B7"/>
    <w:rsid w:val="00CC05B2"/>
    <w:rsid w:val="00CC5BD9"/>
    <w:rsid w:val="00D024FA"/>
    <w:rsid w:val="00D821DD"/>
    <w:rsid w:val="00D85D12"/>
    <w:rsid w:val="00D92ABF"/>
    <w:rsid w:val="00DA1DEB"/>
    <w:rsid w:val="00DA5B6F"/>
    <w:rsid w:val="00DC72D1"/>
    <w:rsid w:val="00DD3AC3"/>
    <w:rsid w:val="00DD4624"/>
    <w:rsid w:val="00DD52D3"/>
    <w:rsid w:val="00E039DC"/>
    <w:rsid w:val="00E32982"/>
    <w:rsid w:val="00E455E8"/>
    <w:rsid w:val="00E45DA2"/>
    <w:rsid w:val="00E527EE"/>
    <w:rsid w:val="00E75D89"/>
    <w:rsid w:val="00EB18E6"/>
    <w:rsid w:val="00EB6E5C"/>
    <w:rsid w:val="00EC7F1D"/>
    <w:rsid w:val="00EE2BD5"/>
    <w:rsid w:val="00EE5408"/>
    <w:rsid w:val="00EE5C6E"/>
    <w:rsid w:val="00EF5678"/>
    <w:rsid w:val="00F60F35"/>
    <w:rsid w:val="00F76486"/>
    <w:rsid w:val="00F83C64"/>
    <w:rsid w:val="00FB5AD9"/>
    <w:rsid w:val="00FF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2AD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F5678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641219"/>
    <w:pPr>
      <w:ind w:firstLine="851"/>
      <w:jc w:val="both"/>
    </w:pPr>
    <w:rPr>
      <w:sz w:val="28"/>
      <w:szCs w:val="20"/>
    </w:rPr>
  </w:style>
  <w:style w:type="paragraph" w:styleId="a5">
    <w:name w:val="No Spacing"/>
    <w:uiPriority w:val="1"/>
    <w:qFormat/>
    <w:rsid w:val="009155BC"/>
  </w:style>
  <w:style w:type="paragraph" w:styleId="a6">
    <w:name w:val="header"/>
    <w:basedOn w:val="a"/>
    <w:link w:val="a7"/>
    <w:rsid w:val="009155B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155BC"/>
    <w:rPr>
      <w:sz w:val="24"/>
      <w:szCs w:val="24"/>
    </w:rPr>
  </w:style>
  <w:style w:type="paragraph" w:styleId="a8">
    <w:name w:val="footer"/>
    <w:basedOn w:val="a"/>
    <w:link w:val="a9"/>
    <w:rsid w:val="009155B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9155BC"/>
    <w:rPr>
      <w:sz w:val="24"/>
      <w:szCs w:val="24"/>
    </w:rPr>
  </w:style>
  <w:style w:type="table" w:styleId="aa">
    <w:name w:val="Table Grid"/>
    <w:basedOn w:val="a1"/>
    <w:rsid w:val="00E75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rsid w:val="00DA5B6F"/>
    <w:pPr>
      <w:spacing w:before="100" w:beforeAutospacing="1" w:after="100" w:afterAutospacing="1"/>
    </w:pPr>
    <w:rPr>
      <w:rFonts w:ascii="Arial" w:hAnsi="Arial" w:cs="Arial"/>
      <w:color w:val="414141"/>
      <w:sz w:val="18"/>
      <w:szCs w:val="18"/>
    </w:rPr>
  </w:style>
  <w:style w:type="paragraph" w:styleId="ac">
    <w:name w:val="footnote text"/>
    <w:basedOn w:val="a"/>
    <w:link w:val="ad"/>
    <w:rsid w:val="00E527EE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E527EE"/>
  </w:style>
  <w:style w:type="character" w:styleId="ae">
    <w:name w:val="footnote reference"/>
    <w:basedOn w:val="a0"/>
    <w:rsid w:val="00E527E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2AD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F5678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641219"/>
    <w:pPr>
      <w:ind w:firstLine="851"/>
      <w:jc w:val="both"/>
    </w:pPr>
    <w:rPr>
      <w:sz w:val="28"/>
      <w:szCs w:val="20"/>
    </w:rPr>
  </w:style>
  <w:style w:type="paragraph" w:styleId="a5">
    <w:name w:val="No Spacing"/>
    <w:uiPriority w:val="1"/>
    <w:qFormat/>
    <w:rsid w:val="009155BC"/>
  </w:style>
  <w:style w:type="paragraph" w:styleId="a6">
    <w:name w:val="header"/>
    <w:basedOn w:val="a"/>
    <w:link w:val="a7"/>
    <w:rsid w:val="009155B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155BC"/>
    <w:rPr>
      <w:sz w:val="24"/>
      <w:szCs w:val="24"/>
    </w:rPr>
  </w:style>
  <w:style w:type="paragraph" w:styleId="a8">
    <w:name w:val="footer"/>
    <w:basedOn w:val="a"/>
    <w:link w:val="a9"/>
    <w:rsid w:val="009155B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9155BC"/>
    <w:rPr>
      <w:sz w:val="24"/>
      <w:szCs w:val="24"/>
    </w:rPr>
  </w:style>
  <w:style w:type="table" w:styleId="aa">
    <w:name w:val="Table Grid"/>
    <w:basedOn w:val="a1"/>
    <w:rsid w:val="00E75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rsid w:val="00DA5B6F"/>
    <w:pPr>
      <w:spacing w:before="100" w:beforeAutospacing="1" w:after="100" w:afterAutospacing="1"/>
    </w:pPr>
    <w:rPr>
      <w:rFonts w:ascii="Arial" w:hAnsi="Arial" w:cs="Arial"/>
      <w:color w:val="414141"/>
      <w:sz w:val="18"/>
      <w:szCs w:val="18"/>
    </w:rPr>
  </w:style>
  <w:style w:type="paragraph" w:styleId="ac">
    <w:name w:val="footnote text"/>
    <w:basedOn w:val="a"/>
    <w:link w:val="ad"/>
    <w:rsid w:val="00E527EE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E527EE"/>
  </w:style>
  <w:style w:type="character" w:styleId="ae">
    <w:name w:val="footnote reference"/>
    <w:basedOn w:val="a0"/>
    <w:rsid w:val="00E527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3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8D5B9-BF1B-4A05-BDBB-636B6FE84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240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по развитию городского хозяйства            Заместителю председателя</vt:lpstr>
    </vt:vector>
  </TitlesOfParts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по развитию городского хозяйства            Заместителю председателя</dc:title>
  <dc:creator>Смурова</dc:creator>
  <cp:lastModifiedBy>Елена Дворникова</cp:lastModifiedBy>
  <cp:revision>12</cp:revision>
  <cp:lastPrinted>2014-10-02T07:08:00Z</cp:lastPrinted>
  <dcterms:created xsi:type="dcterms:W3CDTF">2014-10-02T05:16:00Z</dcterms:created>
  <dcterms:modified xsi:type="dcterms:W3CDTF">2015-01-19T11:16:00Z</dcterms:modified>
</cp:coreProperties>
</file>