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05" w:rsidRDefault="00E0540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5405" w:rsidRDefault="00E05405">
      <w:pPr>
        <w:pStyle w:val="ConsPlusNormal"/>
        <w:jc w:val="both"/>
        <w:outlineLvl w:val="0"/>
      </w:pPr>
    </w:p>
    <w:p w:rsidR="00E05405" w:rsidRDefault="00E05405">
      <w:pPr>
        <w:pStyle w:val="ConsPlusTitle"/>
        <w:jc w:val="center"/>
        <w:outlineLvl w:val="0"/>
      </w:pPr>
      <w:r>
        <w:t>АДМИНИСТРАЦИЯ ГОРОДА МУРМАНСКА</w:t>
      </w:r>
    </w:p>
    <w:p w:rsidR="00E05405" w:rsidRDefault="00E05405">
      <w:pPr>
        <w:pStyle w:val="ConsPlusTitle"/>
        <w:jc w:val="center"/>
      </w:pPr>
    </w:p>
    <w:p w:rsidR="00E05405" w:rsidRDefault="00E05405">
      <w:pPr>
        <w:pStyle w:val="ConsPlusTitle"/>
        <w:jc w:val="center"/>
      </w:pPr>
      <w:r>
        <w:t>ПОСТАНОВЛЕНИЕ</w:t>
      </w:r>
    </w:p>
    <w:p w:rsidR="00E05405" w:rsidRDefault="00E05405">
      <w:pPr>
        <w:pStyle w:val="ConsPlusTitle"/>
        <w:jc w:val="center"/>
      </w:pPr>
      <w:r>
        <w:t>от 21 мая 2015 г. N 1321</w:t>
      </w:r>
    </w:p>
    <w:p w:rsidR="00E05405" w:rsidRDefault="00E05405">
      <w:pPr>
        <w:pStyle w:val="ConsPlusTitle"/>
        <w:jc w:val="center"/>
      </w:pPr>
    </w:p>
    <w:p w:rsidR="00E05405" w:rsidRDefault="00E05405">
      <w:pPr>
        <w:pStyle w:val="ConsPlusTitle"/>
        <w:jc w:val="center"/>
      </w:pPr>
      <w:r>
        <w:t xml:space="preserve">ОБ УТВЕРЖДЕНИИ ПОЛОЖЕНИЯ </w:t>
      </w:r>
      <w:proofErr w:type="gramStart"/>
      <w:r>
        <w:t>О</w:t>
      </w:r>
      <w:proofErr w:type="gramEnd"/>
      <w:r>
        <w:t xml:space="preserve"> ГРАДОСТРОИТЕЛЬНОМ</w:t>
      </w:r>
    </w:p>
    <w:p w:rsidR="00E05405" w:rsidRDefault="00E05405">
      <w:pPr>
        <w:pStyle w:val="ConsPlusTitle"/>
        <w:jc w:val="center"/>
      </w:pPr>
      <w:proofErr w:type="gramStart"/>
      <w:r>
        <w:t>СОВЕТЕ</w:t>
      </w:r>
      <w:proofErr w:type="gramEnd"/>
      <w:r>
        <w:t xml:space="preserve"> ПРИ АДМИНИСТРАЦИИ ГОРОДА МУРМАНСКА</w:t>
      </w:r>
    </w:p>
    <w:p w:rsidR="00E05405" w:rsidRDefault="00E054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54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5405" w:rsidRDefault="00E05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05" w:rsidRDefault="00E054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E05405" w:rsidRDefault="00E05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6" w:history="1">
              <w:r>
                <w:rPr>
                  <w:color w:val="0000FF"/>
                </w:rPr>
                <w:t>N 1467</w:t>
              </w:r>
            </w:hyperlink>
            <w:r>
              <w:rPr>
                <w:color w:val="392C69"/>
              </w:rPr>
              <w:t xml:space="preserve">, от 13.10.2016 </w:t>
            </w:r>
            <w:hyperlink r:id="rId7" w:history="1">
              <w:r>
                <w:rPr>
                  <w:color w:val="0000FF"/>
                </w:rPr>
                <w:t>N 3078</w:t>
              </w:r>
            </w:hyperlink>
            <w:r>
              <w:rPr>
                <w:color w:val="392C69"/>
              </w:rPr>
              <w:t xml:space="preserve">, от 14.09.2020 </w:t>
            </w:r>
            <w:hyperlink r:id="rId8" w:history="1">
              <w:r>
                <w:rPr>
                  <w:color w:val="0000FF"/>
                </w:rPr>
                <w:t>N 2137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ind w:firstLine="540"/>
        <w:jc w:val="both"/>
      </w:pPr>
      <w:proofErr w:type="gramStart"/>
      <w:r>
        <w:t xml:space="preserve">Руководствуясь Градостроительным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от 17.11.1995 N 169-ФЗ "Об архитектурной деятельности в Российской Федерации", решениями Совета депутатов города Мурманска от 01.11.2014 </w:t>
      </w:r>
      <w:hyperlink r:id="rId12" w:history="1">
        <w:r>
          <w:rPr>
            <w:color w:val="0000FF"/>
          </w:rPr>
          <w:t>N 41-547</w:t>
        </w:r>
      </w:hyperlink>
      <w:r>
        <w:t xml:space="preserve"> "Об утверждении правил землепользования и застройки муниципального образования город Мурманск", от 26.12.2013 </w:t>
      </w:r>
      <w:hyperlink r:id="rId13" w:history="1">
        <w:r>
          <w:rPr>
            <w:color w:val="0000FF"/>
          </w:rPr>
          <w:t>N 68-971</w:t>
        </w:r>
      </w:hyperlink>
      <w:r>
        <w:t xml:space="preserve"> "О Правилах благоустройства территории</w:t>
      </w:r>
      <w:proofErr w:type="gramEnd"/>
      <w:r>
        <w:t xml:space="preserve"> муниципального образования город Мурманск", от 30.12.2009 </w:t>
      </w:r>
      <w:hyperlink r:id="rId14" w:history="1">
        <w:r>
          <w:rPr>
            <w:color w:val="0000FF"/>
          </w:rPr>
          <w:t>N 14-187</w:t>
        </w:r>
      </w:hyperlink>
      <w:r>
        <w:t xml:space="preserve"> "Об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Мурманска", </w:t>
      </w:r>
      <w:hyperlink r:id="rId15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постановляю: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градостроительном совете при администрации города Мурманска согласно приложению N 1.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2. Отменить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24.06.2010 N 1044 "Об утверждении положения о градостроительном Совете города Мурманска".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34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 Редакции газеты "Вечерний Мурманск (Штейн Н.Г.) опубликовать настоящее постановление с </w:t>
      </w:r>
      <w:hyperlink w:anchor="P34" w:history="1">
        <w:r>
          <w:rPr>
            <w:color w:val="0000FF"/>
          </w:rPr>
          <w:t>приложением</w:t>
        </w:r>
      </w:hyperlink>
      <w:r>
        <w:t>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E05405" w:rsidRDefault="00E05405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05.06.2015 N 1467)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right"/>
      </w:pPr>
      <w:r>
        <w:t>Глава</w:t>
      </w:r>
    </w:p>
    <w:p w:rsidR="00E05405" w:rsidRDefault="00E05405">
      <w:pPr>
        <w:pStyle w:val="ConsPlusNormal"/>
        <w:jc w:val="right"/>
      </w:pPr>
      <w:r>
        <w:t>администрации города Мурманска</w:t>
      </w:r>
    </w:p>
    <w:p w:rsidR="00E05405" w:rsidRDefault="00E05405">
      <w:pPr>
        <w:pStyle w:val="ConsPlusNormal"/>
        <w:jc w:val="right"/>
      </w:pPr>
      <w:r>
        <w:t>А.И.СЫСОЕВ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right"/>
        <w:outlineLvl w:val="0"/>
      </w:pPr>
      <w:r>
        <w:t>Приложение</w:t>
      </w:r>
    </w:p>
    <w:p w:rsidR="00E05405" w:rsidRDefault="00E05405">
      <w:pPr>
        <w:pStyle w:val="ConsPlusNormal"/>
        <w:jc w:val="right"/>
      </w:pPr>
      <w:r>
        <w:t>к постановлению</w:t>
      </w:r>
    </w:p>
    <w:p w:rsidR="00E05405" w:rsidRDefault="00E05405">
      <w:pPr>
        <w:pStyle w:val="ConsPlusNormal"/>
        <w:jc w:val="right"/>
      </w:pPr>
      <w:r>
        <w:t>администрации города Мурманска</w:t>
      </w:r>
    </w:p>
    <w:p w:rsidR="00E05405" w:rsidRDefault="00E05405">
      <w:pPr>
        <w:pStyle w:val="ConsPlusNormal"/>
        <w:jc w:val="right"/>
      </w:pPr>
      <w:r>
        <w:t>от 21 мая 2015 г. N 1321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</w:pPr>
      <w:bookmarkStart w:id="0" w:name="P34"/>
      <w:bookmarkEnd w:id="0"/>
      <w:r>
        <w:t>ПОЛОЖЕНИЕ</w:t>
      </w:r>
    </w:p>
    <w:p w:rsidR="00E05405" w:rsidRDefault="00E05405">
      <w:pPr>
        <w:pStyle w:val="ConsPlusTitle"/>
        <w:jc w:val="center"/>
      </w:pPr>
      <w:r>
        <w:t>О ГРАДОСТРОИТЕЛЬНОМ СОВЕТЕ ПРИ АДМИНИСТРАЦИИ</w:t>
      </w:r>
    </w:p>
    <w:p w:rsidR="00E05405" w:rsidRDefault="00E05405">
      <w:pPr>
        <w:pStyle w:val="ConsPlusTitle"/>
        <w:jc w:val="center"/>
      </w:pPr>
      <w:r>
        <w:t>ГОРОДА МУРМАНСКА</w:t>
      </w:r>
    </w:p>
    <w:p w:rsidR="00E05405" w:rsidRDefault="00E054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054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05405" w:rsidRDefault="00E054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5405" w:rsidRDefault="00E054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E05405" w:rsidRDefault="00E054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05.06.2015 </w:t>
            </w:r>
            <w:hyperlink r:id="rId18" w:history="1">
              <w:r>
                <w:rPr>
                  <w:color w:val="0000FF"/>
                </w:rPr>
                <w:t>N 1467</w:t>
              </w:r>
            </w:hyperlink>
            <w:r>
              <w:rPr>
                <w:color w:val="392C69"/>
              </w:rPr>
              <w:t xml:space="preserve">, от 13.10.2016 </w:t>
            </w:r>
            <w:hyperlink r:id="rId19" w:history="1">
              <w:r>
                <w:rPr>
                  <w:color w:val="0000FF"/>
                </w:rPr>
                <w:t>N 3078</w:t>
              </w:r>
            </w:hyperlink>
            <w:r>
              <w:rPr>
                <w:color w:val="392C69"/>
              </w:rPr>
              <w:t xml:space="preserve">, от 14.09.2020 </w:t>
            </w:r>
            <w:hyperlink r:id="rId20" w:history="1">
              <w:r>
                <w:rPr>
                  <w:color w:val="0000FF"/>
                </w:rPr>
                <w:t>N 2137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  <w:outlineLvl w:val="1"/>
      </w:pPr>
      <w:r>
        <w:t>1. Общие положения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ind w:firstLine="540"/>
        <w:jc w:val="both"/>
      </w:pPr>
      <w:r>
        <w:t>1.1. Градостроительный совет при администрации города Мурманска (далее - Градостроительный совет) является коллегиальным совещательным органом, который осуществляет свою деятельность при администрации города Мурманска.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1.2. В своей деятельности Градостроительный совет руководствуется законодательством Российской Федерации, Мурманской области, муниципальными правовыми актами, а также настоящим Положением.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1.3. Основными задачами Градостроительного совета являются: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проведение единой градостроительной политики на территории муниципального образования город Мурманск;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сохранение внешнего архитектурного облика сложившейся застройки, в том числе с учетом объектов культурного наследия;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формирование архитектурного облика города с учетом современных тенденций в архитектуре и градостроительстве;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создание комфортной среды обитания, обеспечение соблюдения прав граждан и юридических лиц.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1.4. Инициаторами рассмотрения вопросов на заседании Градостроительного совета могут выступать физические и юридические лица, являющиеся государственными (муниципальными) заказчиками, застройщиками, либо техническими заказчиками градостроительной или проектной документации (далее - заявитель).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1.5. Градостроительный совет для осуществления своих полномочий имеет право: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запрашивать в исполнительных органах государственной власти Мурманской области, структурных подразделениях администрации города Мурманска, организациях, независимо от форм собственности, документы и информацию по вопросам, входящим в компетенцию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привлекать на безвозмездной основе к работе в Градостроительном совете экспертов и специалистов для анализа материалов и выработки рекомендаций по рассматриваемым вопросам;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- приглашать на свои заседания представителей территориальных органов федеральных </w:t>
      </w:r>
      <w:r>
        <w:lastRenderedPageBreak/>
        <w:t>органов исполнительной власти, общественных объединений, научных и других организаций.</w:t>
      </w:r>
    </w:p>
    <w:p w:rsidR="00E05405" w:rsidRDefault="00E05405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05.06.2015 N 1467)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1.6. Деятельность Градостроительного совета обеспечивает комитет градостроительства и территориального развития администрации города Мурманска (далее - Комитет).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  <w:outlineLvl w:val="1"/>
      </w:pPr>
      <w:bookmarkStart w:id="1" w:name="P58"/>
      <w:bookmarkEnd w:id="1"/>
      <w:r>
        <w:t>2. Состав и содержание документации, подлежащей рассмотрению</w:t>
      </w:r>
    </w:p>
    <w:p w:rsidR="00E05405" w:rsidRDefault="00E05405">
      <w:pPr>
        <w:pStyle w:val="ConsPlusTitle"/>
        <w:jc w:val="center"/>
      </w:pPr>
      <w:r>
        <w:t>на Градостроительном совете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ind w:firstLine="540"/>
        <w:jc w:val="both"/>
      </w:pPr>
      <w:r>
        <w:t>2.1. Рассмотрению на Градостроительном совете подлежит градостроительная и проектная документация (далее - Документация) в следующем составе: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2.1.1. Исключен.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14.09.2020 N 2137.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2.1.1</w:t>
        </w:r>
      </w:hyperlink>
      <w:r>
        <w:t>. Проекты застройки и реконструкции жилых, общественно-деловых и рекреационных зон: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</w:t>
      </w:r>
      <w:proofErr w:type="gramStart"/>
      <w:r>
        <w:t>художественных решений</w:t>
      </w:r>
      <w:proofErr w:type="gramEnd"/>
      <w:r>
        <w:t>, в том числе в части соблюдения предельных параметров разрешенного строительства объектов капитального строительства;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и обоснование использованных композиционных приемов при оформлении фасадов объектов капитального строительства;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описание решений по декоративно-художественной и цветовой отделке экстерьеров - для объектов непроизводственного назначения;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д) описание принятых инженерных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е)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 территории;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схема планировочной организации территории, включающая план благоустройства и озеленения территории в масштабе (1:2000, 1:1000, 1:500 на выбор);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развертки вдоль элементов улично-дорожной сети с отображением фасадов (масштаб 1:100; 1:200; 1:500; 1:1000 на выбор);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объемно-планировочные решения объектов капитального строительства, монументально-декоративного оформления, комплексного благоустройства среды, расположенных на территории;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цветовое решение фасадов;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архитектурный макет в масштабе 1:200, 1:500 или компьютерная 3D модель, видеоряд (по желанию).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2.1.2</w:t>
        </w:r>
      </w:hyperlink>
      <w:r>
        <w:t>. Проекты строительства, реконструкции объектов капитального строительства, расположенных в соответствии с таблицей 1 (</w:t>
      </w:r>
      <w:hyperlink w:anchor="P191" w:history="1">
        <w:r>
          <w:rPr>
            <w:color w:val="0000FF"/>
          </w:rPr>
          <w:t>приложение N 1</w:t>
        </w:r>
      </w:hyperlink>
      <w:r>
        <w:t xml:space="preserve"> к Положению о градостроительном совете при администрации города Мурманска):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lastRenderedPageBreak/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</w:t>
      </w:r>
      <w:proofErr w:type="gramStart"/>
      <w:r>
        <w:t>художественных решений</w:t>
      </w:r>
      <w:proofErr w:type="gramEnd"/>
      <w:r>
        <w:t>, в том числе в части соблюдения предельных параметров разрешенного строительства объекта капитального строительства (при необходимости);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и обоснование использованных композиционных приемов при оформлении фасадов объекта капитального строительства;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описание решений по декоративно-художественной и цветовой отделке экстерьеров - для объектов непроизводственного назначения;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д) описание принятых инженерных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е)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схема планировочной организации земельного участка, включающая план благоустройства и озеленения территории в масштабе (1:2000, 1:1000, 1:500 на выбор);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цветовое решение фасадов;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архитектурный макет в масштабе 1:200, 1:500 или компьютерная 3D модель, видеоряд (по желанию).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2.1.3</w:t>
        </w:r>
      </w:hyperlink>
      <w:r>
        <w:t>. Проекты реставрации, консервации, воссоздания, ремонта и приспособления объектов культурного наследия (памятников истории и культуры):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</w:t>
      </w:r>
      <w:proofErr w:type="gramStart"/>
      <w:r>
        <w:t>художественных решений</w:t>
      </w:r>
      <w:proofErr w:type="gramEnd"/>
      <w:r>
        <w:t>, в том числе в части соблюдения предельных параметров разрешенного строительства объекта капитального строительства (при необходимости);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и обоснование использованных композиционных приемов при оформлении фасадов объекта культурного наследия;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описание решений по декоративно-художественной и цветовой отделке экстерьеров;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д) описание принятых инженерных решений (при наличии);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е)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схема планировочной организации земельного участка, включающая план благоустройства и озеленения территории в масштабе (1:2000, 1:1000, 1:500 на выбор);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цветовое решение фасадов;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lastRenderedPageBreak/>
        <w:t>- архитектурный макет в масштабе 1:200, 1:500 или компьютерная 3D модель, видеоряд (по желанию).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2.1.4</w:t>
        </w:r>
      </w:hyperlink>
      <w:r>
        <w:t>. Фасады зданий жилого и (или) общественного назначения в случае устройства дополнительных входов (входных групп), при условии расположения зданий в соответствии с таблицей 1 (</w:t>
      </w:r>
      <w:hyperlink w:anchor="P191" w:history="1">
        <w:r>
          <w:rPr>
            <w:color w:val="0000FF"/>
          </w:rPr>
          <w:t>приложение N 1</w:t>
        </w:r>
      </w:hyperlink>
      <w:r>
        <w:t xml:space="preserve"> к Положению о градостроительном совете при администрации города Мурманска):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архитектурно-художественных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и обоснование использованных композиционных приемов при оформлении фасадов объектов капитального строительства;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описание решений по декоративно-художественной и цветовой отделке экстерьеров - для объектов непроизводственного назначения;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д) описание принятых инженерных решений (при наличии);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е)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 территории;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цветовое решение фасадов с прорисовкой существующих и проектируемых входов (входных групп);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архитектурный макет в масштабе 1:200, 1:500 или компьютерная 3D модель, видеоряд (по желанию).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2.1.5</w:t>
        </w:r>
      </w:hyperlink>
      <w:r>
        <w:t>. Проекты монументально-декоративного, художественного, информационно-рекламного и праздничного оформления города: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архитектурно-художественных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и обоснование использованных композиционных приемов при оформлении фасадов объектов капитального строительства;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описание решений по декоративно-художественной и цветовой отделке экстерьеров - для объектов непроизводственного назначения;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д) описание принятых инженерных решений (при наличии);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е)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 территории;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- схема планировочной организации территории, включающая план благоустройства и </w:t>
      </w:r>
      <w:r>
        <w:lastRenderedPageBreak/>
        <w:t>озеленения территории в масштабе (1:2000, 1:1000, 1:500 на выбор) (при наличии);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цветовое решение фасадов;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(фотомонтаж),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архитектурный макет в масштабе 1:200, 1:500 или компьютерная 3D модель, видеоряд (по желанию).</w:t>
      </w:r>
    </w:p>
    <w:p w:rsidR="00E05405" w:rsidRDefault="00E05405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2.1.6</w:t>
        </w:r>
      </w:hyperlink>
      <w:r>
        <w:t>. Проекты комплексного благоустройства городской среды, в том числе проектов малых архитектурных форм и комплексов, формирующих городскую среду: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пояснительная записка, включающая в себя: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а) обоснование и описания градостроительных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б) обоснование принятых объемно-пространственных и архитектурно-художественных решений;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в) описание принятых инженерных решений (при наличии);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г) технико-экономические показатели;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ситуационный план территории;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схема планировочной организации территории, включающая план благоустройства и озеленения территории в масштабе (1:2000, 1:1000, 1:500 на выбор);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видовые точки с размещением объектов в системе окружающей застройки (фотомонтаж);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архитектурный макет территории в масштабе 1:200, 1:500 или компьютерная 3D модель, видеоряд (по желанию);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макеты или компьютерные 3D модели малых архитектурных форм.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  <w:outlineLvl w:val="1"/>
      </w:pPr>
      <w:r>
        <w:t>3. Состав и структура Градостроительного совета</w:t>
      </w:r>
    </w:p>
    <w:p w:rsidR="00E05405" w:rsidRDefault="00E05405">
      <w:pPr>
        <w:pStyle w:val="ConsPlusNormal"/>
        <w:jc w:val="center"/>
      </w:pPr>
      <w:proofErr w:type="gramStart"/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E05405" w:rsidRDefault="00E05405">
      <w:pPr>
        <w:pStyle w:val="ConsPlusNormal"/>
        <w:jc w:val="center"/>
      </w:pPr>
      <w:r>
        <w:t>от 13.10.2016 N 3078)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ind w:firstLine="540"/>
        <w:jc w:val="both"/>
      </w:pPr>
      <w:r>
        <w:t xml:space="preserve">3.1. </w:t>
      </w:r>
      <w:proofErr w:type="gramStart"/>
      <w:r>
        <w:t>Градостроительный совет формируется из числа депутатов Совета депутатов города Мурманска, представителей администрации города Мурманска, общественных организаций, специалистов в области градостроительства, архитектуры, художественного и декоративно-прикладного искусств, рекламно-информационной деятельности, представителя комитета по культуре и искусству Мурманской области, представителя Управления государственной инспекции безопасности дорожного движения УМВД России по Мурманской области, представителя Главного управления МЧС России по Мурманской области.</w:t>
      </w:r>
      <w:proofErr w:type="gramEnd"/>
      <w:r>
        <w:t xml:space="preserve"> Численность Градостроительного совета - не более 30 человек.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Предложение о включении в состав Градостроительного совета специалистов и представителей общественных организаций вносится Комитетом путем направления запросов о предложении их участия в работе Градостроительного совета и получения письменного согласия.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3.2. Состав Градостроительного совета утверждается постановлением администрации города Мурманска.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3.3. Возглавляет Градостроительный совет председатель, а в его отсутствие - заместитель.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lastRenderedPageBreak/>
        <w:t>Председатель и заместитель Градостроительного совета избирается на первом заседании Градостроительного совета открытым голосованием. Избранным считается член Градостроительного совета, за которого проголосовало более половины от утвержденного состава Градостроительного совета.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3.4. Председатель Градостроительного совета: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утверждает повестку дня заседания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ведет заседания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подписывает протоколы заседаний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контролирует исполнение решений, принятых Градостроительным советом;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представляет Градостроительный совет в отношениях с органами государственной власти, органами местного самоуправления, гражданами и организациями, средствами массовой информации, исполняет иные обязанности, связанные с деятельностью Градостроительного совета.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3.5. Секретарь Градостроительного совета назначается председателем из числа членов Градостроительного совета, являющихся сотрудниками Комитета.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3.6. Секретарь Градостроительного совета: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- проверяет поступившие в Комитет заявления с Документацией на соответствие требованиям, указанным в </w:t>
      </w:r>
      <w:hyperlink w:anchor="P58" w:history="1">
        <w:r>
          <w:rPr>
            <w:color w:val="0000FF"/>
          </w:rPr>
          <w:t>разделе 2</w:t>
        </w:r>
      </w:hyperlink>
      <w:r>
        <w:t xml:space="preserve"> настоящего Положения;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формирует повестку дня заседания Градостроительного совета для ее утверждения председателем;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письменно уведомляет членов Градостроительного совета о времени, месте и дате проведения заседания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ведет, оформляет, подписывает протоколы заседаний Градостроительного совета, направляет их на подпись председателю Градостроительного совета;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направляет копии протоколов заседаний Градостроительного совета заявителям и членам Градостроительного совета (по запросу);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выполняет поручения председателя Градостроительного совета по вопросам его деятельности.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  <w:outlineLvl w:val="1"/>
      </w:pPr>
      <w:r>
        <w:t>4. Организация деятельности Градостроительного совета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ind w:firstLine="540"/>
        <w:jc w:val="both"/>
      </w:pPr>
      <w:r>
        <w:t>4.1. Основной организационной формой деятельности Градостроительного совета являются заседания. Заседание является правомочным, если на нем присутствует не менее половины от утвержденного состава членов Градостроительного совета.</w:t>
      </w:r>
    </w:p>
    <w:p w:rsidR="00E05405" w:rsidRDefault="00E0540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13.10.2016 N 3078)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4.2. Заседания Градостроительного совета проводятся по мере поступления заявлений о рассмотрении Документации на Градостроительном совете, но не реже одного раза в квартал.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4.3. Заявитель направляет </w:t>
      </w:r>
      <w:hyperlink w:anchor="P457" w:history="1">
        <w:r>
          <w:rPr>
            <w:color w:val="0000FF"/>
          </w:rPr>
          <w:t>заявление</w:t>
        </w:r>
      </w:hyperlink>
      <w:r>
        <w:t xml:space="preserve"> о рассмотрении Документации на Градостроительном совете по форме согласно приложению N 2 к Положению о градостроительном совете при администрации города Мурманска (далее - заявление) в Комитет.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lastRenderedPageBreak/>
        <w:t xml:space="preserve">4.4. К заявлению прилагается Документация в составе, указанном в </w:t>
      </w:r>
      <w:hyperlink w:anchor="P58" w:history="1">
        <w:r>
          <w:rPr>
            <w:color w:val="0000FF"/>
          </w:rPr>
          <w:t>разделе 2</w:t>
        </w:r>
      </w:hyperlink>
      <w:r>
        <w:t xml:space="preserve"> настоящего Положения.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4.5. Секретарь рассматривает заявление с прилагаемой Документацией на соответствие требованиям, указанным в </w:t>
      </w:r>
      <w:hyperlink w:anchor="P58" w:history="1">
        <w:r>
          <w:rPr>
            <w:color w:val="0000FF"/>
          </w:rPr>
          <w:t>разделе 2</w:t>
        </w:r>
      </w:hyperlink>
      <w:r>
        <w:t xml:space="preserve"> настоящего Положения в течение семи рабочих дней </w:t>
      </w:r>
      <w:proofErr w:type="gramStart"/>
      <w:r>
        <w:t>с даты поступления</w:t>
      </w:r>
      <w:proofErr w:type="gramEnd"/>
      <w:r>
        <w:t xml:space="preserve"> в Комитет.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4.6. В случае если Документация по составу и содержанию не соответствует требованиям, указанным в </w:t>
      </w:r>
      <w:hyperlink w:anchor="P58" w:history="1">
        <w:r>
          <w:rPr>
            <w:color w:val="0000FF"/>
          </w:rPr>
          <w:t>разделе 2</w:t>
        </w:r>
      </w:hyperlink>
      <w:r>
        <w:t xml:space="preserve"> настоящего Положения, секретарь возвращает ее на доработку заявителю в срок не позднее 10 рабочих дней </w:t>
      </w:r>
      <w:proofErr w:type="gramStart"/>
      <w:r>
        <w:t>с даты поступления</w:t>
      </w:r>
      <w:proofErr w:type="gramEnd"/>
      <w:r>
        <w:t xml:space="preserve"> в Комитет.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4.7. В случае если Документация по составу и содержанию соответствует требованиям, указанным в </w:t>
      </w:r>
      <w:hyperlink w:anchor="P58" w:history="1">
        <w:r>
          <w:rPr>
            <w:color w:val="0000FF"/>
          </w:rPr>
          <w:t>разделе 2</w:t>
        </w:r>
      </w:hyperlink>
      <w:r>
        <w:t xml:space="preserve"> настоящего Положения, секретарь включает вопрос, указанный в заявлении, в повестку дня заседания Градостроительного совета.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 xml:space="preserve">4.8. После утверждения председателем сформированной повестки дня заседания Градостроительного совета секретарь направляет ее членам Градостроительного совета в срок, не </w:t>
      </w:r>
      <w:proofErr w:type="gramStart"/>
      <w:r>
        <w:t>позднее</w:t>
      </w:r>
      <w:proofErr w:type="gramEnd"/>
      <w:r>
        <w:t xml:space="preserve"> чем за пять рабочих дней до дня заседания Градостроительного совета.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4.9. Градостроительный совет принимает решения по вопросам, отнесенным к его компетенции. Решение Градостроительного совета принимается открытым голосованием и считается принятым, если за него проголосовало более половины присутствующих на заседании членов Градостроительного совета. При равенстве голосов членов Градостроительного совета голос председателя (а в отсутствие председателя - заместителя председателя) является решающим. Члены Градостроительного совета имеют право выносить особое мнение по вопросам повестки дня.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4.10. По итогам рассмотрения Документации Градостроительный совет принимает одно из следующих решений: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рекомендовать Документацию к дальнейшему проектированию;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- рекомендовать отклонить Документацию от дальнейшего проектирования с указанием причин отклонения.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4.11. При необходимости направления запросов в исполнительные органы государственной власти Мурманской области, структурные подразделения администрации города Мурманска, организации независимо от форм собственности о представлении документов и информации по вопросам, входящим в компетенцию Градостроительного совета, Градостроительный совет может перенести рассмотрение вопроса, включенного в повестку дня, на следующее заседание.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4.12. Решения Градостроительного совета оформляются протоколом и подписываются секретарем и председателем в течение пяти рабочих дней со дня заседания Градостроительного совета.</w:t>
      </w:r>
    </w:p>
    <w:p w:rsidR="00E05405" w:rsidRDefault="00E05405">
      <w:pPr>
        <w:pStyle w:val="ConsPlusNormal"/>
        <w:spacing w:before="220"/>
        <w:ind w:firstLine="540"/>
        <w:jc w:val="both"/>
      </w:pPr>
      <w:r>
        <w:t>4.13. Копию протокола заседания Градостроительного совета секретарь направляет заявителям и членам Градостроительного совета (по запросу) в срок не позднее трех рабочих дней со дня его подписания.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right"/>
        <w:outlineLvl w:val="1"/>
      </w:pPr>
      <w:r>
        <w:t>Приложение N 1</w:t>
      </w:r>
    </w:p>
    <w:p w:rsidR="00E05405" w:rsidRDefault="00E05405">
      <w:pPr>
        <w:pStyle w:val="ConsPlusNormal"/>
        <w:jc w:val="right"/>
      </w:pPr>
      <w:r>
        <w:t>к Положению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Title"/>
        <w:jc w:val="center"/>
      </w:pPr>
      <w:bookmarkStart w:id="2" w:name="P191"/>
      <w:bookmarkEnd w:id="2"/>
      <w:r>
        <w:lastRenderedPageBreak/>
        <w:t>ГРАНИЦЫ</w:t>
      </w:r>
    </w:p>
    <w:p w:rsidR="00E05405" w:rsidRDefault="00E05405">
      <w:pPr>
        <w:pStyle w:val="ConsPlusTitle"/>
        <w:jc w:val="center"/>
      </w:pPr>
      <w:r>
        <w:t>ТЕРРИТОРИАЛЬНЫХ ЗОН ПРОЕКТОВ СТРОИТЕЛЬСТВА, РЕКОНСТРУКЦИИ</w:t>
      </w:r>
    </w:p>
    <w:p w:rsidR="00E05405" w:rsidRDefault="00E05405">
      <w:pPr>
        <w:pStyle w:val="ConsPlusTitle"/>
        <w:jc w:val="center"/>
      </w:pPr>
      <w:r>
        <w:t>ОБЪЕКТОВ КАПИТАЛЬНОГО СТРОИТЕЛЬСТВА</w:t>
      </w:r>
    </w:p>
    <w:p w:rsidR="00E05405" w:rsidRDefault="00E05405">
      <w:pPr>
        <w:pStyle w:val="ConsPlusNormal"/>
        <w:jc w:val="both"/>
      </w:pPr>
    </w:p>
    <w:p w:rsidR="00E05405" w:rsidRDefault="00E05405">
      <w:pPr>
        <w:sectPr w:rsidR="00E05405" w:rsidSect="00BA1A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742"/>
        <w:gridCol w:w="1474"/>
        <w:gridCol w:w="3798"/>
      </w:tblGrid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Категория УД сети</w:t>
            </w: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Описание границ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автомобильные дороги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  <w:r>
              <w:t>по генплану</w:t>
            </w: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Р-21 "Кола" Санкт-Петербург - Петрозаводск - Мурманск - Печенга - граница с Королевством Норвегия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Шабалина до пересечения с Верхне-</w:t>
            </w:r>
            <w:proofErr w:type="spellStart"/>
            <w:r>
              <w:t>Ростинским</w:t>
            </w:r>
            <w:proofErr w:type="spellEnd"/>
            <w:r>
              <w:t xml:space="preserve"> шоссе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Подъезд к г. Мурманску </w:t>
            </w:r>
            <w:proofErr w:type="gramStart"/>
            <w:r>
              <w:t>км</w:t>
            </w:r>
            <w:proofErr w:type="gramEnd"/>
            <w:r>
              <w:t xml:space="preserve"> 14 + 297 - км 19 + 027 (старое наименование - Восточно-объездная автодорога)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Верхне-</w:t>
            </w:r>
            <w:proofErr w:type="spellStart"/>
            <w:r>
              <w:t>Ростинским</w:t>
            </w:r>
            <w:proofErr w:type="spellEnd"/>
            <w:r>
              <w:t xml:space="preserve"> шоссе до пересечения с проспектом Героев-Североморцев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бульвары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Театральный бульвар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дома N 6 по Театральному бульвару до пересечения с проспектом Ленина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проспекты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проспект Героев-Североморцев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улицей Матросской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проспект Кирова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Ленина до пересечения с улицей Шмидта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проспект Кольский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Кирова до стелы "Въездной знак" (южное направление)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проспект Ленина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Кирова до пересечения с улицей Папанина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улицы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Александрова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стоянки автотранспорта у памятника "Защитникам Советского Заполярья" до пересечения с проспектом Героев-Североморцев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Баумана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Подгорной до пересечения с проспектом Кольским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Капитана Буркова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Академика </w:t>
            </w:r>
            <w:proofErr w:type="spellStart"/>
            <w:r>
              <w:t>Книповича</w:t>
            </w:r>
            <w:proofErr w:type="spellEnd"/>
            <w:r>
              <w:t xml:space="preserve"> до пересечения с улицей Карла Маркса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Володарского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проспектом Ленина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Воровского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Коминтерна до пересечения с улицей Софьи Перовской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улица Героев </w:t>
            </w:r>
            <w:proofErr w:type="gramStart"/>
            <w:r>
              <w:t>Рыбачьего</w:t>
            </w:r>
            <w:proofErr w:type="gramEnd"/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Копытова до жилого дома N 65 по улице Героев Рыбачьего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Дзержинского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Шмидта до пересечения с проспектом Ленина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Достоевского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Подгорной до пересечения с улицей Баумана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Капитана Егорова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Шмидта до дома N 17 по улице Капитана Егорова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улица Академика </w:t>
            </w:r>
            <w:proofErr w:type="spellStart"/>
            <w:r>
              <w:t>Книповича</w:t>
            </w:r>
            <w:proofErr w:type="spellEnd"/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Шмидта до </w:t>
            </w:r>
            <w:r>
              <w:lastRenderedPageBreak/>
              <w:t>пересечения с улицей Карла Маркса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Саши Ковалева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дома N 20 по улице Саши Ковалева до дома N 46 корп. 2 по улице </w:t>
            </w:r>
            <w:proofErr w:type="spellStart"/>
            <w:r>
              <w:t>Чумбарова-Лучинского</w:t>
            </w:r>
            <w:proofErr w:type="spellEnd"/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Коминтерна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Шмидта до пересечения с улицей Челюскинцев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Комсомольская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Шмидта до пересечения с улицей Софьи Перовской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Зои Космодемьянской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Кольским до пересечения с улицей Ломоносова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Крупской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Героев Рыбачьего до дома N 38 по улице Крупской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Ленинградская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Комсомольской до пересечения с улицей Профсоюзов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Карла Либкнехта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проспектом Ленина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Адмирала Флота Лобова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Героев-Североморцев до дома N 60 по улице Адмирала Флота Лобова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Ломоносова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Зои Космодемьянской до пересечения с </w:t>
            </w:r>
            <w:r>
              <w:lastRenderedPageBreak/>
              <w:t>улицей Капитана Пономарева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улица Капитана </w:t>
            </w:r>
            <w:proofErr w:type="spellStart"/>
            <w:r>
              <w:t>Маклакова</w:t>
            </w:r>
            <w:proofErr w:type="spellEnd"/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Карла Маркса до пересечения с улицей Старостина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Карла Маркса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улицей Старостина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Мира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Старостина до дома N 23 по улице Мира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Октябрьская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проспектом Ленина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Папанина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Челюскинцев до пересечения с улицей Карла Маркса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Софьи Перовской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Воровского до пересечения с улицей Папанина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Планерная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Академика </w:t>
            </w:r>
            <w:proofErr w:type="spellStart"/>
            <w:r>
              <w:t>Книповича</w:t>
            </w:r>
            <w:proofErr w:type="spellEnd"/>
            <w:r>
              <w:t xml:space="preserve"> до пересечения с улицей Карла Маркса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Подгорная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Достоевского до дома N 118 по улице Подгорной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Полярные Зори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Ленина до пересечения с улицей Карла Маркса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Капитана Пономарева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проспектом Кольским до пересечения с улицей Ломоносова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Профсоюзов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Коминтерна до пересечения с улицей Софьи Перовской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Пушкинская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Профсоюзов до пересечения с улицей Володарского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Самойловой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Комсомольской до пересечения с улицей Капитана Егорова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Свердлова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Старостина до пересечения с проездом Михаила Ивченко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Скальная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Капитана </w:t>
            </w:r>
            <w:proofErr w:type="spellStart"/>
            <w:r>
              <w:t>Маклакова</w:t>
            </w:r>
            <w:proofErr w:type="spellEnd"/>
            <w:r>
              <w:t xml:space="preserve"> до пересечения с улицей Мира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Старостина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Карла Маркса до пересечения с Верхне-</w:t>
            </w:r>
            <w:proofErr w:type="spellStart"/>
            <w:r>
              <w:t>Ростинским</w:t>
            </w:r>
            <w:proofErr w:type="spellEnd"/>
            <w:r>
              <w:t xml:space="preserve"> шоссе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Челюскинцев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Профсоюзов до пересечения с Верхне-</w:t>
            </w:r>
            <w:proofErr w:type="spellStart"/>
            <w:r>
              <w:t>Ростинским</w:t>
            </w:r>
            <w:proofErr w:type="spellEnd"/>
            <w:r>
              <w:t xml:space="preserve"> шоссе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улица </w:t>
            </w:r>
            <w:proofErr w:type="spellStart"/>
            <w:r>
              <w:t>Чумбарова-Лучинского</w:t>
            </w:r>
            <w:proofErr w:type="spellEnd"/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Саши Ковалева до пересечения с проспектом Героев-Североморцев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Шабалина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улицей </w:t>
            </w:r>
            <w:proofErr w:type="gramStart"/>
            <w:r>
              <w:t>Героев-Рыбачьего</w:t>
            </w:r>
            <w:proofErr w:type="gramEnd"/>
            <w:r>
              <w:t xml:space="preserve"> до пересечения с автодорогой Р-21 "Кола" Санкт-Петербург - Петрозаводск - Мурманск - Печенга - граница с Королевством Норвегия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Шмидта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Коминтерна до пересечения с проспектом Кирова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улица Генерала Щербакова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Баумана до пересечения с проспектом Кольским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переулки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переулок Пионерский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Шмидта до пересечения с улицей Самойловой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проезды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проезд Портовый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дома N 31 до дома N 19 по проезду Портовому и от дома N 19 до дома N 52 по проезду Портовому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проезд Рыбный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Володарского до пересечения с улицей Октябрьской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проезд Флотский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>От пересечения с улицей Володарского до пересечения с улицей Октябрьской</w:t>
            </w: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шоссе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</w:p>
        </w:tc>
      </w:tr>
      <w:tr w:rsidR="00E05405">
        <w:tc>
          <w:tcPr>
            <w:tcW w:w="606" w:type="dxa"/>
            <w:vAlign w:val="center"/>
          </w:tcPr>
          <w:p w:rsidR="00E05405" w:rsidRDefault="00E0540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742" w:type="dxa"/>
            <w:vAlign w:val="center"/>
          </w:tcPr>
          <w:p w:rsidR="00E05405" w:rsidRDefault="00E05405">
            <w:pPr>
              <w:pStyle w:val="ConsPlusNormal"/>
            </w:pPr>
            <w:r>
              <w:t>Верхне-</w:t>
            </w:r>
            <w:proofErr w:type="spellStart"/>
            <w:r>
              <w:t>Ростинское</w:t>
            </w:r>
            <w:proofErr w:type="spellEnd"/>
            <w:r>
              <w:t xml:space="preserve"> шоссе</w:t>
            </w:r>
          </w:p>
        </w:tc>
        <w:tc>
          <w:tcPr>
            <w:tcW w:w="1474" w:type="dxa"/>
            <w:vAlign w:val="center"/>
          </w:tcPr>
          <w:p w:rsidR="00E05405" w:rsidRDefault="00E05405">
            <w:pPr>
              <w:pStyle w:val="ConsPlusNormal"/>
            </w:pPr>
          </w:p>
        </w:tc>
        <w:tc>
          <w:tcPr>
            <w:tcW w:w="3798" w:type="dxa"/>
            <w:vAlign w:val="center"/>
          </w:tcPr>
          <w:p w:rsidR="00E05405" w:rsidRDefault="00E05405">
            <w:pPr>
              <w:pStyle w:val="ConsPlusNormal"/>
            </w:pPr>
            <w:r>
              <w:t xml:space="preserve">От пересечения с проспектом Героев-Североморцев до пересечения с </w:t>
            </w:r>
            <w:r>
              <w:lastRenderedPageBreak/>
              <w:t>улицей Старостина</w:t>
            </w:r>
          </w:p>
        </w:tc>
      </w:tr>
    </w:tbl>
    <w:p w:rsidR="00E05405" w:rsidRDefault="00E05405">
      <w:pPr>
        <w:sectPr w:rsidR="00E0540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right"/>
        <w:outlineLvl w:val="1"/>
      </w:pPr>
      <w:r>
        <w:t>Приложение N 2</w:t>
      </w:r>
    </w:p>
    <w:p w:rsidR="00E05405" w:rsidRDefault="00E05405">
      <w:pPr>
        <w:pStyle w:val="ConsPlusNormal"/>
        <w:jc w:val="right"/>
      </w:pPr>
      <w:r>
        <w:t>к Положению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nformat"/>
        <w:jc w:val="both"/>
      </w:pPr>
      <w:r>
        <w:t xml:space="preserve">                          Председателю комитета градостроительства</w:t>
      </w:r>
    </w:p>
    <w:p w:rsidR="00E05405" w:rsidRDefault="00E05405">
      <w:pPr>
        <w:pStyle w:val="ConsPlusNonformat"/>
        <w:jc w:val="both"/>
      </w:pPr>
      <w:r>
        <w:t xml:space="preserve">                          и территориального развития администрации</w:t>
      </w:r>
    </w:p>
    <w:p w:rsidR="00E05405" w:rsidRDefault="00E05405">
      <w:pPr>
        <w:pStyle w:val="ConsPlusNonformat"/>
        <w:jc w:val="both"/>
      </w:pPr>
      <w:r>
        <w:t xml:space="preserve">                          города Мурманска</w:t>
      </w:r>
    </w:p>
    <w:p w:rsidR="00E05405" w:rsidRDefault="00E05405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E05405" w:rsidRDefault="00E05405">
      <w:pPr>
        <w:pStyle w:val="ConsPlusNonformat"/>
        <w:jc w:val="both"/>
      </w:pPr>
      <w:r>
        <w:t xml:space="preserve">                         </w:t>
      </w:r>
      <w:proofErr w:type="gramStart"/>
      <w:r>
        <w:t>(Ф.И.О. лица, для юридических лиц - полное и (или)</w:t>
      </w:r>
      <w:proofErr w:type="gramEnd"/>
    </w:p>
    <w:p w:rsidR="00E05405" w:rsidRDefault="00E05405">
      <w:pPr>
        <w:pStyle w:val="ConsPlusNonformat"/>
        <w:jc w:val="both"/>
      </w:pPr>
      <w:r>
        <w:t xml:space="preserve">                              сокращенное наименование юридического лица)</w:t>
      </w:r>
    </w:p>
    <w:p w:rsidR="00E05405" w:rsidRDefault="00E05405">
      <w:pPr>
        <w:pStyle w:val="ConsPlusNonformat"/>
        <w:jc w:val="both"/>
      </w:pPr>
      <w:r>
        <w:t xml:space="preserve">                          </w:t>
      </w:r>
      <w:proofErr w:type="gramStart"/>
      <w:r>
        <w:t>действующего от имени ___________________________</w:t>
      </w:r>
      <w:proofErr w:type="gramEnd"/>
    </w:p>
    <w:p w:rsidR="00E05405" w:rsidRDefault="00E05405">
      <w:pPr>
        <w:pStyle w:val="ConsPlusNonformat"/>
        <w:jc w:val="both"/>
      </w:pPr>
      <w:r>
        <w:t xml:space="preserve">                                        (Ф.И.О. или наименование заявителя)</w:t>
      </w:r>
    </w:p>
    <w:p w:rsidR="00E05405" w:rsidRDefault="00E05405">
      <w:pPr>
        <w:pStyle w:val="ConsPlusNonformat"/>
        <w:jc w:val="both"/>
      </w:pPr>
      <w:r>
        <w:t xml:space="preserve">                          на основании ____________________________________</w:t>
      </w:r>
    </w:p>
    <w:p w:rsidR="00E05405" w:rsidRDefault="00E05405">
      <w:pPr>
        <w:pStyle w:val="ConsPlusNonformat"/>
        <w:jc w:val="both"/>
      </w:pPr>
      <w:r>
        <w:t xml:space="preserve">                             </w:t>
      </w:r>
      <w:proofErr w:type="gramStart"/>
      <w:r>
        <w:t>(указываются данные документа, подтверждающего</w:t>
      </w:r>
      <w:proofErr w:type="gramEnd"/>
    </w:p>
    <w:p w:rsidR="00E05405" w:rsidRDefault="00E05405">
      <w:pPr>
        <w:pStyle w:val="ConsPlusNonformat"/>
        <w:jc w:val="both"/>
      </w:pPr>
      <w:r>
        <w:t xml:space="preserve">                                        полномочия представителя)</w:t>
      </w:r>
    </w:p>
    <w:p w:rsidR="00E05405" w:rsidRDefault="00E05405">
      <w:pPr>
        <w:pStyle w:val="ConsPlusNonformat"/>
        <w:jc w:val="both"/>
      </w:pPr>
      <w:r>
        <w:t xml:space="preserve">                          </w:t>
      </w:r>
      <w:proofErr w:type="gramStart"/>
      <w:r>
        <w:t>зарегистрирован</w:t>
      </w:r>
      <w:proofErr w:type="gramEnd"/>
      <w:r>
        <w:t xml:space="preserve"> по адресу: ______________________</w:t>
      </w:r>
    </w:p>
    <w:p w:rsidR="00E05405" w:rsidRDefault="00E05405">
      <w:pPr>
        <w:pStyle w:val="ConsPlusNonformat"/>
        <w:jc w:val="both"/>
      </w:pPr>
      <w:r>
        <w:t xml:space="preserve">                          контактный телефон: _____________________________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center"/>
      </w:pPr>
      <w:bookmarkStart w:id="3" w:name="P457"/>
      <w:bookmarkEnd w:id="3"/>
      <w:r>
        <w:t>ЗАЯВЛЕНИЕ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nformat"/>
        <w:jc w:val="both"/>
      </w:pPr>
      <w:r>
        <w:t xml:space="preserve">    Прошу  рассмотреть на градостроительном совете документацию по объекту:</w:t>
      </w:r>
    </w:p>
    <w:p w:rsidR="00E05405" w:rsidRDefault="00E05405">
      <w:pPr>
        <w:pStyle w:val="ConsPlusNonformat"/>
        <w:jc w:val="both"/>
      </w:pPr>
      <w:proofErr w:type="gramStart"/>
      <w:r>
        <w:t>________________________________, расположенному по адресу: город Мурманск,</w:t>
      </w:r>
      <w:proofErr w:type="gramEnd"/>
    </w:p>
    <w:p w:rsidR="00E05405" w:rsidRDefault="00E05405">
      <w:pPr>
        <w:pStyle w:val="ConsPlusNonformat"/>
        <w:jc w:val="both"/>
      </w:pPr>
      <w:r>
        <w:t>ул._______________, дом N ________.</w:t>
      </w:r>
    </w:p>
    <w:p w:rsidR="00E05405" w:rsidRDefault="00E05405">
      <w:pPr>
        <w:pStyle w:val="ConsPlusNonformat"/>
        <w:jc w:val="both"/>
      </w:pPr>
    </w:p>
    <w:p w:rsidR="00E05405" w:rsidRDefault="00E05405">
      <w:pPr>
        <w:pStyle w:val="ConsPlusNonformat"/>
        <w:jc w:val="both"/>
      </w:pPr>
      <w:r>
        <w:t xml:space="preserve">    Приложение:</w:t>
      </w:r>
    </w:p>
    <w:p w:rsidR="00E05405" w:rsidRDefault="00E05405">
      <w:pPr>
        <w:pStyle w:val="ConsPlusNonformat"/>
        <w:jc w:val="both"/>
      </w:pPr>
    </w:p>
    <w:p w:rsidR="00E05405" w:rsidRDefault="00E05405">
      <w:pPr>
        <w:pStyle w:val="ConsPlusNonformat"/>
        <w:jc w:val="both"/>
      </w:pPr>
      <w:r>
        <w:t xml:space="preserve">    Состав   предоставляемой   документации   в  соответствии  с  перечнем,</w:t>
      </w:r>
    </w:p>
    <w:p w:rsidR="00E05405" w:rsidRDefault="00E05405">
      <w:pPr>
        <w:pStyle w:val="ConsPlusNonformat"/>
        <w:jc w:val="both"/>
      </w:pPr>
      <w:proofErr w:type="gramStart"/>
      <w:r>
        <w:t>указанным</w:t>
      </w:r>
      <w:proofErr w:type="gramEnd"/>
      <w:r>
        <w:t xml:space="preserve">   в   </w:t>
      </w:r>
      <w:hyperlink w:anchor="P58" w:history="1">
        <w:r>
          <w:rPr>
            <w:color w:val="0000FF"/>
          </w:rPr>
          <w:t>разделе   2</w:t>
        </w:r>
      </w:hyperlink>
      <w:r>
        <w:t xml:space="preserve">   Положения  "О  градостроительном  совете  при</w:t>
      </w:r>
    </w:p>
    <w:p w:rsidR="00E05405" w:rsidRDefault="00E05405">
      <w:pPr>
        <w:pStyle w:val="ConsPlusNonformat"/>
        <w:jc w:val="both"/>
      </w:pPr>
      <w:r>
        <w:t>администрации города Мурманска".</w:t>
      </w:r>
    </w:p>
    <w:p w:rsidR="00E05405" w:rsidRDefault="00E05405">
      <w:pPr>
        <w:pStyle w:val="ConsPlusNonformat"/>
        <w:jc w:val="both"/>
      </w:pPr>
    </w:p>
    <w:p w:rsidR="00E05405" w:rsidRDefault="00E05405">
      <w:pPr>
        <w:pStyle w:val="ConsPlusNonformat"/>
        <w:jc w:val="both"/>
      </w:pPr>
      <w:r>
        <w:t>Подпись: __________                                       Дата: ___________</w:t>
      </w: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jc w:val="both"/>
      </w:pPr>
    </w:p>
    <w:p w:rsidR="00E05405" w:rsidRDefault="00E054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E16" w:rsidRDefault="007A4E16">
      <w:bookmarkStart w:id="4" w:name="_GoBack"/>
      <w:bookmarkEnd w:id="4"/>
    </w:p>
    <w:sectPr w:rsidR="007A4E16" w:rsidSect="00990D0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5"/>
    <w:rsid w:val="007A4E16"/>
    <w:rsid w:val="00E0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5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5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54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5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54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865BF15B87DCB33FF11907C934DEE4AA98CE19B79E2E56A358E2341A3915E35CAE41F2081549342FB8B8E8139130F592CCA08DB7E584B6960EF24E28zEG" TargetMode="External"/><Relationship Id="rId13" Type="http://schemas.openxmlformats.org/officeDocument/2006/relationships/hyperlink" Target="consultantplus://offline/ref=C6865BF15B87DCB33FF11907C934DEE4AA98CE19B299265EA055BF3E126019E15BA11EF70F0449372CA6B9E9089864A62Dz6G" TargetMode="External"/><Relationship Id="rId18" Type="http://schemas.openxmlformats.org/officeDocument/2006/relationships/hyperlink" Target="consultantplus://offline/ref=C6865BF15B87DCB33FF11907C934DEE4AA98CE19B3962B5BA655BF3E126019E15BA11EE50F5C45352FB8B8E01DCE35E08394AF8CAAFA84A98A0CF024zCG" TargetMode="External"/><Relationship Id="rId26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865BF15B87DCB33FF11907C934DEE4AA98CE19B3962B5BA655BF3E126019E15BA11EE50F5C45352FB8B8E11DCE35E08394AF8CAAFA84A98A0CF024zCG" TargetMode="External"/><Relationship Id="rId7" Type="http://schemas.openxmlformats.org/officeDocument/2006/relationships/hyperlink" Target="consultantplus://offline/ref=C6865BF15B87DCB33FF11907C934DEE4AA98CE19B19E2D5DA655BF3E126019E15BA11EE50F5C45352FB8B8ED1DCE35E08394AF8CAAFA84A98A0CF024zCG" TargetMode="External"/><Relationship Id="rId12" Type="http://schemas.openxmlformats.org/officeDocument/2006/relationships/hyperlink" Target="consultantplus://offline/ref=C6865BF15B87DCB33FF11907C934DEE4AA98CE19B3982D5BA355BF3E126019E15BA11EE50F5C45352FB9B9EB1DCE35E08394AF8CAAFA84A98A0CF024zCG" TargetMode="External"/><Relationship Id="rId17" Type="http://schemas.openxmlformats.org/officeDocument/2006/relationships/hyperlink" Target="consultantplus://offline/ref=C6865BF15B87DCB33FF11907C934DEE4AA98CE19B3962B5BA655BF3E126019E15BA11EE50F5C45352FB8B8EE1DCE35E08394AF8CAAFA84A98A0CF024zCG" TargetMode="External"/><Relationship Id="rId25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6865BF15B87DCB33FF11907C934DEE4AA98CE19B4962957A655BF3E126019E15BA11EF70F0449372CA6B9E9089864A62Dz6G" TargetMode="External"/><Relationship Id="rId20" Type="http://schemas.openxmlformats.org/officeDocument/2006/relationships/hyperlink" Target="consultantplus://offline/ref=C6865BF15B87DCB33FF11907C934DEE4AA98CE19B79E2E56A358E2341A3915E35CAE41F2081549342FB8B8E8139130F592CCA08DB7E584B6960EF24E28zEG" TargetMode="External"/><Relationship Id="rId29" Type="http://schemas.openxmlformats.org/officeDocument/2006/relationships/hyperlink" Target="consultantplus://offline/ref=C6865BF15B87DCB33FF11907C934DEE4AA98CE19B19E2D5DA655BF3E126019E15BA11EE50F5C45352FB8B8EE1DCE35E08394AF8CAAFA84A98A0CF024z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865BF15B87DCB33FF11907C934DEE4AA98CE19B3962B5BA655BF3E126019E15BA11EE50F5C45352FB8B8ED1DCE35E08394AF8CAAFA84A98A0CF024zCG" TargetMode="External"/><Relationship Id="rId11" Type="http://schemas.openxmlformats.org/officeDocument/2006/relationships/hyperlink" Target="consultantplus://offline/ref=C6865BF15B87DCB33FF1070ADF5880E1AC929717B19F2408F80AE463456913B60EEE1FAB49525A342EA6BAE81429zAG" TargetMode="External"/><Relationship Id="rId24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6865BF15B87DCB33FF11907C934DEE4AA98CE19B3982F5AA755BF3E126019E15BA11EE50F5C45352EBABBE01DCE35E08394AF8CAAFA84A98A0CF024zCG" TargetMode="External"/><Relationship Id="rId23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28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10" Type="http://schemas.openxmlformats.org/officeDocument/2006/relationships/hyperlink" Target="consultantplus://offline/ref=C6865BF15B87DCB33FF1070ADF5880E1AC949716B3972408F80AE463456913B60EEE1FAB49525A342EA6BAE81429zAG" TargetMode="External"/><Relationship Id="rId19" Type="http://schemas.openxmlformats.org/officeDocument/2006/relationships/hyperlink" Target="consultantplus://offline/ref=C6865BF15B87DCB33FF11907C934DEE4AA98CE19B19E2D5DA655BF3E126019E15BA11EE50F5C45352FB8B8ED1DCE35E08394AF8CAAFA84A98A0CF024zC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865BF15B87DCB33FF1070ADF5880E1AC94931CBE9A2408F80AE463456913B60EEE1FAB49525A342EA6BAE81429zAG" TargetMode="External"/><Relationship Id="rId14" Type="http://schemas.openxmlformats.org/officeDocument/2006/relationships/hyperlink" Target="consultantplus://offline/ref=C6865BF15B87DCB33FF11907C934DEE4AA98CE19B3992E5DA655BF3E126019E15BA11EE50F5C45352FB9BCE11DCE35E08394AF8CAAFA84A98A0CF024zCG" TargetMode="External"/><Relationship Id="rId22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27" Type="http://schemas.openxmlformats.org/officeDocument/2006/relationships/hyperlink" Target="consultantplus://offline/ref=C6865BF15B87DCB33FF11907C934DEE4AA98CE19B79E2E56A358E2341A3915E35CAE41F2081549342FB8B8E8109130F592CCA08DB7E584B6960EF24E28zEG" TargetMode="External"/><Relationship Id="rId30" Type="http://schemas.openxmlformats.org/officeDocument/2006/relationships/hyperlink" Target="consultantplus://offline/ref=C6865BF15B87DCB33FF11907C934DEE4AA98CE19B19E2D5DA655BF3E126019E15BA11EE50F5C45352FB8BAEF1DCE35E08394AF8CAAFA84A98A0CF024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Наталья Валерьевна</dc:creator>
  <cp:lastModifiedBy>Козырева Наталья Валерьевна</cp:lastModifiedBy>
  <cp:revision>1</cp:revision>
  <dcterms:created xsi:type="dcterms:W3CDTF">2020-11-23T06:51:00Z</dcterms:created>
  <dcterms:modified xsi:type="dcterms:W3CDTF">2020-11-23T06:54:00Z</dcterms:modified>
</cp:coreProperties>
</file>