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10" w:rsidRPr="00165C07" w:rsidRDefault="00203810" w:rsidP="00203810">
      <w:pPr>
        <w:pStyle w:val="3"/>
        <w:ind w:right="-141"/>
        <w:jc w:val="center"/>
        <w:rPr>
          <w:sz w:val="26"/>
        </w:rPr>
      </w:pPr>
      <w:r w:rsidRPr="00165C07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10" w:rsidRPr="00165C07" w:rsidRDefault="00203810" w:rsidP="00203810">
      <w:pPr>
        <w:pStyle w:val="3"/>
        <w:jc w:val="center"/>
        <w:rPr>
          <w:sz w:val="16"/>
        </w:rPr>
      </w:pPr>
    </w:p>
    <w:p w:rsidR="00203810" w:rsidRPr="00165C07" w:rsidRDefault="00203810" w:rsidP="00203810">
      <w:pPr>
        <w:pStyle w:val="3"/>
        <w:ind w:right="0"/>
        <w:jc w:val="center"/>
        <w:rPr>
          <w:sz w:val="32"/>
        </w:rPr>
      </w:pPr>
      <w:r w:rsidRPr="00165C07">
        <w:rPr>
          <w:sz w:val="32"/>
        </w:rPr>
        <w:t>АДМИНИСТРАЦИЯ ГОРОДА МУРМАНСКА</w:t>
      </w:r>
    </w:p>
    <w:p w:rsidR="00203810" w:rsidRPr="00165C07" w:rsidRDefault="00203810" w:rsidP="00203810">
      <w:pPr>
        <w:ind w:right="-521" w:hanging="567"/>
        <w:jc w:val="center"/>
        <w:rPr>
          <w:b/>
          <w:sz w:val="32"/>
        </w:rPr>
      </w:pPr>
    </w:p>
    <w:p w:rsidR="00203810" w:rsidRPr="00165C07" w:rsidRDefault="00203810" w:rsidP="00203810">
      <w:pPr>
        <w:pStyle w:val="5"/>
      </w:pPr>
      <w:proofErr w:type="gramStart"/>
      <w:r w:rsidRPr="00165C07">
        <w:t>П</w:t>
      </w:r>
      <w:proofErr w:type="gramEnd"/>
      <w:r w:rsidRPr="00165C07">
        <w:t xml:space="preserve"> О С Т А Н О В Л Е Н И Е </w:t>
      </w:r>
    </w:p>
    <w:p w:rsidR="00203810" w:rsidRPr="00165C07" w:rsidRDefault="00203810" w:rsidP="00203810">
      <w:pPr>
        <w:ind w:right="-521" w:hanging="567"/>
        <w:jc w:val="center"/>
        <w:rPr>
          <w:b/>
          <w:sz w:val="32"/>
        </w:rPr>
      </w:pPr>
    </w:p>
    <w:p w:rsidR="00203810" w:rsidRPr="00165C07" w:rsidRDefault="00203810" w:rsidP="00203810">
      <w:pPr>
        <w:ind w:right="-521" w:hanging="567"/>
        <w:jc w:val="center"/>
        <w:rPr>
          <w:b/>
          <w:sz w:val="32"/>
        </w:rPr>
      </w:pPr>
    </w:p>
    <w:p w:rsidR="00203810" w:rsidRPr="00165C07" w:rsidRDefault="00D93BA0" w:rsidP="00D93BA0">
      <w:pPr>
        <w:rPr>
          <w:b/>
        </w:rPr>
      </w:pPr>
      <w:r>
        <w:t>14.11.2017</w:t>
      </w:r>
      <w:r w:rsidR="00203810" w:rsidRPr="00165C07">
        <w:t xml:space="preserve">                                                                                                          </w:t>
      </w:r>
      <w:r w:rsidR="00203810" w:rsidRPr="00165C07">
        <w:rPr>
          <w:szCs w:val="28"/>
        </w:rPr>
        <w:t xml:space="preserve">№ </w:t>
      </w:r>
      <w:r>
        <w:t>3630</w:t>
      </w:r>
    </w:p>
    <w:p w:rsidR="00203810" w:rsidRPr="00165C07" w:rsidRDefault="00203810" w:rsidP="00203810"/>
    <w:p w:rsidR="00203810" w:rsidRPr="00165C07" w:rsidRDefault="00203810" w:rsidP="00203810">
      <w:pPr>
        <w:jc w:val="center"/>
        <w:rPr>
          <w:b/>
          <w:bCs/>
          <w:szCs w:val="28"/>
        </w:rPr>
      </w:pPr>
      <w:r w:rsidRPr="00165C07">
        <w:rPr>
          <w:b/>
          <w:szCs w:val="28"/>
        </w:rPr>
        <w:t xml:space="preserve">О прогнозе </w:t>
      </w:r>
      <w:r w:rsidRPr="00165C07">
        <w:rPr>
          <w:b/>
          <w:bCs/>
          <w:szCs w:val="28"/>
        </w:rPr>
        <w:t xml:space="preserve">социально-экономического развития </w:t>
      </w:r>
    </w:p>
    <w:p w:rsidR="00203810" w:rsidRPr="00165C07" w:rsidRDefault="00203810" w:rsidP="00203810">
      <w:pPr>
        <w:jc w:val="center"/>
        <w:rPr>
          <w:b/>
          <w:bCs/>
          <w:szCs w:val="28"/>
        </w:rPr>
      </w:pPr>
      <w:r w:rsidRPr="00165C07">
        <w:rPr>
          <w:b/>
          <w:bCs/>
          <w:szCs w:val="28"/>
        </w:rPr>
        <w:t xml:space="preserve">муниципального образования город Мурманск на 2018 год </w:t>
      </w:r>
    </w:p>
    <w:p w:rsidR="00203810" w:rsidRPr="00165C07" w:rsidRDefault="00203810" w:rsidP="00203810">
      <w:pPr>
        <w:jc w:val="center"/>
        <w:rPr>
          <w:b/>
          <w:bCs/>
          <w:szCs w:val="28"/>
        </w:rPr>
      </w:pPr>
      <w:r w:rsidRPr="00165C07">
        <w:rPr>
          <w:b/>
          <w:bCs/>
          <w:szCs w:val="28"/>
        </w:rPr>
        <w:t>и плановый период 2019 и 2020 годов</w:t>
      </w:r>
    </w:p>
    <w:p w:rsidR="00203810" w:rsidRPr="00165C07" w:rsidRDefault="00203810" w:rsidP="00203810"/>
    <w:p w:rsidR="00203810" w:rsidRPr="00165C07" w:rsidRDefault="00203810" w:rsidP="00203810"/>
    <w:p w:rsidR="00203810" w:rsidRPr="00165C07" w:rsidRDefault="00203810" w:rsidP="00203810">
      <w:pPr>
        <w:ind w:firstLine="709"/>
        <w:jc w:val="both"/>
        <w:rPr>
          <w:b/>
          <w:spacing w:val="20"/>
          <w:szCs w:val="28"/>
        </w:rPr>
      </w:pPr>
      <w:proofErr w:type="gramStart"/>
      <w:r w:rsidRPr="00165C07">
        <w:rPr>
          <w:spacing w:val="4"/>
          <w:szCs w:val="28"/>
        </w:rPr>
        <w:t>В соответствии со статьей 173 Бюджетного кодекса Российской Федерации, статьей 17 Федерального закона от 06.10.2003 №131-ФЗ «Об общих принципах организации местного самоуправления в Российской Федерации», постановлением Правительства Мурманской области от 04.08.2015 №331-ПП «О порядке разработки, корректировки, осуществления мониторинга и контроля реализации прогнозов социально-экономического развития Мурманской области на среднесрочный и долгосрочный периоды», статьей 45 Устава муниципального образования город Мурманск, решениями Советадепутатов</w:t>
      </w:r>
      <w:proofErr w:type="gramEnd"/>
      <w:r w:rsidRPr="00165C07">
        <w:rPr>
          <w:spacing w:val="4"/>
          <w:szCs w:val="28"/>
        </w:rPr>
        <w:t xml:space="preserve"> </w:t>
      </w:r>
      <w:proofErr w:type="gramStart"/>
      <w:r w:rsidRPr="00165C07">
        <w:rPr>
          <w:spacing w:val="4"/>
          <w:szCs w:val="28"/>
        </w:rPr>
        <w:t xml:space="preserve">города Мурманска от 26.05.2008 №50-618 «Об утверждении «Положения о бюджетном устройстве и бюджетном процессе в муниципальном образовании город Мурманск», </w:t>
      </w:r>
      <w:hyperlink r:id="rId9" w:history="1">
        <w:r w:rsidRPr="00165C07">
          <w:rPr>
            <w:spacing w:val="4"/>
            <w:szCs w:val="28"/>
          </w:rPr>
          <w:t>от 27.03.2015 № 10-135 «Об утверждении положения о стратегическом планировании в городе Мурманске</w:t>
        </w:r>
      </w:hyperlink>
      <w:r w:rsidRPr="00165C07">
        <w:rPr>
          <w:spacing w:val="4"/>
          <w:szCs w:val="28"/>
        </w:rPr>
        <w:t>», постановлением администрации города Мурманска от 10.06.2015 №1524 «Об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периоды», в целях осуществления бюджетного процесса в</w:t>
      </w:r>
      <w:proofErr w:type="gramEnd"/>
      <w:r w:rsidRPr="00165C07">
        <w:rPr>
          <w:spacing w:val="4"/>
          <w:szCs w:val="28"/>
        </w:rPr>
        <w:t xml:space="preserve"> муниципальном образовании город Мурманск </w:t>
      </w:r>
      <w:proofErr w:type="gramStart"/>
      <w:r w:rsidRPr="00165C07">
        <w:rPr>
          <w:b/>
          <w:spacing w:val="20"/>
          <w:szCs w:val="28"/>
        </w:rPr>
        <w:t>п</w:t>
      </w:r>
      <w:proofErr w:type="gramEnd"/>
      <w:r w:rsidRPr="00165C07">
        <w:rPr>
          <w:b/>
          <w:spacing w:val="20"/>
          <w:szCs w:val="28"/>
        </w:rPr>
        <w:t xml:space="preserve"> о с т а н о в л я ю:</w:t>
      </w:r>
    </w:p>
    <w:p w:rsidR="00203810" w:rsidRPr="00165C07" w:rsidRDefault="00203810" w:rsidP="00203810">
      <w:pPr>
        <w:ind w:firstLine="709"/>
        <w:jc w:val="both"/>
        <w:rPr>
          <w:szCs w:val="28"/>
        </w:rPr>
      </w:pPr>
    </w:p>
    <w:p w:rsidR="00203810" w:rsidRPr="00165C07" w:rsidRDefault="00203810" w:rsidP="0020381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5C07">
        <w:rPr>
          <w:sz w:val="28"/>
          <w:szCs w:val="28"/>
        </w:rPr>
        <w:t xml:space="preserve"> Одобрить прогноз социально-экономического развития муниципального образования город Мурманск на 2018 год и плановый период 2019 и 2020 годов согласно приложению к настоящему постановлению.</w:t>
      </w:r>
    </w:p>
    <w:p w:rsidR="00203810" w:rsidRPr="00165C07" w:rsidRDefault="00203810" w:rsidP="0020381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5C07">
        <w:rPr>
          <w:sz w:val="28"/>
          <w:szCs w:val="28"/>
        </w:rPr>
        <w:t xml:space="preserve">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5C07">
        <w:rPr>
          <w:sz w:val="28"/>
          <w:szCs w:val="28"/>
        </w:rPr>
        <w:t>разместить</w:t>
      </w:r>
      <w:proofErr w:type="gramEnd"/>
      <w:r w:rsidRPr="00165C07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203810" w:rsidRPr="00165C07" w:rsidRDefault="00203810" w:rsidP="0020381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5C07">
        <w:rPr>
          <w:sz w:val="28"/>
          <w:szCs w:val="28"/>
        </w:rPr>
        <w:t>Редакции газеты «Вечерний Мурманск» (</w:t>
      </w:r>
      <w:proofErr w:type="gramStart"/>
      <w:r w:rsidRPr="00165C07">
        <w:rPr>
          <w:sz w:val="28"/>
          <w:szCs w:val="28"/>
        </w:rPr>
        <w:t>Хабаров</w:t>
      </w:r>
      <w:proofErr w:type="gramEnd"/>
      <w:r w:rsidRPr="00165C07">
        <w:rPr>
          <w:sz w:val="28"/>
          <w:szCs w:val="28"/>
        </w:rPr>
        <w:t xml:space="preserve"> В.А.) опубликовать настоящее постановление с приложением.</w:t>
      </w:r>
    </w:p>
    <w:p w:rsidR="00203810" w:rsidRPr="00165C07" w:rsidRDefault="00203810" w:rsidP="0020381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5C07">
        <w:rPr>
          <w:sz w:val="28"/>
          <w:szCs w:val="28"/>
        </w:rPr>
        <w:lastRenderedPageBreak/>
        <w:t>Настоящее постановление вступает в силу со дня официального опубликования.</w:t>
      </w:r>
    </w:p>
    <w:p w:rsidR="00203810" w:rsidRPr="00165C07" w:rsidRDefault="00203810" w:rsidP="0020381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65C07">
        <w:rPr>
          <w:sz w:val="28"/>
          <w:szCs w:val="28"/>
        </w:rPr>
        <w:t>Контроль за</w:t>
      </w:r>
      <w:proofErr w:type="gramEnd"/>
      <w:r w:rsidRPr="00165C0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03810" w:rsidRPr="00165C07" w:rsidRDefault="00203810" w:rsidP="00203810">
      <w:pPr>
        <w:rPr>
          <w:szCs w:val="28"/>
        </w:rPr>
      </w:pPr>
    </w:p>
    <w:p w:rsidR="00203810" w:rsidRPr="00165C07" w:rsidRDefault="00203810" w:rsidP="00203810">
      <w:pPr>
        <w:rPr>
          <w:szCs w:val="28"/>
        </w:rPr>
      </w:pPr>
    </w:p>
    <w:p w:rsidR="00203810" w:rsidRPr="00165C07" w:rsidRDefault="00203810" w:rsidP="00203810">
      <w:pPr>
        <w:rPr>
          <w:szCs w:val="28"/>
        </w:rPr>
      </w:pPr>
    </w:p>
    <w:tbl>
      <w:tblPr>
        <w:tblW w:w="9889" w:type="dxa"/>
        <w:tblLook w:val="0000"/>
      </w:tblPr>
      <w:tblGrid>
        <w:gridCol w:w="5920"/>
        <w:gridCol w:w="668"/>
        <w:gridCol w:w="3301"/>
      </w:tblGrid>
      <w:tr w:rsidR="00203810" w:rsidRPr="00165C07" w:rsidTr="00650DE0">
        <w:tc>
          <w:tcPr>
            <w:tcW w:w="5920" w:type="dxa"/>
          </w:tcPr>
          <w:p w:rsidR="00650DE0" w:rsidRDefault="00650DE0" w:rsidP="00595BE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Временно </w:t>
            </w:r>
            <w:proofErr w:type="gramStart"/>
            <w:r>
              <w:rPr>
                <w:b/>
                <w:szCs w:val="28"/>
              </w:rPr>
              <w:t>исполняющий</w:t>
            </w:r>
            <w:proofErr w:type="gramEnd"/>
            <w:r>
              <w:rPr>
                <w:b/>
                <w:szCs w:val="28"/>
              </w:rPr>
              <w:t xml:space="preserve"> полномочия </w:t>
            </w:r>
          </w:p>
          <w:p w:rsidR="00203810" w:rsidRPr="00165C07" w:rsidRDefault="00650DE0" w:rsidP="00595BE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главы администрации города Мурманска</w:t>
            </w:r>
          </w:p>
        </w:tc>
        <w:tc>
          <w:tcPr>
            <w:tcW w:w="668" w:type="dxa"/>
          </w:tcPr>
          <w:p w:rsidR="00203810" w:rsidRPr="00165C07" w:rsidRDefault="00203810" w:rsidP="00595BE6">
            <w:pPr>
              <w:jc w:val="both"/>
              <w:rPr>
                <w:b/>
                <w:szCs w:val="28"/>
              </w:rPr>
            </w:pPr>
          </w:p>
        </w:tc>
        <w:tc>
          <w:tcPr>
            <w:tcW w:w="3301" w:type="dxa"/>
          </w:tcPr>
          <w:p w:rsidR="00203810" w:rsidRPr="00165C07" w:rsidRDefault="00203810" w:rsidP="00595BE6">
            <w:pPr>
              <w:jc w:val="right"/>
              <w:rPr>
                <w:b/>
                <w:bCs/>
                <w:szCs w:val="28"/>
              </w:rPr>
            </w:pPr>
          </w:p>
          <w:p w:rsidR="00203810" w:rsidRPr="00165C07" w:rsidRDefault="00650DE0" w:rsidP="00595BE6">
            <w:pPr>
              <w:jc w:val="right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А.Г. Лыженков</w:t>
            </w:r>
          </w:p>
        </w:tc>
      </w:tr>
    </w:tbl>
    <w:p w:rsidR="00203810" w:rsidRPr="00165C07" w:rsidRDefault="00203810" w:rsidP="00203810">
      <w:pPr>
        <w:rPr>
          <w:szCs w:val="28"/>
        </w:rPr>
      </w:pPr>
    </w:p>
    <w:p w:rsidR="00203810" w:rsidRPr="00165C07" w:rsidRDefault="00203810" w:rsidP="00203810">
      <w:pPr>
        <w:pStyle w:val="1"/>
        <w:spacing w:before="0" w:after="0"/>
        <w:jc w:val="center"/>
        <w:rPr>
          <w:b w:val="0"/>
          <w:caps w:val="0"/>
          <w:sz w:val="28"/>
          <w:szCs w:val="28"/>
        </w:rPr>
        <w:sectPr w:rsidR="00203810" w:rsidRPr="00165C07" w:rsidSect="006A291F">
          <w:headerReference w:type="even" r:id="rId10"/>
          <w:headerReference w:type="default" r:id="rId11"/>
          <w:footerReference w:type="even" r:id="rId12"/>
          <w:pgSz w:w="11907" w:h="16840" w:code="9"/>
          <w:pgMar w:top="1134" w:right="851" w:bottom="1134" w:left="1418" w:header="567" w:footer="397" w:gutter="0"/>
          <w:pgNumType w:start="1"/>
          <w:cols w:space="720"/>
          <w:titlePg/>
          <w:docGrid w:linePitch="381"/>
        </w:sectPr>
      </w:pPr>
    </w:p>
    <w:tbl>
      <w:tblPr>
        <w:tblW w:w="0" w:type="auto"/>
        <w:tblLook w:val="04A0"/>
      </w:tblPr>
      <w:tblGrid>
        <w:gridCol w:w="10287"/>
        <w:gridCol w:w="4501"/>
      </w:tblGrid>
      <w:tr w:rsidR="00843B99" w:rsidRPr="00165C07" w:rsidTr="00D93BA0">
        <w:trPr>
          <w:trHeight w:val="1276"/>
        </w:trPr>
        <w:tc>
          <w:tcPr>
            <w:tcW w:w="10287" w:type="dxa"/>
          </w:tcPr>
          <w:p w:rsidR="00843B99" w:rsidRPr="00165C07" w:rsidRDefault="00843B99" w:rsidP="00203810">
            <w:pPr>
              <w:spacing w:after="200" w:line="276" w:lineRule="auto"/>
              <w:rPr>
                <w:spacing w:val="-3"/>
                <w:szCs w:val="28"/>
              </w:rPr>
            </w:pPr>
          </w:p>
        </w:tc>
        <w:tc>
          <w:tcPr>
            <w:tcW w:w="4501" w:type="dxa"/>
          </w:tcPr>
          <w:p w:rsidR="00843B99" w:rsidRPr="00165C07" w:rsidRDefault="00843B99" w:rsidP="004A3D34">
            <w:pPr>
              <w:jc w:val="center"/>
              <w:rPr>
                <w:spacing w:val="-3"/>
                <w:szCs w:val="28"/>
              </w:rPr>
            </w:pPr>
            <w:r w:rsidRPr="00165C07">
              <w:rPr>
                <w:spacing w:val="-3"/>
                <w:szCs w:val="28"/>
              </w:rPr>
              <w:t>Приложение</w:t>
            </w:r>
          </w:p>
          <w:p w:rsidR="00843B99" w:rsidRPr="00165C07" w:rsidRDefault="00843B99" w:rsidP="004A3D34">
            <w:pPr>
              <w:jc w:val="center"/>
              <w:rPr>
                <w:spacing w:val="-3"/>
                <w:szCs w:val="28"/>
              </w:rPr>
            </w:pPr>
            <w:r w:rsidRPr="00165C07">
              <w:rPr>
                <w:spacing w:val="-3"/>
                <w:szCs w:val="28"/>
              </w:rPr>
              <w:t>к постановлению администрации</w:t>
            </w:r>
          </w:p>
          <w:p w:rsidR="00843B99" w:rsidRPr="00165C07" w:rsidRDefault="00843B99" w:rsidP="004A3D34">
            <w:pPr>
              <w:jc w:val="center"/>
              <w:rPr>
                <w:spacing w:val="-3"/>
                <w:szCs w:val="28"/>
              </w:rPr>
            </w:pPr>
            <w:r w:rsidRPr="00165C07">
              <w:rPr>
                <w:spacing w:val="-3"/>
                <w:szCs w:val="28"/>
              </w:rPr>
              <w:t>города Мурманска</w:t>
            </w:r>
          </w:p>
          <w:p w:rsidR="00843B99" w:rsidRPr="00165C07" w:rsidRDefault="00843B99" w:rsidP="00D93BA0">
            <w:pPr>
              <w:jc w:val="center"/>
              <w:rPr>
                <w:spacing w:val="-3"/>
                <w:szCs w:val="28"/>
              </w:rPr>
            </w:pPr>
            <w:r w:rsidRPr="00165C07">
              <w:rPr>
                <w:spacing w:val="-3"/>
                <w:szCs w:val="28"/>
              </w:rPr>
              <w:t xml:space="preserve">от </w:t>
            </w:r>
            <w:r w:rsidR="00D93BA0">
              <w:t>14.11.2017</w:t>
            </w:r>
            <w:r w:rsidRPr="00165C07">
              <w:t xml:space="preserve"> </w:t>
            </w:r>
            <w:r w:rsidRPr="00165C07">
              <w:rPr>
                <w:spacing w:val="-3"/>
                <w:szCs w:val="28"/>
              </w:rPr>
              <w:t xml:space="preserve">№ </w:t>
            </w:r>
            <w:r w:rsidR="00D93BA0">
              <w:t>3630</w:t>
            </w:r>
          </w:p>
        </w:tc>
      </w:tr>
    </w:tbl>
    <w:p w:rsidR="00843B99" w:rsidRPr="00585E12" w:rsidRDefault="00843B99" w:rsidP="00843B99">
      <w:pPr>
        <w:pStyle w:val="1"/>
        <w:spacing w:before="0" w:after="0"/>
        <w:jc w:val="center"/>
        <w:rPr>
          <w:b w:val="0"/>
          <w:caps w:val="0"/>
          <w:sz w:val="22"/>
          <w:szCs w:val="22"/>
        </w:rPr>
      </w:pPr>
    </w:p>
    <w:p w:rsidR="00843B99" w:rsidRPr="00585E12" w:rsidRDefault="00843B99" w:rsidP="00843B99">
      <w:pPr>
        <w:pStyle w:val="1"/>
        <w:spacing w:before="0" w:after="0"/>
        <w:jc w:val="center"/>
        <w:rPr>
          <w:b w:val="0"/>
          <w:caps w:val="0"/>
          <w:sz w:val="22"/>
          <w:szCs w:val="22"/>
        </w:rPr>
      </w:pPr>
    </w:p>
    <w:p w:rsidR="00843B99" w:rsidRPr="00511190" w:rsidRDefault="00843B99" w:rsidP="00843B99">
      <w:pPr>
        <w:pStyle w:val="1"/>
        <w:spacing w:before="0" w:after="0"/>
        <w:jc w:val="center"/>
        <w:rPr>
          <w:b w:val="0"/>
          <w:caps w:val="0"/>
          <w:sz w:val="28"/>
          <w:szCs w:val="28"/>
        </w:rPr>
      </w:pPr>
      <w:r w:rsidRPr="00511190">
        <w:rPr>
          <w:b w:val="0"/>
          <w:caps w:val="0"/>
          <w:sz w:val="28"/>
          <w:szCs w:val="28"/>
        </w:rPr>
        <w:t xml:space="preserve">Прогноз социально-экономического развития муниципального образования город Мурманск </w:t>
      </w:r>
    </w:p>
    <w:p w:rsidR="00843B99" w:rsidRDefault="00843B99" w:rsidP="00843B99">
      <w:pPr>
        <w:pStyle w:val="1"/>
        <w:spacing w:before="0" w:after="0"/>
        <w:jc w:val="center"/>
        <w:rPr>
          <w:b w:val="0"/>
          <w:caps w:val="0"/>
          <w:sz w:val="28"/>
          <w:szCs w:val="28"/>
        </w:rPr>
      </w:pPr>
      <w:r w:rsidRPr="00511190">
        <w:rPr>
          <w:b w:val="0"/>
          <w:caps w:val="0"/>
          <w:sz w:val="28"/>
          <w:szCs w:val="28"/>
        </w:rPr>
        <w:t>на 2018 год и плановый период 2019 и 2020 годов</w:t>
      </w:r>
    </w:p>
    <w:p w:rsidR="00843B99" w:rsidRPr="00EF3117" w:rsidRDefault="00843B99" w:rsidP="00843B99">
      <w:pPr>
        <w:rPr>
          <w:sz w:val="16"/>
          <w:szCs w:val="16"/>
        </w:rPr>
      </w:pPr>
    </w:p>
    <w:tbl>
      <w:tblPr>
        <w:tblW w:w="14602" w:type="dxa"/>
        <w:tblInd w:w="108" w:type="dxa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678"/>
        <w:gridCol w:w="1419"/>
        <w:gridCol w:w="849"/>
        <w:gridCol w:w="851"/>
        <w:gridCol w:w="850"/>
        <w:gridCol w:w="992"/>
        <w:gridCol w:w="993"/>
        <w:gridCol w:w="993"/>
        <w:gridCol w:w="992"/>
        <w:gridCol w:w="992"/>
        <w:gridCol w:w="993"/>
      </w:tblGrid>
      <w:tr w:rsidR="00843B99" w:rsidTr="00A54449">
        <w:trPr>
          <w:trHeight w:val="20"/>
          <w:tblHeader/>
        </w:trPr>
        <w:tc>
          <w:tcPr>
            <w:tcW w:w="4678" w:type="dxa"/>
            <w:vMerge w:val="restart"/>
            <w:vAlign w:val="center"/>
            <w:hideMark/>
          </w:tcPr>
          <w:p w:rsidR="00843B99" w:rsidRDefault="00843B99" w:rsidP="004A3D34">
            <w:pPr>
              <w:tabs>
                <w:tab w:val="left" w:pos="1060"/>
              </w:tabs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843B99" w:rsidRDefault="00843B99" w:rsidP="004A3D34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изм. 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  <w:hideMark/>
          </w:tcPr>
          <w:p w:rsidR="00843B99" w:rsidRDefault="00843B99" w:rsidP="004A3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843B99" w:rsidRPr="004A3D34" w:rsidRDefault="00843B99" w:rsidP="004A3D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3D34">
              <w:rPr>
                <w:sz w:val="18"/>
                <w:szCs w:val="18"/>
              </w:rPr>
              <w:t>Оценка</w:t>
            </w:r>
            <w:r w:rsidRPr="004A3D34">
              <w:rPr>
                <w:rStyle w:val="af0"/>
                <w:sz w:val="22"/>
                <w:szCs w:val="22"/>
              </w:rPr>
              <w:footnoteReference w:id="2"/>
            </w:r>
          </w:p>
        </w:tc>
        <w:tc>
          <w:tcPr>
            <w:tcW w:w="5955" w:type="dxa"/>
            <w:gridSpan w:val="6"/>
            <w:noWrap/>
            <w:vAlign w:val="bottom"/>
            <w:hideMark/>
          </w:tcPr>
          <w:p w:rsidR="00843B99" w:rsidRPr="004A3D34" w:rsidRDefault="00843B99" w:rsidP="004A3D3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A3D34">
              <w:rPr>
                <w:bCs/>
                <w:iCs/>
                <w:sz w:val="18"/>
                <w:szCs w:val="18"/>
              </w:rPr>
              <w:t>Прогноз</w:t>
            </w:r>
          </w:p>
        </w:tc>
      </w:tr>
      <w:tr w:rsidR="00843B99" w:rsidTr="00A54449">
        <w:trPr>
          <w:trHeight w:val="20"/>
          <w:tblHeader/>
        </w:trPr>
        <w:tc>
          <w:tcPr>
            <w:tcW w:w="4678" w:type="dxa"/>
            <w:vMerge/>
            <w:vAlign w:val="center"/>
            <w:hideMark/>
          </w:tcPr>
          <w:p w:rsidR="00843B99" w:rsidRDefault="00843B99" w:rsidP="004A3D34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843B99" w:rsidRDefault="00843B99" w:rsidP="004A3D34">
            <w:pPr>
              <w:ind w:left="-1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843B99" w:rsidRDefault="00843B99" w:rsidP="004A3D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43B99" w:rsidRPr="004A3D34" w:rsidRDefault="00843B99" w:rsidP="004A3D3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:rsidR="00843B99" w:rsidRPr="004A3D34" w:rsidRDefault="00843B99" w:rsidP="004A3D34">
            <w:pPr>
              <w:jc w:val="center"/>
              <w:rPr>
                <w:sz w:val="18"/>
                <w:szCs w:val="18"/>
              </w:rPr>
            </w:pPr>
            <w:r w:rsidRPr="004A3D34">
              <w:rPr>
                <w:iCs/>
                <w:sz w:val="18"/>
                <w:szCs w:val="18"/>
              </w:rPr>
              <w:t>2018</w:t>
            </w:r>
          </w:p>
        </w:tc>
        <w:tc>
          <w:tcPr>
            <w:tcW w:w="1985" w:type="dxa"/>
            <w:gridSpan w:val="2"/>
            <w:noWrap/>
            <w:vAlign w:val="bottom"/>
            <w:hideMark/>
          </w:tcPr>
          <w:p w:rsidR="00843B99" w:rsidRPr="004A3D34" w:rsidRDefault="00843B99" w:rsidP="004A3D34">
            <w:pPr>
              <w:jc w:val="center"/>
              <w:rPr>
                <w:sz w:val="18"/>
                <w:szCs w:val="18"/>
              </w:rPr>
            </w:pPr>
            <w:r w:rsidRPr="004A3D34">
              <w:rPr>
                <w:iCs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  <w:noWrap/>
            <w:vAlign w:val="bottom"/>
            <w:hideMark/>
          </w:tcPr>
          <w:p w:rsidR="00843B99" w:rsidRPr="004A3D34" w:rsidRDefault="00843B99" w:rsidP="004A3D34">
            <w:pPr>
              <w:jc w:val="center"/>
              <w:rPr>
                <w:sz w:val="18"/>
                <w:szCs w:val="18"/>
              </w:rPr>
            </w:pPr>
            <w:r w:rsidRPr="004A3D34">
              <w:rPr>
                <w:iCs/>
                <w:sz w:val="18"/>
                <w:szCs w:val="18"/>
              </w:rPr>
              <w:t>2020</w:t>
            </w:r>
          </w:p>
        </w:tc>
      </w:tr>
      <w:tr w:rsidR="00843B99" w:rsidTr="00A54449">
        <w:trPr>
          <w:trHeight w:val="20"/>
          <w:tblHeader/>
        </w:trPr>
        <w:tc>
          <w:tcPr>
            <w:tcW w:w="4678" w:type="dxa"/>
            <w:vMerge/>
            <w:vAlign w:val="center"/>
            <w:hideMark/>
          </w:tcPr>
          <w:p w:rsidR="00843B99" w:rsidRDefault="00843B99" w:rsidP="004A3D34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843B99" w:rsidRDefault="00843B99" w:rsidP="004A3D34">
            <w:pPr>
              <w:ind w:left="-18"/>
              <w:rPr>
                <w:sz w:val="18"/>
                <w:szCs w:val="18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843B99" w:rsidRPr="005D1F48" w:rsidRDefault="00843B99" w:rsidP="004A3D34">
            <w:pPr>
              <w:jc w:val="center"/>
              <w:rPr>
                <w:sz w:val="18"/>
                <w:szCs w:val="18"/>
              </w:rPr>
            </w:pPr>
            <w:r w:rsidRPr="005D1F48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noWrap/>
            <w:vAlign w:val="bottom"/>
            <w:hideMark/>
          </w:tcPr>
          <w:p w:rsidR="00843B99" w:rsidRPr="005D1F48" w:rsidRDefault="00843B99" w:rsidP="004A3D34">
            <w:pPr>
              <w:jc w:val="center"/>
              <w:rPr>
                <w:sz w:val="18"/>
                <w:szCs w:val="18"/>
              </w:rPr>
            </w:pPr>
            <w:r w:rsidRPr="005D1F48">
              <w:rPr>
                <w:iCs/>
                <w:sz w:val="18"/>
                <w:szCs w:val="18"/>
              </w:rPr>
              <w:t>2016</w:t>
            </w:r>
          </w:p>
        </w:tc>
        <w:tc>
          <w:tcPr>
            <w:tcW w:w="850" w:type="dxa"/>
            <w:noWrap/>
            <w:vAlign w:val="bottom"/>
            <w:hideMark/>
          </w:tcPr>
          <w:p w:rsidR="00843B99" w:rsidRPr="004A3D34" w:rsidRDefault="00843B99" w:rsidP="004A3D34">
            <w:pPr>
              <w:jc w:val="center"/>
              <w:rPr>
                <w:sz w:val="18"/>
                <w:szCs w:val="18"/>
              </w:rPr>
            </w:pPr>
            <w:r w:rsidRPr="004A3D34">
              <w:rPr>
                <w:iCs/>
                <w:sz w:val="18"/>
                <w:szCs w:val="18"/>
              </w:rPr>
              <w:t>2017</w:t>
            </w:r>
          </w:p>
        </w:tc>
        <w:tc>
          <w:tcPr>
            <w:tcW w:w="992" w:type="dxa"/>
            <w:noWrap/>
            <w:vAlign w:val="center"/>
            <w:hideMark/>
          </w:tcPr>
          <w:p w:rsidR="00843B99" w:rsidRPr="004A3D34" w:rsidRDefault="00843B99" w:rsidP="004A3D34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4A3D34">
              <w:rPr>
                <w:iCs/>
                <w:sz w:val="16"/>
                <w:szCs w:val="16"/>
              </w:rPr>
              <w:t>1-й вариант</w:t>
            </w:r>
            <w:r w:rsidRPr="004A3D34">
              <w:rPr>
                <w:rStyle w:val="af0"/>
                <w:sz w:val="22"/>
                <w:szCs w:val="22"/>
              </w:rPr>
              <w:footnoteReference w:id="3"/>
            </w:r>
          </w:p>
        </w:tc>
        <w:tc>
          <w:tcPr>
            <w:tcW w:w="993" w:type="dxa"/>
            <w:noWrap/>
            <w:vAlign w:val="center"/>
            <w:hideMark/>
          </w:tcPr>
          <w:p w:rsidR="00843B99" w:rsidRPr="004A3D34" w:rsidRDefault="00843B99" w:rsidP="004A3D34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4A3D34">
              <w:rPr>
                <w:iCs/>
                <w:sz w:val="16"/>
                <w:szCs w:val="16"/>
              </w:rPr>
              <w:t>2-й вариант</w:t>
            </w:r>
            <w:r w:rsidRPr="004A3D34">
              <w:rPr>
                <w:rStyle w:val="af0"/>
                <w:sz w:val="22"/>
                <w:szCs w:val="22"/>
              </w:rPr>
              <w:footnoteReference w:id="4"/>
            </w:r>
          </w:p>
        </w:tc>
        <w:tc>
          <w:tcPr>
            <w:tcW w:w="993" w:type="dxa"/>
            <w:noWrap/>
            <w:vAlign w:val="center"/>
            <w:hideMark/>
          </w:tcPr>
          <w:p w:rsidR="00843B99" w:rsidRPr="004A3D34" w:rsidRDefault="00843B99" w:rsidP="004A3D34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4A3D34">
              <w:rPr>
                <w:iCs/>
                <w:sz w:val="16"/>
                <w:szCs w:val="16"/>
              </w:rPr>
              <w:t>1-й вариант</w:t>
            </w:r>
            <w:proofErr w:type="gramStart"/>
            <w:r w:rsidRPr="004A3D34">
              <w:rPr>
                <w:iCs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843B99" w:rsidRPr="004A3D34" w:rsidRDefault="00843B99" w:rsidP="004A3D34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4A3D34">
              <w:rPr>
                <w:iCs/>
                <w:sz w:val="16"/>
                <w:szCs w:val="16"/>
              </w:rPr>
              <w:t>2-й вариант</w:t>
            </w:r>
            <w:r w:rsidRPr="004A3D34">
              <w:rPr>
                <w:iCs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:rsidR="00843B99" w:rsidRPr="004A3D34" w:rsidRDefault="00843B99" w:rsidP="004A3D34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4A3D34">
              <w:rPr>
                <w:iCs/>
                <w:sz w:val="16"/>
                <w:szCs w:val="16"/>
              </w:rPr>
              <w:t>1-й вариант</w:t>
            </w:r>
            <w:proofErr w:type="gramStart"/>
            <w:r w:rsidRPr="004A3D34">
              <w:rPr>
                <w:iCs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843B99" w:rsidRPr="008F159D" w:rsidRDefault="00843B99" w:rsidP="004A3D34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8F159D">
              <w:rPr>
                <w:iCs/>
                <w:sz w:val="16"/>
                <w:szCs w:val="16"/>
              </w:rPr>
              <w:t>2</w:t>
            </w:r>
            <w:r>
              <w:rPr>
                <w:iCs/>
                <w:sz w:val="16"/>
                <w:szCs w:val="16"/>
              </w:rPr>
              <w:t>-й</w:t>
            </w:r>
            <w:r w:rsidRPr="008F159D">
              <w:rPr>
                <w:iCs/>
                <w:sz w:val="16"/>
                <w:szCs w:val="16"/>
              </w:rPr>
              <w:t xml:space="preserve"> вариант</w:t>
            </w:r>
            <w:r w:rsidRPr="008F159D">
              <w:rPr>
                <w:iCs/>
                <w:sz w:val="20"/>
                <w:vertAlign w:val="superscript"/>
              </w:rPr>
              <w:t>3</w:t>
            </w:r>
          </w:p>
        </w:tc>
      </w:tr>
    </w:tbl>
    <w:p w:rsidR="00843B99" w:rsidRPr="00C414C3" w:rsidRDefault="00843B99" w:rsidP="00843B99">
      <w:pPr>
        <w:rPr>
          <w:vanish/>
        </w:rPr>
      </w:pPr>
    </w:p>
    <w:tbl>
      <w:tblPr>
        <w:tblW w:w="1458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67"/>
        <w:gridCol w:w="1418"/>
        <w:gridCol w:w="850"/>
        <w:gridCol w:w="851"/>
        <w:gridCol w:w="850"/>
        <w:gridCol w:w="992"/>
        <w:gridCol w:w="992"/>
        <w:gridCol w:w="993"/>
        <w:gridCol w:w="992"/>
        <w:gridCol w:w="1008"/>
        <w:gridCol w:w="976"/>
      </w:tblGrid>
      <w:tr w:rsidR="00843B99" w:rsidRPr="007F2209" w:rsidTr="00A54449">
        <w:trPr>
          <w:trHeight w:val="20"/>
          <w:tblHeader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4A3D34" w:rsidRDefault="00843B99" w:rsidP="00585E12">
            <w:pPr>
              <w:ind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A3D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F2209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1. Демографические показатели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09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F2209">
              <w:rPr>
                <w:rFonts w:ascii="Arial" w:hAnsi="Arial" w:cs="Arial"/>
                <w:color w:val="FFFFFF"/>
                <w:sz w:val="18"/>
                <w:szCs w:val="18"/>
              </w:rPr>
              <w:t>2005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F2209">
              <w:rPr>
                <w:rFonts w:ascii="Arial" w:hAnsi="Arial" w:cs="Arial"/>
                <w:color w:val="FFFFFF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Численность населения (среднегодовая) -всего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303,40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299,83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296,29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292,87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293,00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289,80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289,93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287,08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287,21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bCs/>
                <w:color w:val="000000"/>
                <w:sz w:val="20"/>
              </w:rPr>
              <w:t>в</w:t>
            </w:r>
            <w:proofErr w:type="gramEnd"/>
            <w:r w:rsidRPr="007F2209">
              <w:rPr>
                <w:bCs/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bCs/>
                <w:color w:val="000000"/>
                <w:sz w:val="20"/>
              </w:rPr>
              <w:t>к</w:t>
            </w:r>
            <w:proofErr w:type="gramEnd"/>
            <w:r w:rsidRPr="007F2209">
              <w:rPr>
                <w:bCs/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101,89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98,82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98,82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98,84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98,89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2209">
              <w:rPr>
                <w:color w:val="000000"/>
                <w:sz w:val="22"/>
                <w:szCs w:val="22"/>
              </w:rPr>
              <w:t>98,9</w:t>
            </w:r>
            <w:r w:rsidRPr="007F2209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2209">
              <w:rPr>
                <w:color w:val="000000"/>
                <w:sz w:val="22"/>
                <w:szCs w:val="22"/>
                <w:lang w:val="en-US"/>
              </w:rPr>
              <w:t>98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F2209">
              <w:rPr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99,06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2209">
              <w:rPr>
                <w:color w:val="000000"/>
                <w:sz w:val="22"/>
                <w:szCs w:val="22"/>
              </w:rPr>
              <w:t>99,</w:t>
            </w:r>
            <w:r w:rsidRPr="007F2209">
              <w:rPr>
                <w:color w:val="000000"/>
                <w:sz w:val="22"/>
                <w:szCs w:val="22"/>
                <w:lang w:val="en-US"/>
              </w:rPr>
              <w:t>06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Общий коэффициент рождаемости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12,36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11,65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10,71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10,96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10,91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11,08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Общий коэффициент смертности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11,86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11,82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11,59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11,29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11,09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11,20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10,92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Коэффициент естественного прироста (убыли)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-0,10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-1,18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-0,88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-0,43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-0,58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-0,13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-0,29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Коэффициент миграционного прироста (убыли)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-12,58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-11,47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-11,00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-10,19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-9,76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-9,39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-8,96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-8,57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-8,16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rFonts w:eastAsia="Arial Unicode MS"/>
                <w:bCs/>
                <w:color w:val="000000"/>
                <w:sz w:val="22"/>
              </w:rPr>
              <w:t>2. Производство товаров и услуг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b/>
                <w:bCs/>
                <w:color w:val="000000"/>
                <w:sz w:val="20"/>
              </w:rPr>
            </w:pPr>
            <w:r w:rsidRPr="007F2209">
              <w:rPr>
                <w:rFonts w:eastAsia="Arial Unicode MS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2.1</w:t>
            </w:r>
            <w:r w:rsidR="004A3D34">
              <w:rPr>
                <w:color w:val="000000"/>
                <w:sz w:val="22"/>
              </w:rPr>
              <w:t>.</w:t>
            </w:r>
            <w:r w:rsidRPr="004A3D34">
              <w:rPr>
                <w:color w:val="000000"/>
                <w:sz w:val="22"/>
              </w:rPr>
              <w:t xml:space="preserve"> Промышленное производство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bCs/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bCs/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72107,67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69946,54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80467,08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84241,70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88402,84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88420,39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95859,74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93086,84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0"/>
              </w:rPr>
            </w:pPr>
            <w:r w:rsidRPr="00A54449">
              <w:rPr>
                <w:color w:val="000000"/>
                <w:sz w:val="20"/>
              </w:rPr>
              <w:t>102898,74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lastRenderedPageBreak/>
              <w:t>Индекс промышленного производства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102,16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98,33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100,91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97,66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102,31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97,76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101,37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98,27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100,88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4A3D34" w:rsidP="00585E12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</w:rPr>
              <w:t>Раздел C: о</w:t>
            </w:r>
            <w:r w:rsidR="00843B99" w:rsidRPr="004A3D34">
              <w:rPr>
                <w:rFonts w:eastAsia="Arial Unicode MS"/>
                <w:color w:val="000000"/>
                <w:sz w:val="22"/>
              </w:rPr>
              <w:t>брабатывающие производства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57464,7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59209,6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64559,36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68121,11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72216,35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71628,89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78967,37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75675,31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85339,74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Индекс производства – </w:t>
            </w:r>
            <w:r w:rsidR="004A3D34">
              <w:rPr>
                <w:color w:val="000000"/>
                <w:sz w:val="22"/>
              </w:rPr>
              <w:t>р</w:t>
            </w:r>
            <w:r w:rsidRPr="004A3D34">
              <w:rPr>
                <w:color w:val="000000"/>
                <w:sz w:val="22"/>
              </w:rPr>
              <w:t xml:space="preserve">аздел C: </w:t>
            </w:r>
            <w:r w:rsidR="004A3D34">
              <w:rPr>
                <w:color w:val="000000"/>
                <w:sz w:val="22"/>
              </w:rPr>
              <w:t>о</w:t>
            </w:r>
            <w:r w:rsidRPr="004A3D34">
              <w:rPr>
                <w:color w:val="000000"/>
                <w:sz w:val="22"/>
              </w:rPr>
              <w:t>брабатывающие производства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102,16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98,68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105,45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100,78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106,33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104,94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101,39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104,21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rFonts w:eastAsia="Arial Unicode MS"/>
                <w:color w:val="000000"/>
                <w:sz w:val="22"/>
              </w:rPr>
              <w:t xml:space="preserve">Раздел D: </w:t>
            </w:r>
            <w:r w:rsidR="004A3D34">
              <w:rPr>
                <w:rFonts w:eastAsia="Arial Unicode MS"/>
                <w:color w:val="000000"/>
                <w:sz w:val="22"/>
              </w:rPr>
              <w:t>о</w:t>
            </w:r>
            <w:r w:rsidRPr="004A3D34">
              <w:rPr>
                <w:rFonts w:eastAsia="Arial Unicode MS"/>
                <w:color w:val="000000"/>
                <w:sz w:val="22"/>
              </w:rPr>
              <w:t>беспечение электрической энергией, газом и паром; кондиционирование воздуха</w:t>
            </w:r>
            <w:r w:rsidRPr="004A3D34">
              <w:rPr>
                <w:rStyle w:val="af0"/>
                <w:rFonts w:eastAsia="Arial Unicode MS"/>
                <w:color w:val="000000"/>
                <w:sz w:val="22"/>
              </w:rPr>
              <w:footnoteReference w:id="5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11158,85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11616,36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11639,15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12186,79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12222,23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12664,60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12712,47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Индекс производства - </w:t>
            </w:r>
            <w:r w:rsidR="004A3D34">
              <w:rPr>
                <w:color w:val="000000"/>
                <w:sz w:val="22"/>
              </w:rPr>
              <w:t>р</w:t>
            </w:r>
            <w:r w:rsidRPr="004A3D34">
              <w:rPr>
                <w:color w:val="000000"/>
                <w:sz w:val="22"/>
              </w:rPr>
              <w:t xml:space="preserve">аздел D: </w:t>
            </w:r>
            <w:r w:rsidR="004A3D34">
              <w:rPr>
                <w:color w:val="000000"/>
                <w:sz w:val="22"/>
              </w:rPr>
              <w:t>о</w:t>
            </w:r>
            <w:r w:rsidRPr="004A3D34">
              <w:rPr>
                <w:color w:val="000000"/>
                <w:sz w:val="22"/>
              </w:rPr>
              <w:t>беспечение электрической энергией, газом и паром; кондиционирование воздуха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100,20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100,02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100,30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rFonts w:eastAsia="Arial Unicode MS"/>
                <w:color w:val="000000"/>
                <w:sz w:val="22"/>
              </w:rPr>
              <w:t xml:space="preserve">Раздел E: </w:t>
            </w:r>
            <w:r w:rsidR="004A3D34">
              <w:rPr>
                <w:rFonts w:eastAsia="Arial Unicode MS"/>
                <w:color w:val="000000"/>
                <w:sz w:val="22"/>
              </w:rPr>
              <w:t>в</w:t>
            </w:r>
            <w:r w:rsidRPr="004A3D34">
              <w:rPr>
                <w:rFonts w:eastAsia="Arial Unicode MS"/>
                <w:color w:val="000000"/>
                <w:sz w:val="22"/>
              </w:rPr>
              <w:t>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1997,06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2037,65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2039,68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2078,85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2089,23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2123,00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2144,25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Индекс производства – </w:t>
            </w:r>
            <w:r w:rsidR="004A3D34">
              <w:rPr>
                <w:color w:val="000000"/>
                <w:sz w:val="22"/>
              </w:rPr>
              <w:t>р</w:t>
            </w:r>
            <w:r w:rsidRPr="004A3D34">
              <w:rPr>
                <w:color w:val="000000"/>
                <w:sz w:val="22"/>
              </w:rPr>
              <w:t xml:space="preserve">аздел E: </w:t>
            </w:r>
            <w:r w:rsidR="004A3D34">
              <w:rPr>
                <w:color w:val="000000"/>
                <w:sz w:val="22"/>
              </w:rPr>
              <w:t>в</w:t>
            </w:r>
            <w:r w:rsidRPr="004A3D34">
              <w:rPr>
                <w:color w:val="000000"/>
                <w:sz w:val="22"/>
              </w:rPr>
              <w:t>одоснабжение; водоотведение, организация сбора и утилизации отходов, деятельность по ликвидации загрязнений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96,68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98,39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98,49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98,49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98,20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98,69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2.2 Сельское хозяйство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2209">
              <w:rPr>
                <w:color w:val="000000"/>
                <w:sz w:val="22"/>
                <w:szCs w:val="22"/>
                <w:lang w:val="en-US"/>
              </w:rPr>
              <w:t>2,5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2751,81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2466,58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2507,66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2525,87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2580,91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2623,93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2702,27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85,12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86,62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98,94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100,47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100,97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Индекс – дефлятор - продукции сельского хозяйства в хозяйствах всех категорий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133,97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112,03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105,30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105,20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103,50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103,70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lastRenderedPageBreak/>
              <w:t>3. Рынок товаров и услуг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Оборот розничной торговли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39951,4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46002,8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49985,08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52702,67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53170,13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55182,12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56223,79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60779,68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A54449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A54449">
              <w:rPr>
                <w:color w:val="000000"/>
                <w:sz w:val="21"/>
                <w:szCs w:val="21"/>
              </w:rPr>
              <w:t>62457,16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Индекс физического объема оборота розничной торговли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78,3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102,70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106,1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Оборот общественного питания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1532,6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1700,1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1881,34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2040,71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2048,44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2192,40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2226,19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2382,70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2514,35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Индекс физического объема оборота общественного питания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106,20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108,6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Объем платных услуг населению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bCs/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bCs/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20026,4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19411,8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19029,21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19174,09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19689,63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19998,58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20517,41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21525,99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22255,68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Индекс физического объема платных услуг населению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% к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93,99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104,1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4. Малое и среднее предпринимательство</w:t>
            </w:r>
            <w:r w:rsidRPr="004A3D34">
              <w:rPr>
                <w:rStyle w:val="af0"/>
                <w:bCs/>
                <w:color w:val="000000"/>
                <w:sz w:val="22"/>
              </w:rPr>
              <w:footnoteReference w:id="6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Количество малых предприятий – всего по состоянию на конец года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единиц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10988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8959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9497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9781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9971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10075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10470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10377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10993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  <w:szCs w:val="16"/>
              </w:rPr>
              <w:t>Среднесписочная численность работников (без внешних совместителей) по малым предприятиям - всего</w:t>
            </w:r>
            <w:proofErr w:type="gramStart"/>
            <w:r w:rsidRPr="004A3D34">
              <w:rPr>
                <w:color w:val="000000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46461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37628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39885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41082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41880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42314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43974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43584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46172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16"/>
              </w:rPr>
            </w:pPr>
            <w:r w:rsidRPr="004A3D34">
              <w:rPr>
                <w:color w:val="000000"/>
                <w:sz w:val="22"/>
                <w:szCs w:val="16"/>
              </w:rPr>
              <w:t>Численность индивидуальных предпринимателей - по состоянию на конец года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7841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6192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7121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7334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7477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7554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7851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7781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8243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  <w:szCs w:val="16"/>
              </w:rPr>
              <w:t xml:space="preserve">Среднесписочная численность работников индивидуальных предпринимателей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Количество средних предприятий – 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единиц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  <w:szCs w:val="16"/>
              </w:rPr>
              <w:lastRenderedPageBreak/>
              <w:t>Среднесписочная численность работников (без внешних совместителей) по средним предприятиям - 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2770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4212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5791,5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5791,5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5967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5791,5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5967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5967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6142,5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  <w:szCs w:val="16"/>
              </w:rPr>
              <w:t>5. Инвестиции и строительство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bCs/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bCs/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23099,90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19310,85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29855,04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55424,85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63066,66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70065,50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71963,13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123377,50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131499,61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Объем инвестиций (в основной капитал) за счет всех источников финансирования - 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bCs/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bCs/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53885,10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98" w:right="-113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42436,95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52229,33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72730,36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83382,76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80049,57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91779,65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132425,54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585E12" w:rsidRDefault="00843B99" w:rsidP="00585E12">
            <w:pPr>
              <w:ind w:left="-103" w:right="-110"/>
              <w:jc w:val="center"/>
              <w:rPr>
                <w:color w:val="000000"/>
                <w:sz w:val="21"/>
                <w:szCs w:val="21"/>
              </w:rPr>
            </w:pPr>
            <w:r w:rsidRPr="00585E12">
              <w:rPr>
                <w:color w:val="000000"/>
                <w:sz w:val="21"/>
                <w:szCs w:val="21"/>
              </w:rPr>
              <w:t>151577,75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 Индекс физического объема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%</w:t>
            </w:r>
            <w:r w:rsidR="002261B7">
              <w:rPr>
                <w:color w:val="000000"/>
                <w:sz w:val="20"/>
              </w:rPr>
              <w:t xml:space="preserve"> к предыдущему году в сопостави</w:t>
            </w:r>
            <w:r w:rsidRPr="007F2209">
              <w:rPr>
                <w:color w:val="000000"/>
                <w:sz w:val="20"/>
              </w:rPr>
              <w:t>мых ценах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121,02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134,28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154,25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106,34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106,55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160,14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160,19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Индекс-дефлятор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% к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114,93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110,46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103,1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Инвестиции в основной капитал  по источникам финансирования: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     бюджетные средства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30785,3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23126,2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22374,29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17305,5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20316,1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9984,07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19816,51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9048,04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20078,14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 в </w:t>
            </w:r>
            <w:r w:rsidR="002261B7">
              <w:rPr>
                <w:color w:val="000000"/>
                <w:sz w:val="20"/>
              </w:rPr>
              <w:t>сопостави</w:t>
            </w:r>
            <w:r w:rsidRPr="007F2209">
              <w:rPr>
                <w:color w:val="000000"/>
                <w:sz w:val="20"/>
              </w:rPr>
              <w:t>мых ценах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120,70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68,01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95,13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72,16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87,73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55,74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94,42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87,73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98,27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             из них: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   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29349,5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21847,0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21410,06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16451,54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19269,05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9373,08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18883,67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7526,40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17939,49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   средства бюджета субъекта Федерации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</w:t>
            </w:r>
            <w:r w:rsidRPr="007F2209">
              <w:rPr>
                <w:color w:val="000000"/>
                <w:sz w:val="20"/>
              </w:rPr>
              <w:lastRenderedPageBreak/>
              <w:t>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lastRenderedPageBreak/>
              <w:t>1073,7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909,9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698,99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613,64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745,72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528,3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792,45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1447,7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2026,78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lastRenderedPageBreak/>
              <w:t xml:space="preserve">   средства муниципального бюджета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362,1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369,3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265,24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240,32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301,33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82,69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140,39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73,94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111,87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   собственные средства предприятий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9829,8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12219,0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A54449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20869,8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50187,40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57062,11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64300,98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65353,91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113841,29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03" w:right="-110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120584,21</w:t>
            </w:r>
          </w:p>
        </w:tc>
      </w:tr>
      <w:tr w:rsidR="00843B99" w:rsidRPr="00330845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4"/>
              </w:rPr>
            </w:pPr>
            <w:r w:rsidRPr="004A3D34">
              <w:rPr>
                <w:bCs/>
                <w:color w:val="000000"/>
                <w:sz w:val="22"/>
                <w:szCs w:val="24"/>
              </w:rPr>
              <w:t xml:space="preserve">Объем выполненных работ по виду деятельности «Строительство»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18"/>
              <w:jc w:val="center"/>
              <w:rPr>
                <w:bCs/>
                <w:color w:val="000000"/>
                <w:sz w:val="20"/>
              </w:rPr>
            </w:pPr>
            <w:r w:rsidRPr="00B23647">
              <w:rPr>
                <w:bCs/>
                <w:color w:val="000000"/>
                <w:sz w:val="20"/>
              </w:rPr>
              <w:t>млн.рублей в ценах соответствующих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3182,4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2503,1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4089,53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4301,10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4504,45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4549,89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4916,72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4798,68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5366,73</w:t>
            </w:r>
          </w:p>
        </w:tc>
      </w:tr>
      <w:tr w:rsidR="00843B99" w:rsidRPr="00330845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4"/>
              </w:rPr>
            </w:pPr>
            <w:r w:rsidRPr="004A3D34">
              <w:rPr>
                <w:bCs/>
                <w:color w:val="000000"/>
                <w:sz w:val="22"/>
                <w:szCs w:val="24"/>
              </w:rPr>
              <w:t>Индекс физического объема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18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B23647">
              <w:rPr>
                <w:bCs/>
                <w:color w:val="000000"/>
                <w:sz w:val="20"/>
              </w:rPr>
              <w:t>в</w:t>
            </w:r>
            <w:proofErr w:type="gramEnd"/>
            <w:r w:rsidRPr="00B23647">
              <w:rPr>
                <w:bCs/>
                <w:color w:val="000000"/>
                <w:sz w:val="20"/>
              </w:rPr>
              <w:t xml:space="preserve"> % </w:t>
            </w:r>
            <w:proofErr w:type="gramStart"/>
            <w:r w:rsidRPr="00B23647">
              <w:rPr>
                <w:bCs/>
                <w:color w:val="000000"/>
                <w:sz w:val="20"/>
              </w:rPr>
              <w:t>к</w:t>
            </w:r>
            <w:proofErr w:type="gramEnd"/>
            <w:r w:rsidRPr="00B23647">
              <w:rPr>
                <w:bCs/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72,1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158,15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100,70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105,76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101,57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105,21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101,56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105,51</w:t>
            </w:r>
          </w:p>
        </w:tc>
      </w:tr>
      <w:tr w:rsidR="00843B99" w:rsidRPr="00330845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4"/>
              </w:rPr>
            </w:pPr>
            <w:r w:rsidRPr="004A3D34">
              <w:rPr>
                <w:bCs/>
                <w:color w:val="000000"/>
                <w:sz w:val="22"/>
                <w:szCs w:val="24"/>
              </w:rPr>
              <w:t>Индекс-дефлятор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18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B23647">
              <w:rPr>
                <w:bCs/>
                <w:color w:val="000000"/>
                <w:sz w:val="20"/>
              </w:rPr>
              <w:t>в</w:t>
            </w:r>
            <w:proofErr w:type="gramEnd"/>
            <w:r w:rsidRPr="00B23647">
              <w:rPr>
                <w:bCs/>
                <w:color w:val="000000"/>
                <w:sz w:val="20"/>
              </w:rPr>
              <w:t xml:space="preserve"> % </w:t>
            </w:r>
            <w:proofErr w:type="gramStart"/>
            <w:r w:rsidRPr="00B23647">
              <w:rPr>
                <w:bCs/>
                <w:color w:val="000000"/>
                <w:sz w:val="20"/>
              </w:rPr>
              <w:t>к</w:t>
            </w:r>
            <w:proofErr w:type="gramEnd"/>
            <w:r w:rsidRPr="00B23647">
              <w:rPr>
                <w:bCs/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109,84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109,09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103,31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104,45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104,15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104,15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103,75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103,85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B99" w:rsidRPr="00B23647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B23647">
              <w:rPr>
                <w:color w:val="000000"/>
                <w:sz w:val="22"/>
                <w:szCs w:val="22"/>
              </w:rPr>
              <w:t>103,46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  <w:szCs w:val="24"/>
              </w:rPr>
              <w:t>6. Сальдированный финансовый результат (прибыль, убыток) деятельности крупных и средних предприятий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bCs/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bCs/>
                <w:color w:val="000000"/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21746,2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33017,9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31046,02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28389,55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30425,10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28105,65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30440,31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28667,76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31201,32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  <w:szCs w:val="24"/>
              </w:rPr>
              <w:t>7. Труд и занятость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b/>
                <w:bCs/>
                <w:color w:val="000000"/>
                <w:sz w:val="20"/>
              </w:rPr>
            </w:pPr>
            <w:r w:rsidRPr="007F22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  <w:szCs w:val="24"/>
              </w:rPr>
              <w:t xml:space="preserve">Численность населения в трудоспособном возрасте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182,65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177,70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174,11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170,63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171,15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167,39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167,90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164,38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164,88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1,94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1,61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1,47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Среднесписочная численность работников организаций  - 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96,90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95,70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89,41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88,73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85,37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85,63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F2209">
              <w:rPr>
                <w:color w:val="000000"/>
                <w:sz w:val="22"/>
                <w:szCs w:val="22"/>
              </w:rPr>
              <w:t>,19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82,44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Среднемесячная начисленная заработная плата работников организаций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рублей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53221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57048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60838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64184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64305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67072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67328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69419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98" w:right="-113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2"/>
                <w:szCs w:val="22"/>
              </w:rPr>
              <w:t>69819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  <w:szCs w:val="22"/>
              </w:rPr>
              <w:t>8. Развитие социальной сферы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b/>
                <w:bCs/>
                <w:color w:val="000000"/>
                <w:sz w:val="20"/>
              </w:rPr>
            </w:pPr>
            <w:r w:rsidRPr="007F2209">
              <w:rPr>
                <w:rFonts w:eastAsia="Arial Unicode MS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 Численность детей в дошкольных образовательных учреждениях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17337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17574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17604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17716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17721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17571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17589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17308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17341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 Численность учащихся в учреждениях: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lastRenderedPageBreak/>
              <w:t>общеобразовательных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28906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29392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29898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29888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29895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29882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29889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29874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29881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8568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9295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9295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9481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11045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9559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11542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9559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11542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высшего профессионального образования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12103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10560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10454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11330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9932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11330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9932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11330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Обеспеченность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rFonts w:eastAsia="Arial Unicode MS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общедоступными  библиотеками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учреждений на 100 тыс. населения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11,54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11,67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10,92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10,92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11,03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11,13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11,13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учреждениями культурно-досугового типа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учреждений на 100 тыс. населения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2,65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1,68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1,75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дошкольными образовательными учреждениями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мест на 100 детей дошкольного возраста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79,78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78,49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78,20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78,39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78,38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79,70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79,65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81,41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81,35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  <w:szCs w:val="24"/>
              </w:rPr>
              <w:t xml:space="preserve">Доля обучающихся в государственных (муниципальных) общеобразовательных организациях, занимающихся в одну смену, в общей </w:t>
            </w:r>
            <w:proofErr w:type="gramStart"/>
            <w:r w:rsidRPr="004A3D34">
              <w:rPr>
                <w:color w:val="000000"/>
                <w:sz w:val="22"/>
                <w:szCs w:val="24"/>
              </w:rPr>
              <w:t>численности</w:t>
            </w:r>
            <w:proofErr w:type="gramEnd"/>
            <w:r w:rsidRPr="004A3D34">
              <w:rPr>
                <w:color w:val="000000"/>
                <w:sz w:val="22"/>
                <w:szCs w:val="24"/>
              </w:rPr>
              <w:t xml:space="preserve"> обучающихся в государственных (муниципальных) общеобразовательных организациях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96,54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97,23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585E12" w:rsidP="00585E12">
            <w:pPr>
              <w:ind w:left="-18"/>
              <w:jc w:val="center"/>
              <w:rPr>
                <w:color w:val="000000"/>
                <w:sz w:val="22"/>
                <w:szCs w:val="22"/>
              </w:rPr>
            </w:pPr>
            <w:r w:rsidRPr="007F2209">
              <w:rPr>
                <w:color w:val="000000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27,10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31,14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31,52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31,91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31,93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32,30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32,33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32,67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32,69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bCs/>
                <w:color w:val="000000"/>
                <w:sz w:val="22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тыс. кв. м общей площади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14,09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29,40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31,54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9,44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13,00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11,00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Средняя обеспеченность населения площадью жилых квартир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кв. м на человека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23,80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23,50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23,81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24,08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24,14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24,33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24,38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24,57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24,58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 xml:space="preserve">Площадь ветхого и аварийного фонда </w:t>
            </w:r>
            <w:proofErr w:type="gramStart"/>
            <w:r w:rsidRPr="004A3D34">
              <w:rPr>
                <w:color w:val="000000"/>
                <w:sz w:val="22"/>
              </w:rPr>
              <w:t>в</w:t>
            </w:r>
            <w:proofErr w:type="gramEnd"/>
            <w:r w:rsidRPr="004A3D34">
              <w:rPr>
                <w:color w:val="000000"/>
                <w:sz w:val="22"/>
              </w:rPr>
              <w:t xml:space="preserve"> % к общей площади жилого фонда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2,02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2,02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1,91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1,83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1,80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1,72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1,66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1,66</w:t>
            </w:r>
          </w:p>
        </w:tc>
      </w:tr>
      <w:tr w:rsidR="00843B99" w:rsidRPr="007F2209" w:rsidTr="00A54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4A3D34" w:rsidRDefault="00843B99" w:rsidP="00585E12">
            <w:pPr>
              <w:ind w:right="-108"/>
              <w:rPr>
                <w:color w:val="000000"/>
                <w:sz w:val="22"/>
                <w:szCs w:val="22"/>
              </w:rPr>
            </w:pPr>
            <w:r w:rsidRPr="004A3D34">
              <w:rPr>
                <w:color w:val="000000"/>
                <w:sz w:val="22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81,40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88,30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88,50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88,70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88,80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89,00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89,20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90,00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99" w:rsidRPr="007F2209" w:rsidRDefault="00843B99" w:rsidP="00585E12">
            <w:pPr>
              <w:jc w:val="center"/>
              <w:rPr>
                <w:sz w:val="22"/>
                <w:szCs w:val="22"/>
              </w:rPr>
            </w:pPr>
            <w:r w:rsidRPr="007F2209">
              <w:rPr>
                <w:sz w:val="22"/>
                <w:szCs w:val="22"/>
              </w:rPr>
              <w:t>90,20</w:t>
            </w:r>
          </w:p>
        </w:tc>
      </w:tr>
    </w:tbl>
    <w:p w:rsidR="00843B99" w:rsidRPr="00585E12" w:rsidRDefault="00843B99" w:rsidP="00843B99">
      <w:pPr>
        <w:ind w:firstLine="709"/>
        <w:jc w:val="both"/>
        <w:rPr>
          <w:sz w:val="26"/>
          <w:szCs w:val="26"/>
        </w:rPr>
      </w:pPr>
      <w:r w:rsidRPr="00585E12">
        <w:rPr>
          <w:sz w:val="26"/>
          <w:szCs w:val="26"/>
        </w:rPr>
        <w:t>Пояснения к показателям прогноза социально-экономического развития муниципального образования город Мурманск на 2018 год и плановый период 2019 и 2020 годов приведены в приложении № 1. Оценка показателей за 2017 год на основании предварительных итогов социально-экономического развития муниципального образования город Мурманск за первое полугодие 2017 года и ожидаемых итогов социально-экономического развития за 2017 год</w:t>
      </w:r>
      <w:r w:rsidR="00585E12" w:rsidRPr="00585E12">
        <w:rPr>
          <w:sz w:val="26"/>
          <w:szCs w:val="26"/>
        </w:rPr>
        <w:t xml:space="preserve"> представлена</w:t>
      </w:r>
      <w:r w:rsidRPr="00585E12">
        <w:rPr>
          <w:sz w:val="26"/>
          <w:szCs w:val="26"/>
        </w:rPr>
        <w:t xml:space="preserve"> в приложении № 2.</w:t>
      </w:r>
    </w:p>
    <w:p w:rsidR="00843B99" w:rsidRPr="008F159D" w:rsidRDefault="00843B99" w:rsidP="00843B99">
      <w:pPr>
        <w:ind w:firstLine="709"/>
        <w:jc w:val="both"/>
        <w:rPr>
          <w:szCs w:val="28"/>
        </w:rPr>
        <w:sectPr w:rsidR="00843B99" w:rsidRPr="008F159D" w:rsidSect="00585E12">
          <w:headerReference w:type="even" r:id="rId13"/>
          <w:headerReference w:type="default" r:id="rId14"/>
          <w:footerReference w:type="even" r:id="rId15"/>
          <w:pgSz w:w="16840" w:h="11907" w:orient="landscape" w:code="9"/>
          <w:pgMar w:top="1304" w:right="1134" w:bottom="765" w:left="1134" w:header="567" w:footer="397" w:gutter="0"/>
          <w:pgNumType w:start="1"/>
          <w:cols w:space="720"/>
          <w:titlePg/>
          <w:docGrid w:linePitch="381"/>
        </w:sectPr>
      </w:pPr>
    </w:p>
    <w:tbl>
      <w:tblPr>
        <w:tblW w:w="0" w:type="auto"/>
        <w:tblLook w:val="04A0"/>
      </w:tblPr>
      <w:tblGrid>
        <w:gridCol w:w="4573"/>
        <w:gridCol w:w="5281"/>
      </w:tblGrid>
      <w:tr w:rsidR="00843B99" w:rsidRPr="00165C07" w:rsidTr="004A3D34">
        <w:tc>
          <w:tcPr>
            <w:tcW w:w="4573" w:type="dxa"/>
          </w:tcPr>
          <w:p w:rsidR="00843B99" w:rsidRPr="00165C07" w:rsidRDefault="00843B99" w:rsidP="004A3D34">
            <w:pPr>
              <w:widowControl w:val="0"/>
              <w:jc w:val="right"/>
              <w:rPr>
                <w:szCs w:val="28"/>
              </w:rPr>
            </w:pPr>
            <w:r w:rsidRPr="00165C07">
              <w:rPr>
                <w:szCs w:val="28"/>
              </w:rPr>
              <w:lastRenderedPageBreak/>
              <w:br w:type="page"/>
            </w:r>
          </w:p>
        </w:tc>
        <w:tc>
          <w:tcPr>
            <w:tcW w:w="5281" w:type="dxa"/>
          </w:tcPr>
          <w:p w:rsidR="00843B99" w:rsidRPr="00165C07" w:rsidRDefault="00843B99" w:rsidP="004A3D34">
            <w:pPr>
              <w:widowControl w:val="0"/>
              <w:jc w:val="center"/>
              <w:rPr>
                <w:szCs w:val="28"/>
              </w:rPr>
            </w:pPr>
            <w:r w:rsidRPr="00165C07">
              <w:rPr>
                <w:szCs w:val="28"/>
              </w:rPr>
              <w:t>Приложение № 1</w:t>
            </w:r>
          </w:p>
          <w:p w:rsidR="00843B99" w:rsidRPr="00165C07" w:rsidRDefault="00843B99" w:rsidP="004A3D34">
            <w:pPr>
              <w:widowControl w:val="0"/>
              <w:jc w:val="center"/>
              <w:rPr>
                <w:szCs w:val="28"/>
              </w:rPr>
            </w:pPr>
            <w:r w:rsidRPr="00165C07">
              <w:rPr>
                <w:szCs w:val="28"/>
              </w:rPr>
              <w:t>к прогнозу социально-экономического развития муниципального образования город Мурманск на 2018 год и плановый период 2019 и 2020 годов</w:t>
            </w:r>
          </w:p>
        </w:tc>
      </w:tr>
    </w:tbl>
    <w:p w:rsidR="00843B99" w:rsidRPr="00165C07" w:rsidRDefault="00843B99" w:rsidP="00843B99">
      <w:pPr>
        <w:tabs>
          <w:tab w:val="left" w:pos="6900"/>
        </w:tabs>
        <w:jc w:val="center"/>
        <w:rPr>
          <w:bCs/>
          <w:szCs w:val="28"/>
        </w:rPr>
      </w:pPr>
    </w:p>
    <w:p w:rsidR="00843B99" w:rsidRPr="00165C07" w:rsidRDefault="00843B99" w:rsidP="00843B99">
      <w:pPr>
        <w:tabs>
          <w:tab w:val="left" w:pos="6900"/>
        </w:tabs>
        <w:jc w:val="center"/>
        <w:rPr>
          <w:bCs/>
          <w:szCs w:val="28"/>
        </w:rPr>
      </w:pPr>
    </w:p>
    <w:p w:rsidR="00843B99" w:rsidRPr="008F159D" w:rsidRDefault="00843B99" w:rsidP="00843B99">
      <w:pPr>
        <w:tabs>
          <w:tab w:val="left" w:pos="6900"/>
        </w:tabs>
        <w:jc w:val="center"/>
        <w:rPr>
          <w:bCs/>
          <w:szCs w:val="28"/>
        </w:rPr>
      </w:pPr>
      <w:r w:rsidRPr="008F159D">
        <w:rPr>
          <w:bCs/>
          <w:szCs w:val="28"/>
        </w:rPr>
        <w:t>Пояснительная записка</w:t>
      </w:r>
    </w:p>
    <w:p w:rsidR="00843B99" w:rsidRPr="008F159D" w:rsidRDefault="00843B99" w:rsidP="00843B99">
      <w:pPr>
        <w:jc w:val="center"/>
        <w:rPr>
          <w:bCs/>
          <w:szCs w:val="28"/>
        </w:rPr>
      </w:pPr>
      <w:r w:rsidRPr="008F159D">
        <w:rPr>
          <w:bCs/>
          <w:szCs w:val="28"/>
        </w:rPr>
        <w:t xml:space="preserve">к прогнозу социально-экономического развития </w:t>
      </w:r>
    </w:p>
    <w:p w:rsidR="00843B99" w:rsidRPr="008F159D" w:rsidRDefault="00843B99" w:rsidP="00843B99">
      <w:pPr>
        <w:jc w:val="center"/>
        <w:rPr>
          <w:bCs/>
          <w:szCs w:val="28"/>
        </w:rPr>
      </w:pPr>
      <w:r w:rsidRPr="008F159D">
        <w:rPr>
          <w:bCs/>
          <w:szCs w:val="28"/>
        </w:rPr>
        <w:t>муниципального образования город Мурманск на 201</w:t>
      </w:r>
      <w:r>
        <w:rPr>
          <w:bCs/>
          <w:szCs w:val="28"/>
        </w:rPr>
        <w:t>8</w:t>
      </w:r>
      <w:r w:rsidRPr="008F159D">
        <w:rPr>
          <w:bCs/>
          <w:szCs w:val="28"/>
        </w:rPr>
        <w:t xml:space="preserve"> год </w:t>
      </w:r>
    </w:p>
    <w:p w:rsidR="00843B99" w:rsidRPr="008F159D" w:rsidRDefault="00843B99" w:rsidP="00843B99">
      <w:pPr>
        <w:jc w:val="center"/>
        <w:rPr>
          <w:bCs/>
          <w:szCs w:val="28"/>
        </w:rPr>
      </w:pPr>
      <w:r w:rsidRPr="008F159D">
        <w:rPr>
          <w:bCs/>
          <w:szCs w:val="28"/>
        </w:rPr>
        <w:t>и плановый период 201</w:t>
      </w:r>
      <w:r>
        <w:rPr>
          <w:bCs/>
          <w:szCs w:val="28"/>
        </w:rPr>
        <w:t>9 и 2020</w:t>
      </w:r>
      <w:r w:rsidRPr="008F159D">
        <w:rPr>
          <w:bCs/>
          <w:szCs w:val="28"/>
        </w:rPr>
        <w:t xml:space="preserve"> годов</w:t>
      </w:r>
    </w:p>
    <w:p w:rsidR="00843B99" w:rsidRPr="008F159D" w:rsidRDefault="00843B99" w:rsidP="00843B99">
      <w:pPr>
        <w:widowControl w:val="0"/>
        <w:ind w:firstLine="709"/>
        <w:jc w:val="both"/>
        <w:rPr>
          <w:szCs w:val="28"/>
        </w:rPr>
      </w:pPr>
    </w:p>
    <w:p w:rsidR="00843B99" w:rsidRPr="008F159D" w:rsidRDefault="00843B99" w:rsidP="004A3D34">
      <w:pPr>
        <w:pStyle w:val="1"/>
        <w:spacing w:before="0" w:after="0"/>
        <w:rPr>
          <w:b w:val="0"/>
          <w:caps w:val="0"/>
          <w:kern w:val="32"/>
          <w:sz w:val="28"/>
          <w:szCs w:val="28"/>
        </w:rPr>
      </w:pPr>
      <w:bookmarkStart w:id="0" w:name="_GoBack"/>
      <w:bookmarkEnd w:id="0"/>
      <w:r w:rsidRPr="008F159D">
        <w:rPr>
          <w:b w:val="0"/>
          <w:caps w:val="0"/>
          <w:kern w:val="32"/>
          <w:sz w:val="28"/>
          <w:szCs w:val="28"/>
        </w:rPr>
        <w:t xml:space="preserve">Прогноз социально-экономического развития </w:t>
      </w:r>
      <w:r w:rsidR="004A3D34" w:rsidRPr="004A3D34">
        <w:rPr>
          <w:b w:val="0"/>
          <w:caps w:val="0"/>
          <w:kern w:val="32"/>
          <w:sz w:val="28"/>
          <w:szCs w:val="28"/>
        </w:rPr>
        <w:t xml:space="preserve">муниципального образования </w:t>
      </w:r>
      <w:r w:rsidRPr="008F159D">
        <w:rPr>
          <w:b w:val="0"/>
          <w:caps w:val="0"/>
          <w:kern w:val="32"/>
          <w:sz w:val="28"/>
          <w:szCs w:val="28"/>
        </w:rPr>
        <w:t>город</w:t>
      </w:r>
      <w:r w:rsidR="004A3D34">
        <w:rPr>
          <w:b w:val="0"/>
          <w:caps w:val="0"/>
          <w:kern w:val="32"/>
          <w:sz w:val="28"/>
          <w:szCs w:val="28"/>
        </w:rPr>
        <w:t xml:space="preserve"> Мурманск</w:t>
      </w:r>
      <w:r w:rsidRPr="008F159D">
        <w:rPr>
          <w:b w:val="0"/>
          <w:caps w:val="0"/>
          <w:kern w:val="32"/>
          <w:sz w:val="28"/>
          <w:szCs w:val="28"/>
        </w:rPr>
        <w:t xml:space="preserve"> составлен с учетом следующих основных документов</w:t>
      </w:r>
      <w:r w:rsidR="004A3D34" w:rsidRPr="004A3D34">
        <w:rPr>
          <w:b w:val="0"/>
          <w:caps w:val="0"/>
          <w:kern w:val="32"/>
          <w:sz w:val="28"/>
          <w:szCs w:val="28"/>
        </w:rPr>
        <w:t>на 2018 годи плановый период 2019 и 2020 годов</w:t>
      </w:r>
      <w:r w:rsidRPr="008F159D">
        <w:rPr>
          <w:b w:val="0"/>
          <w:caps w:val="0"/>
          <w:kern w:val="32"/>
          <w:sz w:val="28"/>
          <w:szCs w:val="28"/>
        </w:rPr>
        <w:t>:</w:t>
      </w:r>
    </w:p>
    <w:p w:rsidR="00843B99" w:rsidRPr="008F159D" w:rsidRDefault="004A3D34" w:rsidP="004A3D34">
      <w:pPr>
        <w:ind w:firstLine="709"/>
        <w:jc w:val="both"/>
      </w:pPr>
      <w:r>
        <w:t xml:space="preserve">– </w:t>
      </w:r>
      <w:r w:rsidR="00E156C2">
        <w:t>с</w:t>
      </w:r>
      <w:r>
        <w:t>ценарных</w:t>
      </w:r>
      <w:r w:rsidR="00843B99" w:rsidRPr="008F159D">
        <w:t xml:space="preserve"> услови</w:t>
      </w:r>
      <w:r>
        <w:t>й, основных параметров</w:t>
      </w:r>
      <w:r w:rsidR="00843B99" w:rsidRPr="008F159D">
        <w:t xml:space="preserve"> прогноза социально-экономического развития Р</w:t>
      </w:r>
      <w:r>
        <w:t>оссийской Федерации и предельных уровней</w:t>
      </w:r>
      <w:r w:rsidR="00843B99" w:rsidRPr="008F159D">
        <w:t xml:space="preserve"> цен (тарифов) на услуги компаний и</w:t>
      </w:r>
      <w:r w:rsidR="00843B99">
        <w:t>нфраструктурного сектора на 2018</w:t>
      </w:r>
      <w:r w:rsidR="00843B99" w:rsidRPr="008F159D">
        <w:t xml:space="preserve"> год </w:t>
      </w:r>
      <w:r w:rsidR="00843B99">
        <w:t>и на плановый период 2019 и 2020</w:t>
      </w:r>
      <w:r w:rsidR="00843B99" w:rsidRPr="008F159D">
        <w:t xml:space="preserve"> годов;</w:t>
      </w:r>
    </w:p>
    <w:p w:rsidR="00843B99" w:rsidRPr="008F159D" w:rsidRDefault="00E156C2" w:rsidP="004A3D34">
      <w:pPr>
        <w:ind w:firstLine="709"/>
        <w:jc w:val="both"/>
      </w:pPr>
      <w:r>
        <w:t>– о</w:t>
      </w:r>
      <w:r w:rsidR="004A3D34">
        <w:t>сновных</w:t>
      </w:r>
      <w:r w:rsidR="00843B99" w:rsidRPr="005D1F48">
        <w:t xml:space="preserve"> показател</w:t>
      </w:r>
      <w:r w:rsidR="004A3D34">
        <w:t>ей, представляемых</w:t>
      </w:r>
      <w:r w:rsidR="00843B99" w:rsidRPr="005D1F48">
        <w:t xml:space="preserve"> для разработки прогноза социально-экономического развития Российской Федерации на период до 2020 года (для субъектов Российской Федерации) по Мурманской области;</w:t>
      </w:r>
    </w:p>
    <w:p w:rsidR="00843B99" w:rsidRPr="008F159D" w:rsidRDefault="00843B99" w:rsidP="004A3D34">
      <w:pPr>
        <w:ind w:firstLine="709"/>
        <w:jc w:val="both"/>
      </w:pPr>
      <w:r w:rsidRPr="008F159D">
        <w:t xml:space="preserve">– </w:t>
      </w:r>
      <w:r w:rsidR="004A3D34">
        <w:t>Послания</w:t>
      </w:r>
      <w:r w:rsidRPr="008F159D">
        <w:t xml:space="preserve"> Президента Российской Федерации Федеральному Собранию Российской Федерации от 0</w:t>
      </w:r>
      <w:r>
        <w:t>1.12.2016</w:t>
      </w:r>
      <w:r w:rsidRPr="008F159D">
        <w:t>;</w:t>
      </w:r>
    </w:p>
    <w:p w:rsidR="00843B99" w:rsidRPr="008F159D" w:rsidRDefault="00843B99" w:rsidP="004A3D34">
      <w:pPr>
        <w:ind w:firstLine="709"/>
        <w:jc w:val="both"/>
        <w:rPr>
          <w:szCs w:val="28"/>
        </w:rPr>
      </w:pPr>
      <w:r w:rsidRPr="008F159D">
        <w:t xml:space="preserve">– </w:t>
      </w:r>
      <w:r w:rsidR="004A3D34">
        <w:t>С</w:t>
      </w:r>
      <w:r w:rsidR="004A3D34">
        <w:rPr>
          <w:szCs w:val="28"/>
        </w:rPr>
        <w:t>тратегического</w:t>
      </w:r>
      <w:r w:rsidRPr="008F159D">
        <w:rPr>
          <w:szCs w:val="28"/>
        </w:rPr>
        <w:t xml:space="preserve"> план</w:t>
      </w:r>
      <w:r w:rsidR="004A3D34">
        <w:rPr>
          <w:szCs w:val="28"/>
        </w:rPr>
        <w:t>а</w:t>
      </w:r>
      <w:r w:rsidRPr="008F159D">
        <w:rPr>
          <w:szCs w:val="28"/>
        </w:rPr>
        <w:t xml:space="preserve"> социально-экономического развития города Мурманска до 2020 года;</w:t>
      </w:r>
    </w:p>
    <w:p w:rsidR="00843B99" w:rsidRPr="008F159D" w:rsidRDefault="004A3D34" w:rsidP="004A3D34">
      <w:pPr>
        <w:ind w:firstLine="709"/>
        <w:jc w:val="both"/>
        <w:rPr>
          <w:szCs w:val="28"/>
        </w:rPr>
      </w:pPr>
      <w:r>
        <w:rPr>
          <w:szCs w:val="28"/>
        </w:rPr>
        <w:t>– муниципальных программ</w:t>
      </w:r>
      <w:r w:rsidR="00843B99" w:rsidRPr="008F159D">
        <w:rPr>
          <w:szCs w:val="28"/>
        </w:rPr>
        <w:t xml:space="preserve"> го</w:t>
      </w:r>
      <w:r>
        <w:rPr>
          <w:szCs w:val="28"/>
        </w:rPr>
        <w:t>рода Мурманска и государственных</w:t>
      </w:r>
      <w:r w:rsidR="00843B99" w:rsidRPr="008F159D">
        <w:rPr>
          <w:szCs w:val="28"/>
        </w:rPr>
        <w:t xml:space="preserve"> программ</w:t>
      </w:r>
      <w:r>
        <w:rPr>
          <w:szCs w:val="28"/>
        </w:rPr>
        <w:t>, реализуемых</w:t>
      </w:r>
      <w:r w:rsidR="00843B99" w:rsidRPr="008F159D">
        <w:rPr>
          <w:szCs w:val="28"/>
        </w:rPr>
        <w:t xml:space="preserve"> на территории муниципалитета;</w:t>
      </w:r>
    </w:p>
    <w:p w:rsidR="00843B99" w:rsidRPr="008F159D" w:rsidRDefault="004A3D34" w:rsidP="004A3D34">
      <w:pPr>
        <w:ind w:firstLine="709"/>
        <w:jc w:val="both"/>
        <w:rPr>
          <w:szCs w:val="28"/>
        </w:rPr>
      </w:pPr>
      <w:r>
        <w:rPr>
          <w:szCs w:val="28"/>
        </w:rPr>
        <w:t>– информации</w:t>
      </w:r>
      <w:r w:rsidR="00843B99" w:rsidRPr="008F159D">
        <w:rPr>
          <w:szCs w:val="28"/>
        </w:rPr>
        <w:t xml:space="preserve"> предприятий, в том числе об инвестиционных проектах, планах развития;</w:t>
      </w:r>
    </w:p>
    <w:p w:rsidR="00843B99" w:rsidRPr="008F159D" w:rsidRDefault="004A3D34" w:rsidP="004A3D34">
      <w:pPr>
        <w:ind w:firstLine="709"/>
        <w:jc w:val="both"/>
        <w:rPr>
          <w:szCs w:val="28"/>
        </w:rPr>
      </w:pPr>
      <w:r>
        <w:rPr>
          <w:szCs w:val="28"/>
        </w:rPr>
        <w:t xml:space="preserve"> – сведений</w:t>
      </w:r>
      <w:r w:rsidR="00843B99" w:rsidRPr="008F159D">
        <w:rPr>
          <w:szCs w:val="28"/>
        </w:rPr>
        <w:t xml:space="preserve"> исполнительных органов государственной власти Мурманской области, территориальных подразделений иных органов власти и т.д.</w:t>
      </w:r>
    </w:p>
    <w:p w:rsidR="00843B99" w:rsidRPr="008F159D" w:rsidRDefault="00843B99" w:rsidP="004A3D34">
      <w:pPr>
        <w:widowControl w:val="0"/>
        <w:ind w:firstLine="709"/>
        <w:jc w:val="both"/>
        <w:rPr>
          <w:szCs w:val="28"/>
        </w:rPr>
      </w:pPr>
      <w:r w:rsidRPr="008F159D">
        <w:rPr>
          <w:szCs w:val="28"/>
        </w:rPr>
        <w:t>Прогноз составлен в двух вариантах:</w:t>
      </w:r>
    </w:p>
    <w:p w:rsidR="00843B99" w:rsidRPr="008F159D" w:rsidRDefault="00843B99" w:rsidP="004A3D34">
      <w:pPr>
        <w:widowControl w:val="0"/>
        <w:ind w:firstLine="709"/>
        <w:jc w:val="both"/>
      </w:pPr>
      <w:r w:rsidRPr="008F159D">
        <w:t xml:space="preserve">– первый вариант (базовый) </w:t>
      </w:r>
      <w:r w:rsidRPr="008F159D">
        <w:rPr>
          <w:szCs w:val="28"/>
        </w:rPr>
        <w:t>характеризует функционирование  экономики в условиях консервативных тенденций изменения внешних и внутренних факторов на фоне постепенного укрепления номинального обменного курса рубля при сохранении умеренной бюджетной политики</w:t>
      </w:r>
      <w:r w:rsidRPr="008F159D">
        <w:t>;</w:t>
      </w:r>
    </w:p>
    <w:p w:rsidR="00843B99" w:rsidRPr="008F159D" w:rsidRDefault="00843B99" w:rsidP="004A3D34">
      <w:pPr>
        <w:widowControl w:val="0"/>
        <w:ind w:firstLine="709"/>
        <w:jc w:val="both"/>
      </w:pPr>
      <w:r w:rsidRPr="008F159D">
        <w:t xml:space="preserve">– второй вариант (целевой) основан на достижении целевых показателей социально-экономического развития и решении задач стратегического планирования в условиях активной реализации мер экономической политики. </w:t>
      </w:r>
    </w:p>
    <w:p w:rsidR="00843B99" w:rsidRPr="007F2209" w:rsidRDefault="00843B99" w:rsidP="004A3D3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lastRenderedPageBreak/>
        <w:t>Демографические показатели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Динамика показателей естественного движения населения города Мурманска в 2016 году к 2015 году характеризуется снижением как числа родившихся, так и числа умерших. Вместе с тем, в 2016 году показатель естественной убыли населения несколько увеличился, что на фоне поступательного снижения данного показателя в предыдущие годы позволяет констатировать определенное ухудшение демографической ситуации в городе Мурманске.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2016 году родилось 3152 </w:t>
      </w:r>
      <w:r>
        <w:rPr>
          <w:szCs w:val="28"/>
        </w:rPr>
        <w:t>ребенка</w:t>
      </w:r>
      <w:r w:rsidRPr="007F2209">
        <w:rPr>
          <w:szCs w:val="28"/>
        </w:rPr>
        <w:t>, что на 341 ребенка меньше, чем в 2015 году. Уровень рождаемости в городе уменьшился с 11,65 человек на 1000 населения в 2015 году до 10,64 человек на 1000 населения в 2016 году. В прогнозном периоде ожидается снижение темпов ежегодного сокращения числа родившихся, что обусловлено положительной динамикой численности женщин фертильного возраста в 2016 году (рост показателя в 2016 году к 2015 году составил 13,3%).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Несмотря на это, в связи с оттоком населения в трудоспособном возрасте к концу 2020 года ожидается снижение уровня рождаемости до 10,91 человек на 1000 населения.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рамках муниципальных программ города Мурманска в целях поддержки уровня рождаемости реализуются мероприятия по предоставлению многодетным семьям социальных выплат для строительства жилья (</w:t>
      </w:r>
      <w:r>
        <w:rPr>
          <w:szCs w:val="28"/>
        </w:rPr>
        <w:t>муниципальная программа</w:t>
      </w:r>
      <w:r w:rsidR="009004B8">
        <w:rPr>
          <w:szCs w:val="28"/>
        </w:rPr>
        <w:t xml:space="preserve"> города Мурманска</w:t>
      </w:r>
      <w:r w:rsidRPr="007F2209">
        <w:rPr>
          <w:szCs w:val="28"/>
        </w:rPr>
        <w:t xml:space="preserve"> «Градостроительная политика» на 2014-2019 годы), по предоставлению молодым и многодетным семьям социальных выплат на приобретение жилья (</w:t>
      </w:r>
      <w:r>
        <w:rPr>
          <w:szCs w:val="28"/>
        </w:rPr>
        <w:t>муниципальная программа</w:t>
      </w:r>
      <w:r w:rsidR="009004B8">
        <w:rPr>
          <w:szCs w:val="28"/>
        </w:rPr>
        <w:t>города Мурманска</w:t>
      </w:r>
      <w:r w:rsidRPr="007F2209">
        <w:rPr>
          <w:szCs w:val="28"/>
        </w:rPr>
        <w:t>«Управление имуществом и жилищная политика» на 2014-2019 годы) и пр. Так, в 2016 году свидетельства о праве на получение социальной выплаты на приобретение (строительство) жилья получили 129 молодых и многодетных семей. С использованием социальной выплаты улучшили свои жилищные условия 130 молодых и многодетных семей. Также в 2016 году 1 многодетной семье была предоставлена социальная выплата для строительства жилья на предоставленном земельном участке.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Кроме того, повышению уровня рождаемости во многом способствует реализация федеральной программы «Материнский капитал», а также повышение качества родовспоможения и медицинской помощи, оказываемой женщинам во время беременности и родов (в частности, за счет реализации программы «Родовой сертификат»).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Число умерших в 2016 году по сравнению с 2015 годом сократилось на 75 человек и составило 3522 человек</w:t>
      </w:r>
      <w:r>
        <w:rPr>
          <w:szCs w:val="28"/>
        </w:rPr>
        <w:t>а</w:t>
      </w:r>
      <w:r w:rsidRPr="007F2209">
        <w:rPr>
          <w:szCs w:val="28"/>
        </w:rPr>
        <w:t xml:space="preserve">. Более половины смертей по-прежнему вызваны болезнями </w:t>
      </w:r>
      <w:proofErr w:type="gramStart"/>
      <w:r w:rsidRPr="007F2209">
        <w:rPr>
          <w:szCs w:val="28"/>
        </w:rPr>
        <w:t>сердечно-сосудистой</w:t>
      </w:r>
      <w:proofErr w:type="gramEnd"/>
      <w:r w:rsidRPr="007F2209">
        <w:rPr>
          <w:szCs w:val="28"/>
        </w:rPr>
        <w:t xml:space="preserve"> системы и злокачественными новообразованиями. Коэффициент смертности в 2016 году составил 11,75 человек на 1000 населения. С учетом итогов за полугодие, в текущем году ожидается увеличение коэффициента смертности до 11,82 человек на 1000 населения.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lastRenderedPageBreak/>
        <w:t>В среднесрочном периоде за счет комплекса мер, направленных на повышение качества оказания медицинской помощи, профилактику заболеваний и предупреждение младенческой смертности, ожидается сокращение уровня смертности до 11,20 человек на 1000 населения в 2020 году. Более существенное снижение указанного показателя представляется маловероятным в силу постоянного увеличения доли населения старше трудоспособного возраста.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Таким образом, уровень естественной убыли населения предположительно увеличится с 0,10 человек на 1000 населения в 2016 году до 1,18 человек на 1000 населения в 2017 году, после чего ожидается возврат к положительной динамике данного показателя, в результате чего в</w:t>
      </w:r>
      <w:r w:rsidR="00930FE5">
        <w:rPr>
          <w:szCs w:val="28"/>
        </w:rPr>
        <w:t xml:space="preserve"> 2020 году уровень естественнойубыли</w:t>
      </w:r>
      <w:r w:rsidRPr="007F2209">
        <w:rPr>
          <w:szCs w:val="28"/>
        </w:rPr>
        <w:t xml:space="preserve"> предположительно составит 0,29 человек на 1000 населения.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Главным фактором сокращения численности </w:t>
      </w:r>
      <w:proofErr w:type="spellStart"/>
      <w:r w:rsidRPr="007F2209">
        <w:rPr>
          <w:szCs w:val="28"/>
        </w:rPr>
        <w:t>мурманчан</w:t>
      </w:r>
      <w:proofErr w:type="spellEnd"/>
      <w:r w:rsidRPr="007F2209">
        <w:rPr>
          <w:szCs w:val="28"/>
        </w:rPr>
        <w:t xml:space="preserve"> по-прежнему остается значительный миграционный отток населения. В 2016 году миграционная убыль населения составила 3440 человек. 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2016 году было отмечено сокращение числа </w:t>
      </w:r>
      <w:proofErr w:type="gramStart"/>
      <w:r w:rsidRPr="007F2209">
        <w:rPr>
          <w:szCs w:val="28"/>
        </w:rPr>
        <w:t>выбывших</w:t>
      </w:r>
      <w:proofErr w:type="gramEnd"/>
      <w:r w:rsidRPr="007F2209">
        <w:rPr>
          <w:szCs w:val="28"/>
        </w:rPr>
        <w:t xml:space="preserve"> на 2,8% к предыдущему году. Уменьшение данного показателя обусловлено, прежде всего, постепенным преодолением отрицательных социальных последствий кризисных явлений в экономике региона, в частности, на рынке труда в условиях высокой стоимости жизни в городе. Вместе с тем, отмечено некоторое сокращение числа прибывших – в 2016 году данный показатель составил 11688 человек (99,5% к 2015 году). 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proofErr w:type="gramStart"/>
      <w:r w:rsidRPr="007F2209">
        <w:rPr>
          <w:szCs w:val="28"/>
        </w:rPr>
        <w:t>Несмотря на то, что в прогнозном периоде предполагается сохранение  отрицательного сальдо миграции, ожидается снижение темпов миграционного оттока населения с 11,47 человек на 1000 населения в 2016 году до 8,57 человек на 1000 населения в 2020 году за счет увеличившейся потребности в трудовых ресурсах для реализации крупных инвестиционных проектов в рамках развития города Мурманска в качестве важного транспортного узла и одного</w:t>
      </w:r>
      <w:proofErr w:type="gramEnd"/>
      <w:r w:rsidRPr="007F2209">
        <w:rPr>
          <w:szCs w:val="28"/>
        </w:rPr>
        <w:t xml:space="preserve"> из центров развития Арктической зоны РФ, а также за счет общего </w:t>
      </w:r>
      <w:proofErr w:type="gramStart"/>
      <w:r w:rsidRPr="007F2209">
        <w:rPr>
          <w:szCs w:val="28"/>
        </w:rPr>
        <w:t>повышения уровня жизни населения города</w:t>
      </w:r>
      <w:proofErr w:type="gramEnd"/>
      <w:r w:rsidRPr="007F2209">
        <w:rPr>
          <w:szCs w:val="28"/>
        </w:rPr>
        <w:t>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Таким образом, в результате отрицательных явлений в демографии среднегодовая численность населения города Мурманска в 2016 году сократилась на 3570 человек и составила 299,83 тыс. человек. Ожидаемая среднегодовая численность населения в 2017 году – 296,29 тыс. человек.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прогнозном периоде ожидается дальнейшее сокращение численности населения города Мурманска. В 2020 году среднегодовая численность населения предположительно составит 287,08 тыс. человек.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На улучшение демографической ситуации в городе и развитие человеческого потенциала направлены муниципальные программы города Мурманска в сфере образования, социальной поддержки, градостроительной политики, культуры и т.д., в рамках которых обеспечивается поддержка молодых и многодетных семей, защита социально уязвимых категорий граждан, развитие семейных форм устройства детей, повышение уровня благоустройства городской среды и пр.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lastRenderedPageBreak/>
        <w:t xml:space="preserve">Ключевым риском </w:t>
      </w:r>
      <w:r>
        <w:rPr>
          <w:szCs w:val="28"/>
        </w:rPr>
        <w:t xml:space="preserve">ухудшения </w:t>
      </w:r>
      <w:r w:rsidRPr="007F2209">
        <w:rPr>
          <w:szCs w:val="28"/>
        </w:rPr>
        <w:t>демографической ситуации, учтенным в базовом варианте прогноза, может стать увеличение миграционного оттока населения в случае отмены реализации крупных инвестиционных проектов, а также в случае роста безработицы в регионе вследствие сокращения и ликвидации рабочих мест, вызванных последствиями кризисных явлений в экономике. Кроме того, к числу рисков следует отнести увеличение доли населения старше трудоспособного возраста при сохранении показателя ожидаемой продолжительности жизни на неизменном уровне.</w:t>
      </w:r>
    </w:p>
    <w:p w:rsidR="00843B99" w:rsidRPr="007F2209" w:rsidRDefault="00843B99" w:rsidP="004A3D3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Производство товаров и услуг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Объем промышленного производства в 2016 году в сопоставимых ценах с учётом среднеобластных индексов-дефляторов по основным видам экономической деятельности оценочно сократился, составив 91,5% к 2015 году в связи со снижением промышленного производства в обрабатывающей промышленности (90,7%) и производстве и распределении электроэнергии, газа и воды (95,3%). </w:t>
      </w:r>
    </w:p>
    <w:p w:rsidR="00843B99" w:rsidRPr="007F2209" w:rsidRDefault="00843B99" w:rsidP="004A3D34">
      <w:pPr>
        <w:ind w:firstLine="709"/>
        <w:jc w:val="both"/>
      </w:pPr>
      <w:r w:rsidRPr="007F2209">
        <w:t>В обрабатывающей промышленности снижение производственных показателей в сопоставимых ценах обусловлено сокращением производства в пищевой промышленности (95,2%), в т.ч. мясной (32,7%), рыбоперерабатывающей (98%), мукомольно-крупяной (41,5%), кормовой (27,4%), а также транспортных средств и оборудования (68,5%). В натуральном выражении сократился объем выпуска муки из растительных культур (55,7%), мяса и субпродуктов (3,2% к 2015 году), колбасных изделий (87%) на фоне роста производства мясных полуфабрикатов (123,7%), рыбопродукции (92,2%) за счет рыбы мороженой (90%) и филе рыбного мороженого (92%) на фоне роста выпуска рыбы соленой (110,1%), копченой (103%), сушеной и вяленой (112,3%), кулинарных изделий (в 3 раза), консервов (136,6%), морепродуктов (138,9%), а также консервов и пресервов из них (в 2,3 раза), рыбной муки (126,9%).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Помимо того, снижение производства наблюдалось в металлургической промышленности (81,8%), производстве электрооборудования (70%), прочих производствах (73,34%), а также сохранилось в текстильной и швейной промышленности (91,41% в сопоставимых ценах к 2015 году) с сокращением выпуска спецодежды в натуральном выражении (85%), и верхней одежды (плащи – 50%, пальто – 40%, женские пальто с верхом из натурального меха – 71,2%). 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Рост производственных показателей по итогам 2016 года достигнут в издательской и полиграфической деятельности (104%), производстве строительных материалов (в 3,3 раза), среди пищевых производств в сфере переработки и консервирования картофеля, фруктов, овощей (150,7%), производства прочих пищевых продуктов (107%). В натуральном выражении увеличился выпуск бумажных сумок и ящиков из гофрированного картона, печатной продукции (печатных листовок - 166,5%, календарей - 165,3%, книг и брошюр в виде отдельных листов - 110,7%), строительных материалов после </w:t>
      </w:r>
      <w:r w:rsidRPr="007F2209">
        <w:lastRenderedPageBreak/>
        <w:t>снижения в 2015 году (галька, гравий, щебень - 268,2%, гранулы каменные, крошка и порошок; галька, гравий, щебень или камень дробленый - 222,1%, камень природный дробленый, обычно используемый в качестве заполнителей бетона, для дорожных покрытий и других строительных целей прочий - 140,2%). Рост производства прочих пищевых продуктов связан с увеличением выпуска хлеба и хлебобулочных изделий (104,3%), кондитерских изделий (138,5%), полуфабрикатов из теста с начинками (155,8%), пива (105,2%), минеральной воды (144,2%).</w:t>
      </w:r>
    </w:p>
    <w:p w:rsidR="00843B99" w:rsidRPr="007F2209" w:rsidRDefault="00843B99" w:rsidP="004A3D34">
      <w:pPr>
        <w:ind w:firstLine="709"/>
        <w:jc w:val="both"/>
      </w:pPr>
      <w:r w:rsidRPr="007F2209">
        <w:t>Обрабатывающие производства остаются одной из самых убыточных сфер экономики города, где сохраняется низкая инвестиционная активность. Рост численности работников предприятий обрабатывающей промышленности в 2016 году (104,2%) опережал темп роста отгруженной продукции (103%) и заработной платы (102,3%), которая на 10% ниже средней по городу. Увеличение спроса на труд квалифицированных рабочих специалистов связано в большей степени с ограничением объема предложений труда низкими зарплатами, а также массовой подготовкой специалистов широкого профиля по профессиям</w:t>
      </w:r>
      <w:r w:rsidR="009004B8">
        <w:t>,</w:t>
      </w:r>
      <w:r w:rsidRPr="007F2209">
        <w:t xml:space="preserve"> общим для всех видов экономической деятельности, в частности, по специальности «экономика и управление», составляющих около трети выпускников профессиональных образовательных организаций области на протяжении последних 5 лет. В отсутствие восстановления производственной и экономической активности доля занятых в обрабатывающей промышленности сохраняет тенденцию к снижению и в 2017 году составила менее 5%. Доля затрат в объеме выручки у предприятий обрабатывающей промышленности одна из самых высоких – ежегодно превышает 96% (в торговле 97%), из них 84% составляет себестоимость. В 2016 году затраты на производство продаж, в т.ч. себестоимость, возросли на 22% при росте коммерческих расходов в 1,8 раза и снижении управленческих расходов на 22%. 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В отсутствие инвестиционных проектов в сфере обрабатывающей промышленности эксплуатация устаревших, изношенных производственных мощностей и инфраструктуры, дефицит квалифицированных кадров среди специалистов и руководителей промышленных предприятий, знающих специфику конкретного производства и обладающих необходимым профессиональным опытом и знаниями для его эффективной организации и повышения производительности, отсутствие инвестиций в повышение производительности труда (модернизацию технологий и оборудования, развитие кадрового потенциала), а также низкий уровень оплаты труда производственного персонала, ограничивающий привлечение специалистов, снижают потенциал роста производства и не позволяют ожидать дальнейшего развития и расширения промышленности в городе Мурманске. Наряду с этим строительство новых промышленных объектов ограничено существующей инженерной инфраструктурой и состоянием городских коммуникационных сетей. Развитие пищевой промышленности, составляющей основу промышленного производства города, в большей степени зависит от прибрежного рыболовства. Производство пищевой продукции, за исключением рыбной продукции, ограничено, главным образом, платежеспособным спросом </w:t>
      </w:r>
      <w:r w:rsidRPr="007F2209">
        <w:lastRenderedPageBreak/>
        <w:t>населения, численность которого сокращается, а также конкуренцией со стороны импортируемых торговыми сетями продуктов питания из других регионов.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Перспективы развития обрабатывающей промышленности связаны с развитием рыбохозяйственного комплекса и Мурманского транспортного узла, обеспечивающими функционирование рыбоперерабатывающих и судоремонтных производств, а также внедрением инновационных видов деятельности. Ожидается, что создание на базе Мурманского арктического государственного университета Арктического кадрового ресурсного центра и развитие научно-исследовательской деятельности позволит обеспечить экономику города необходимыми специалистами и организовать внедрение передовых промышленных разработок в производство в долгосрочной перспективе. 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Реализация инвестиционных проектов по модернизации мясоперерабатывающего завода «Окраина» (ООО «МПЗ ОКРАИНА»), строительству к 2019 году высокотехнологического рыбоперерабатывающего завода мощностью 60 тыс. тонн в сутки в соответствии с требованиями международных стандартов качества (ООО «РПК ГАВАНЬ»), планируемому созданию мобильного плавучего производственного комплекса (МППК) по выпуску высокотехнологичной рыбной продукции (ООО «СевЗапРыба») и строительству регионального оптово-розничного рыбного рынка «Нептунея» (НКО «Фонд поддержки прибрежного рыбохозяйственного комплекса Мурманской области») позволит сохранить развитие пищевой промышленности в целевом варианте прогноза. </w:t>
      </w:r>
    </w:p>
    <w:p w:rsidR="00843B99" w:rsidRPr="007F2209" w:rsidRDefault="00843B99" w:rsidP="004A3D34">
      <w:pPr>
        <w:ind w:firstLine="709"/>
        <w:jc w:val="both"/>
      </w:pPr>
      <w:proofErr w:type="gramStart"/>
      <w:r w:rsidRPr="007F2209">
        <w:t>Реализация проектов филиала «35 СРЗ» АО «ЦС Звездочка» по очистке, выводу из эксплуатации, ликвидации и реабилитации площадки временного хранения радиоактивных отходов и строительству верфи по изготовлению модульных конструкций верхних строений нефтегазодобывающих сооружений для арктического шельфа, реконструкции и техническому перевооружению 2-камерного сухого дока позволит увеличить производственные мощности предприятия и обеспечить рост промышленного производства по видам деятельности «Производство прочих транспортных средств и</w:t>
      </w:r>
      <w:proofErr w:type="gramEnd"/>
      <w:r w:rsidRPr="007F2209">
        <w:t xml:space="preserve"> оборудования» и «Ремонт и монтаж машин и оборудования» в 2020 году.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Таким образом, в базовом варианте прогноза планируется сохранение объема промышленного производства в 2018-2019 годах с ростом более 1% в 2020 году. Целевой вариант прогноза предусматривает </w:t>
      </w:r>
      <w:r w:rsidR="009004B8">
        <w:t xml:space="preserve">увеличение промышленного роста </w:t>
      </w:r>
      <w:r w:rsidRPr="007F2209">
        <w:t>на 6% в 2018 году с замедлением роста в 2019-2020 годах в пределах 5%.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Наиболее капиталоемкой и прибыльной сферой промышленного производства в последние годы оставалась сфера рыболовства, рыбоводства, в которой благодаря инвестициям в модернизацию основных фондов и </w:t>
      </w:r>
      <w:r w:rsidRPr="007F2209">
        <w:rPr>
          <w:szCs w:val="28"/>
        </w:rPr>
        <w:t xml:space="preserve">реструктуризации предприятий рыбохозяйственного комплекса их число сократилось до 231 единицы (68,6% к 2015 году), при этом </w:t>
      </w:r>
      <w:r w:rsidRPr="007F2209">
        <w:t xml:space="preserve">заметно повысилась производительность труда и средняя заработная плата работников, однако темп роста заработной платы значительно замедлился в 2016 году до 113,5%. </w:t>
      </w:r>
    </w:p>
    <w:p w:rsidR="00843B99" w:rsidRPr="007F2209" w:rsidRDefault="00843B99" w:rsidP="004A3D34">
      <w:pPr>
        <w:ind w:firstLine="709"/>
        <w:jc w:val="both"/>
      </w:pPr>
      <w:r w:rsidRPr="007F2209">
        <w:lastRenderedPageBreak/>
        <w:t xml:space="preserve">В сфере рыболовства, рыбоводства самая высокая в городе средняя заработная плата (157,2 тыс. рублей по итогам 2016 года), уровень которой в 2,8 раза превышает средний размер по городу (57,1 тыс. рублей), при занятости менее 4% работников крупных и средних предприятий, а также размер </w:t>
      </w:r>
      <w:r w:rsidRPr="007F2209">
        <w:rPr>
          <w:szCs w:val="28"/>
        </w:rPr>
        <w:t>сальдированного финансового результата (129,16% к 2015 году), составляющего 69,84% сальдированного финансового результата крупных и средних организаций города.</w:t>
      </w:r>
      <w:r w:rsidRPr="007F2209">
        <w:t xml:space="preserve"> Доля затрат предприятий рыболовства, рыбоводства в объеме выручки одна из самых низких и составляет менее 60%, из которых 50% приходится на себестоимость, рост которой в 2016 году составил 106%. При этом объем коммерческих расходов в 2016 году сократился на 22% при увеличении управленческих расходов на 3%.</w:t>
      </w:r>
    </w:p>
    <w:p w:rsidR="00843B99" w:rsidRPr="007F2209" w:rsidRDefault="00843B99" w:rsidP="004A3D34">
      <w:pPr>
        <w:ind w:firstLine="709"/>
        <w:jc w:val="both"/>
      </w:pPr>
      <w:r w:rsidRPr="007F2209">
        <w:t>Объем отгруженной продукции предприятиями рыболовства, рыбоводства в 2016 году в действующих ценах увеличился на 2,6% до 48,6 млрд. рублей (в том числе рыба, произведенная в условиях промысла, когда вылов и переработка являются комплексным процессом – в 4,8 раза до 2,3 млрд. рублей) и составил 91% от объема по Мурманской области. И</w:t>
      </w:r>
      <w:r w:rsidRPr="007F2209">
        <w:rPr>
          <w:szCs w:val="28"/>
        </w:rPr>
        <w:t xml:space="preserve">ндекс физического объема отгруженных товаров собственного производства, выполненных работ и услуг собственными силами по ВЭД «Рыболовство, рыбоводство» оценочно составил 90%, превысив показатель 2015 года – 67,3%. </w:t>
      </w:r>
      <w:r w:rsidRPr="007F2209">
        <w:t>Объем экспортной продукции в натуральном выражении практически сохранился на уровне 2015 года, составив 99,5% к аналогичному периоду прошлого года, при этом сократившись в долларовом выражении на 7% с учетом снижения цены за килограмм экспортной продукции на 10% до 1,8 доллара. В 2,7 раза увеличился выпуск свежего и охлажденного рыбного филе, в 1,2 раза - свежих или охлажденных печени, икры.</w:t>
      </w:r>
    </w:p>
    <w:p w:rsidR="00843B99" w:rsidRPr="007F2209" w:rsidRDefault="00843B99" w:rsidP="004A3D34">
      <w:pPr>
        <w:ind w:firstLine="709"/>
        <w:jc w:val="both"/>
      </w:pPr>
      <w:r w:rsidRPr="007F2209">
        <w:t>Дальнейшее развитие рыболовства, рыбоводства ограничено районами промысла и запасами водных биоресурсов и будет определяться новой концепцией долгосрочного развития рыбохозяйственного комплекса до 2030 года, разрабатываемой Росрыболовством и включающей комплекс мер по повышению экономической эффективности переработки водных биоресурсов, в основном, за счёт использования инновационных безотходных технологий, а также расширения районов промысла за счет возвращения российских рыбаков на промысел в воды Антарктики для добычи антарктического криля. В целях реализации концепции планируется сокращение избыточного контроля, оптимизация процедур оформления судов и грузов, таможенного оформления зарубежных комплектующих для ремонта судов, что даст дополнительный импульс развитию судоремонтной промышленности.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t xml:space="preserve">Развитию рыбной промышленности в прогнозном периоде будет способствовать реализация инвестиционных проектов по реконструкции и техническому перевооружению регионального центра мониторинга и регионального информационного центра в Мурманске (ФГБУ «Центр системы мониторинга рыболовства и связи») в 2018 году, строительству, реконструкции, модернизации объектов инфраструктуры Мурманского морского рыбного порта, строительству 10 малотоннажных прибрежных </w:t>
      </w:r>
      <w:r w:rsidRPr="007F2209">
        <w:rPr>
          <w:szCs w:val="28"/>
        </w:rPr>
        <w:t>траулеров под охлажденную продукцию с возможностью заморозки рыбы</w:t>
      </w:r>
      <w:r w:rsidRPr="007F2209">
        <w:t xml:space="preserve"> предприятиями </w:t>
      </w:r>
      <w:r w:rsidRPr="007F2209">
        <w:rPr>
          <w:szCs w:val="28"/>
        </w:rPr>
        <w:lastRenderedPageBreak/>
        <w:t>Ассоциации прибрежных рыбопромышленников и фермерских хозяйств Мурмана.</w:t>
      </w:r>
    </w:p>
    <w:p w:rsidR="00843B99" w:rsidRPr="007F2209" w:rsidRDefault="00843B99" w:rsidP="004A3D34">
      <w:pPr>
        <w:ind w:firstLine="709"/>
        <w:jc w:val="both"/>
      </w:pPr>
      <w:r w:rsidRPr="007F2209">
        <w:t>С учетом прогноза вылова водных биологических ресурсов ФГУП «ПИНРО» и снижения в 2018 году квоты на вылов атлантической сельди (64,55%), путассу (51,6%), скумбрии (69%), трески (58,7%) в 2018-2019 годах ожидается снижение производственных показателей предприятий рыболовства, рыбоводства до 85,1% и 98,94% соответственно и стабилизация ситуации в 2020 году (100,5%), что отразится на динамике развития пищевой промышленной и обрабатывающих производств в целом.</w:t>
      </w:r>
    </w:p>
    <w:p w:rsidR="00843B99" w:rsidRPr="007F2209" w:rsidRDefault="00843B99" w:rsidP="004A3D34">
      <w:pPr>
        <w:ind w:firstLine="709"/>
        <w:jc w:val="both"/>
      </w:pPr>
      <w:r w:rsidRPr="007F2209">
        <w:t>На предприятиях в сфере производства и распределения электроэнергии, газа и воды заняты менее 4,5% работников, средняя заработная которых на 13% ниже средней по городу. Численность работников после устойчивого роста в 2011-2014 годах сохраняет тенденцию к сокращению и в 2016 году составила 4183 человека. Объем промышленного производства в сопоставимых ценах с учетом среднеобластных индексов-дефляторов по отдельным классам экономической деятельности оценочно сократился до 11,9 млрд. рублей или 95,26% к 2015 году, в т.ч. по производству, передаче и распределению электроэнергии - 85%, пара и горячей воды (тепловой  энергии) – 98,85%, газообразного топлива, сбору, очистке и распределению воды – 94%. Объемпроизведенной электроэнергии в натуральном выражении сократился до 98,4% к 2015 году, теплоэнергии увеличился к предыдущему году менее чем на 1%, составив 3,3 млн. Гкал или 100,8%.</w:t>
      </w:r>
    </w:p>
    <w:p w:rsidR="00843B99" w:rsidRPr="007F2209" w:rsidRDefault="00843B99" w:rsidP="004A3D34">
      <w:pPr>
        <w:ind w:firstLine="709"/>
        <w:jc w:val="both"/>
      </w:pPr>
      <w:r w:rsidRPr="007F2209">
        <w:t>В сфере производства и распределения электроэнергии, газа и воды доля затрат на производство продаж, состоящих на 99,9% из себестоимости, в объеме выручки в 2014-2016 годах сохраняла устойчивую тенденцию к снижению и по итогам 2016 года составляла 87% в результате снижения управленческих расходов в 2015 году в 2,6 раза, коммерческих расходов в 2016 году в 1,5 раза. В результате с 2015 года сохраняется прибыль от продаж, размер которой в 2016 году возрос на 16,6% до 2,2 млрд. рублей. С 2014 года по итогам января-ноября ежегодно наблюдается устойчивый рост положительного сальдированного финансового результата</w:t>
      </w:r>
      <w:r>
        <w:t>,</w:t>
      </w:r>
      <w:r w:rsidRPr="007F2209">
        <w:t xml:space="preserve"> до</w:t>
      </w:r>
      <w:r>
        <w:t>стигшего</w:t>
      </w:r>
      <w:r w:rsidRPr="007F2209">
        <w:t xml:space="preserve"> 2,3 млрд. рублей в 2016 году, однако по итогам года с учетом отрицательного сальдо прочих доходов и расходов в 2015-2016 годах, достигшего 2,4 млрд. рублей в 2016 году, сохраняется рост отрицательного сальдированного финансового результата, который в 2016 году увеличился в 7,5 раз до 663,2 млн. рублей.</w:t>
      </w:r>
    </w:p>
    <w:p w:rsidR="00843B99" w:rsidRPr="007F2209" w:rsidRDefault="00843B99" w:rsidP="004A3D34">
      <w:pPr>
        <w:ind w:firstLine="709"/>
        <w:jc w:val="both"/>
      </w:pPr>
      <w:r w:rsidRPr="007F2209">
        <w:t>В связи с тем, что основным</w:t>
      </w:r>
      <w:r w:rsidR="009004B8">
        <w:t xml:space="preserve"> потребителем</w:t>
      </w:r>
      <w:r w:rsidRPr="007F2209">
        <w:t xml:space="preserve"> теплоэнергии, сжиженного газа и воды является население, численность которого сохраняет устойчивую тенденцию к снижению, а большую часть электроэнергии потребляют промышленные предприятия</w:t>
      </w:r>
      <w:r w:rsidR="009004B8">
        <w:t>,</w:t>
      </w:r>
      <w:r w:rsidRPr="007F2209">
        <w:t xml:space="preserve"> дальнейшее развитие сферы производства и распределения электроэнергии, газа и воды будет в большей степени зависеть от экономической активности и состояния промышленных предприятий города, инвестиций на внедрение ресурсосберегающих и энергосберегающих технологий. 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Для обеспечения энергетической безопасности, надежного и качественного электроснабжения существующих потребителей и </w:t>
      </w:r>
      <w:r w:rsidRPr="007F2209">
        <w:lastRenderedPageBreak/>
        <w:t xml:space="preserve">перспективных площадок застройки, создания технической возможности для подключения к электрическим сетям новых потребителей в городе реализуются инвестиционные проекты по строительству и реконструкции объектов электроснабжения филиала ПАО «МРСК </w:t>
      </w:r>
      <w:r w:rsidR="009004B8">
        <w:t>Северо-Запада» «Колэнерго», ОАО </w:t>
      </w:r>
      <w:r w:rsidRPr="007F2209">
        <w:t>«МОЭСК». Для энергообеспечения Мурманского транспортного узла ОАО «ФСК ЕЭС» продолжается строительст</w:t>
      </w:r>
      <w:r w:rsidR="009004B8">
        <w:t>во подстанции «Мурманская» (330 </w:t>
      </w:r>
      <w:r w:rsidRPr="007F2209">
        <w:t>кВт). Для обеспечения электроснабжением многоквартирных жилых домов в микрорайоне Жилстрой до конца 2017 года планируется осуществление технологического присоединения к электрическим сетям энергопринимающих устройств объектов домов максимальной мощностью 1000 кВт. В целях обеспечения теплоснабжения объектов по улице Фестивальная в городе Мурманске в 2018 году планируется построить блочно-модульную котельную. Таким образом, в прогнозном периоде ожидается прекращение снижения производственных показателей и сохранение объема производства по виду деятельности «Обеспечение электрическое энергией, газом и паром; кондиционирование воздуха».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На повышение качества водоснабжения и обеспечение энергетической эффективности водопроводных сооружений направлена реализация в 2018 году инвестиционного проекта ГОУП «Мурманскводоканал» по реконструкции ВНС (водопроводная насосная станция) 1-го подъема Кола Мурманск, что позволит стабилизировать объем промышленного производства по виду деятельности «Водоснабжение; водоотведение, организация сбора и утилизации отходов, деятельность по ликвидации загрязнений». Перспективы развития в данной сфере связаны с планируемым в 2018 году строительством Южных очистных сооружений канализации для биологической очистки городских сточных вод, строительству очистных сооружений АО «82 СРЗ», завершением строительства мусорного полигона </w:t>
      </w:r>
      <w:hyperlink r:id="rId16" w:tgtFrame="_blank" w:history="1">
        <w:r w:rsidRPr="007F2209">
          <w:t>в 2,5 км от поселка Междуречье</w:t>
        </w:r>
      </w:hyperlink>
      <w:r w:rsidRPr="007F2209">
        <w:t xml:space="preserve"> в 2017 году, а также мусороперерабатывающего завода по автоматической и ручной сортировке полезных фракций, привлечением бизнеса к реализации проектов модернизации в сфере тепло-, водоснабжения, водоотведения, очистки сточных вод и обращения с твердыми коммунальными отходами.</w:t>
      </w:r>
    </w:p>
    <w:p w:rsidR="00843B99" w:rsidRPr="007F2209" w:rsidRDefault="00843B99" w:rsidP="004A3D34">
      <w:pPr>
        <w:ind w:firstLine="709"/>
        <w:jc w:val="both"/>
      </w:pPr>
      <w:r w:rsidRPr="007F2209">
        <w:t>В прогнозном периоде ожидается сохранение объема производства по виду деятельности «Обеспечение электрической энергией, газом и паром; кондиционирование воздуха» в базовом варианте прогноза с ежегодным ростом в пределах 0,3% в целевом варианте прогноза на фоне устойчивого снижения производственных показателей по виду деятельности «Водоснабжение; водоотведение, организация сбора и утилизации отходов, деятельность по ликвидации загрязнений» почти на 2% в год.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Экспортно-сырьевая направленность экономики региона, реализация проекта Мурманского транспортного узла определяет дальнейшее развитие города в качестве перевалочного транспортного пункта, что будет способствовать дальнейшему увеличению показателей деятельности сервисных отраслей по обслуживанию транспортного флота. Таким образом, в целевом варианте прогноза ожидается рост индекса промышленного производства в 2018-2019 годах на 2,3% и 1,37% соответственно с сохранением достигнутых </w:t>
      </w:r>
      <w:r w:rsidRPr="007F2209">
        <w:lastRenderedPageBreak/>
        <w:t xml:space="preserve">результатов в 2020 году. В базовом варианте прогноза ожидается сокращение промышленного производства в городе с учетом снижения промышленных показателей рыболовства, рыбоводства, отсутствия инвестиционных проектов и инновационных производств в сфере обрабатывающей промышленности. </w:t>
      </w:r>
    </w:p>
    <w:p w:rsidR="00843B99" w:rsidRPr="007F2209" w:rsidRDefault="00843B99" w:rsidP="004A3D3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Рынок товаров и услуг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Потребительский рынок Мурманска является основной и наиболее динамично развивающейся сферой экономики города. В сфере </w:t>
      </w:r>
      <w:r w:rsidRPr="007F2209">
        <w:t xml:space="preserve">торговли зарегистрирована треть организаций города, занята десятая часть работников крупных и средних предприятий, создается больше всего рабочих мест (40%) и сохраняется дефицит кадров в сфере продаж, регулярно осуществляются инвестиции в модернизацию </w:t>
      </w:r>
      <w:r w:rsidRPr="007F2209">
        <w:rPr>
          <w:szCs w:val="28"/>
        </w:rPr>
        <w:t>торговых объектов, неизменно сохраняется положительный сальдированный финансовый результат деятельности.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2016 году на потребительском рынке города наметилась тенденция роста потребительской активности на розничном рынке товаров (107,2% к 2015 году в сопоставимых ценах с учетом индекса цен на товары и услуги против снижения 78,3% в 2015 году), сохранился рост в сфере общественного питания (107% против 106,9%) на фоне снижения индекса потребительских цен на товары и услуги с 115,2% до 107,3%, главным образом, на продовольственные товары (с 119,6% до 104,9%), замедления снижения реальной заработной платы (с 92,4% до 99,1%) и заметного увеличения кредитной активности физических лиц по сравнению с 2015 годом. </w:t>
      </w:r>
      <w:proofErr w:type="gramStart"/>
      <w:r>
        <w:rPr>
          <w:szCs w:val="28"/>
        </w:rPr>
        <w:t xml:space="preserve">Объем </w:t>
      </w:r>
      <w:r w:rsidRPr="007F2209">
        <w:rPr>
          <w:szCs w:val="28"/>
        </w:rPr>
        <w:t>выдачи кредитов составил 119,5% к 2015 году в результате снижения с начала года средневзвешенной процентной ставки по рублевым кредитам физическим лицам на 2,3</w:t>
      </w:r>
      <w:r w:rsidR="00F05390">
        <w:rPr>
          <w:szCs w:val="28"/>
        </w:rPr>
        <w:t>%</w:t>
      </w:r>
      <w:r w:rsidRPr="007F2209">
        <w:rPr>
          <w:szCs w:val="28"/>
        </w:rPr>
        <w:t xml:space="preserve"> до 15,9% на конец 2016 года, в том числе в стоимостном выражении процентная ставка за пользование потребительским кредитом снизилась до 19493,98 рублей (78,8% к 2015 году), составив треть от уровня средней заработной платы против 46% в</w:t>
      </w:r>
      <w:proofErr w:type="gramEnd"/>
      <w:r w:rsidRPr="007F2209">
        <w:rPr>
          <w:szCs w:val="28"/>
        </w:rPr>
        <w:t xml:space="preserve"> 2015 году.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По данным Национального бюро кредитных историй за прошедший год вырос средний размер микрозайма («займа до зарплаты») во всех возрастных категориях заёмщиков, но больше всего в сегменте до 30 лет. Так, самая высокая динамика роста была отмечена в возрастной группе заёмщиков от 25 до 29 лет (на 11,5%), где средний размер микрозайма во II квартале 2017 г. составил 9,8 тыс. руб. (во II кв. 2016 г. – 8,8 тыс. руб.). Самый низкий рост микрозайма среди всех возрастных категорий заёмщиков в сегменте заёмщиков от 30 до 39 лет, где размер займа «до зарплаты» во II квартале составил 10,9 тыс. руб., увеличившись за год на 5,8% (за аналогичный период прошлого года – 10,3 тыс. руб.). Наименьший средний размер выданного микрозайма зафиксирован в возрастной группе моложе 25 лет – 7,8 тыс. руб. В то же время, наибольшие суммы «до зарплаты» берут заёмщики в возрастном диапазоне от 40 до 49 лет – 11,6 тыс. руб.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Оборот розничной торговли крупных и средних организаций составил 46 млрд. рублей (115,1% к 2015 году), оборот общественного питания – 1,7 млрд. рублей (110,9% к 2015 году). Росту показателей также способствовал </w:t>
      </w:r>
      <w:r w:rsidRPr="007F2209">
        <w:rPr>
          <w:szCs w:val="28"/>
        </w:rPr>
        <w:lastRenderedPageBreak/>
        <w:t>значительный рост турпотока в 2016 году до 126390 человек (129,3% к 2015 году), что</w:t>
      </w:r>
      <w:r w:rsidR="009004B8">
        <w:rPr>
          <w:szCs w:val="28"/>
        </w:rPr>
        <w:t xml:space="preserve"> по численности эквивалентно двум третям</w:t>
      </w:r>
      <w:r w:rsidRPr="007F2209">
        <w:rPr>
          <w:szCs w:val="28"/>
        </w:rPr>
        <w:t xml:space="preserve"> трудоспособного населения города.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Объем потребления платных услуг составил 91% к 2015 году в сопоставимых ценах с учетом индекса цен на товары и услуги, в т.ч. наиболее заметное снижение коснулось потребления бытовых услуг (72,4% до 343,8 млн. рублей), транспортных (65,5% до 1036,5 млн. рублей), услуг связи (90,4% до 6888 млн. рублей), системы образования (82,3% до 1036,5 млн. рублей). В 2,5 раза увеличилось потребление прочих платных услуг (256% до 209,4 млн. рублей), коммунальных услуг (118,2% до 8712,6 млн. рублей), услуг учреждений культуры (113,2% до 306 млн. рублей), физической культуры и спорта (103,1% до 58,278 млн. рублей).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На состояние розничного рынка города Мурманска продолжают оказывать существенное влияние активное развитие сетевых структур и становление сетевой экономики, расширение современных форматов торговли (интернет-продажи, магазины-дискаунтеры, сети гипермаркетов и сетевые магазины шаговой доступности), улучшение архитектурного и интерьерного облика объектов торговли, развитие собственных торговых марок и сотрудничество с местными производителями, расширение товарного ассортимента и повышение уровня сервиса в условиях высокой насыщенности торговыми объектами и обеспеченности торговыми площадями и обострения конкуренции между тесно соседствующими магазинами федеральных и региональных сетей.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Развитие рынка общественного питания города Мурманска также тесно связано с развитием торговых и торгово-развлекательных центров и комплексов и расширением сегмента «фаст-фуда», сетевой торговли, в том числе международных, федеральных и местных сетей («Макдоналдс», «Sushi-City», «Кружка», «Юность», «Чинар», «Штолле»), въездного туризма и гостиничного бизнеса. Особенностью рынка общественного питания города Мурманска является тенденция к открытию предприятий с разноплановыми национальными кухнями, расширение видов услуг и форм обслуживания (кейтеринг</w:t>
      </w:r>
      <w:r w:rsidRPr="007F2209">
        <w:rPr>
          <w:rStyle w:val="af0"/>
          <w:szCs w:val="28"/>
        </w:rPr>
        <w:footnoteReference w:id="7"/>
      </w:r>
      <w:r w:rsidRPr="007F2209">
        <w:rPr>
          <w:szCs w:val="28"/>
        </w:rPr>
        <w:t xml:space="preserve">, организация корпоративных и семейных праздников, услуги шеф-повара на дому, организация досуга детей, консультации по приготовлению блюд, интернет-услуги), развитию нестационарной торговли, освоению спальных районов за счет открытия пивных ресторанов и пабов рядом с домом. На фоне многообразия форматов и концепций, направленных на разные целевые группы потребителей, всё больше предприятий общественного питания имеют социальную направленность и становятся более доступными для людей пенсионного возраста и детей, оборудованы специальной мебелью, детскими комнатами, средствами, обеспечивающими доступ маломобильным посетителям, посетителям с детьми.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Из 186 стационарных объектов общепита в Мурманске 167 - рестораны, кафе, бары, 19 - закусочные быстрого питания на вынос и на автозаправочных </w:t>
      </w:r>
      <w:r w:rsidRPr="007F2209">
        <w:rPr>
          <w:szCs w:val="28"/>
        </w:rPr>
        <w:lastRenderedPageBreak/>
        <w:t>станциях. Потребность населения в предприятиях общественного питания различных типов, специализированных предприятиях общественного питания с рыбным меню, кофеен, чайных, столовых и закусочных, обеспечивающих территориальную доступность для населения каждого микрорайона, в Мурманске ещё достаточно велика.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сфере бытового обслуживания населения ведущую роль играет малый бизнес, в частности, индивидуальное предпринимательство. Наблюдается процесс развития сетевых форматов предприятий бытового обслуживания: парикмахерские, салоны красоты, SPA- и beauty-салоны, организации по ремонту и техническому обслуживанию автотранспорта, бытовой техники и электроники, банные комплексы. По состоянию на начало 2017 года на территории города Мурманска действовали 603 предприятия бытовых услуг.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целях развития потребительского рынка в рамках подпрограммы «Развитие и поддержка малого и среднего предпринимательства в городе Мурманске» на 2014-2019 годы муниципальной программы </w:t>
      </w:r>
      <w:r w:rsidR="002E50A6">
        <w:rPr>
          <w:szCs w:val="28"/>
        </w:rPr>
        <w:t xml:space="preserve">города Мурманска </w:t>
      </w:r>
      <w:r w:rsidRPr="007F2209">
        <w:rPr>
          <w:szCs w:val="28"/>
        </w:rPr>
        <w:t>«</w:t>
      </w:r>
      <w:r w:rsidR="00F05390">
        <w:rPr>
          <w:bCs/>
          <w:szCs w:val="28"/>
        </w:rPr>
        <w:t xml:space="preserve">Развитие </w:t>
      </w:r>
      <w:r w:rsidRPr="007F2209">
        <w:rPr>
          <w:bCs/>
          <w:szCs w:val="28"/>
        </w:rPr>
        <w:t>конкурентоспособной экономики» на 2014-2019 годы ежегодно проводятся общегородские конкурсы, направленные на повышение культуры и качества обслуживания населения («Гермес», «Новогодняя фантазия»), ярмарки по продаже товаров, в т</w:t>
      </w:r>
      <w:proofErr w:type="gramStart"/>
      <w:r w:rsidRPr="007F2209">
        <w:rPr>
          <w:bCs/>
          <w:szCs w:val="28"/>
        </w:rPr>
        <w:t>.ч</w:t>
      </w:r>
      <w:proofErr w:type="gramEnd"/>
      <w:r w:rsidR="009004B8" w:rsidRPr="007F2209">
        <w:rPr>
          <w:bCs/>
          <w:szCs w:val="28"/>
        </w:rPr>
        <w:t>сельскохозяйственных</w:t>
      </w:r>
      <w:r w:rsidRPr="007F2209">
        <w:rPr>
          <w:bCs/>
          <w:szCs w:val="28"/>
        </w:rPr>
        <w:t>, от приглашенных производителей как местных так и из других регионов страны,</w:t>
      </w:r>
      <w:r w:rsidRPr="007F2209">
        <w:rPr>
          <w:szCs w:val="28"/>
        </w:rPr>
        <w:t xml:space="preserve"> из которых 3 работают на постоянной основе</w:t>
      </w:r>
      <w:r w:rsidRPr="007F2209">
        <w:rPr>
          <w:bCs/>
          <w:szCs w:val="28"/>
        </w:rPr>
        <w:t>.</w:t>
      </w:r>
      <w:r w:rsidRPr="007F2209">
        <w:rPr>
          <w:szCs w:val="28"/>
        </w:rPr>
        <w:t xml:space="preserve"> В 2016 году проведена 71 выставка-ярмарка (126,8% к 2015 году) на площадках 8 хозяйствующих субъектов города Мурманска, за первое полугодие 2017 года на территории муниципального образования город Мурманск проведено 39 ярмарок. Также </w:t>
      </w:r>
      <w:r w:rsidRPr="007F2209">
        <w:rPr>
          <w:bCs/>
          <w:szCs w:val="28"/>
        </w:rPr>
        <w:t>осуществляется привлечение торговых организаций к социальному партнерству в рамках проекта «Городская карта поддержки». В 2016 году заключены соглашения</w:t>
      </w:r>
      <w:r w:rsidRPr="007F2209">
        <w:rPr>
          <w:rFonts w:eastAsia="Calibri"/>
          <w:bCs/>
          <w:szCs w:val="28"/>
          <w:lang w:eastAsia="en-US"/>
        </w:rPr>
        <w:t>, устанавливающие</w:t>
      </w:r>
      <w:r w:rsidRPr="007F2209">
        <w:rPr>
          <w:szCs w:val="28"/>
        </w:rPr>
        <w:t xml:space="preserve"> скидки по приобретению товаров и услуг владельцами микропроцессорной пластиковой карты «Городская карта поддержки»,</w:t>
      </w:r>
      <w:r w:rsidRPr="007F2209">
        <w:rPr>
          <w:bCs/>
          <w:szCs w:val="28"/>
        </w:rPr>
        <w:t xml:space="preserve"> с </w:t>
      </w:r>
      <w:r w:rsidRPr="007F2209">
        <w:rPr>
          <w:szCs w:val="28"/>
        </w:rPr>
        <w:t xml:space="preserve">35 субъектами потребительского рынка товаров и услуг против 24 организаций в 2015 году. В результате в 2017 году более 170 объектов потребительского рынка предоставляют льготное обслуживание 20 312 </w:t>
      </w:r>
      <w:r w:rsidR="009004B8">
        <w:rPr>
          <w:szCs w:val="28"/>
        </w:rPr>
        <w:t>гражданам</w:t>
      </w:r>
      <w:r w:rsidRPr="007F2209">
        <w:rPr>
          <w:szCs w:val="28"/>
        </w:rPr>
        <w:t xml:space="preserve"> или 6,8% населения города.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связи с сокращением численности населения для сохранения потребительского спроса реализуются мероприятия по развитию туризма и повышению привлекательности города для посетителей, в т.ч. из области. Врамках подпрограммы «Строительство и ремонт объектов внешнего благоустройства города Мурманска» на 2015-2019 годы муниципальной программы города Мурманска «Жилищно-коммунальное хозяйство» на 2014-2019 годы осуществляется благоустройство территории в целях создания благоприятных условий для массового отдыха жителей и гостей города Мурманска. До 2018 года планируется завершение благоустройства зоны отдыха оз</w:t>
      </w:r>
      <w:r w:rsidR="009004B8">
        <w:rPr>
          <w:szCs w:val="28"/>
        </w:rPr>
        <w:t>ера</w:t>
      </w:r>
      <w:r w:rsidRPr="007F2209">
        <w:rPr>
          <w:szCs w:val="28"/>
        </w:rPr>
        <w:t xml:space="preserve"> Семеновско</w:t>
      </w:r>
      <w:r w:rsidR="009004B8">
        <w:rPr>
          <w:szCs w:val="28"/>
        </w:rPr>
        <w:t>го</w:t>
      </w:r>
      <w:r w:rsidRPr="007F2209">
        <w:rPr>
          <w:szCs w:val="28"/>
        </w:rPr>
        <w:t xml:space="preserve"> с устройством набережной и </w:t>
      </w:r>
      <w:proofErr w:type="spellStart"/>
      <w:r w:rsidRPr="007F2209">
        <w:rPr>
          <w:szCs w:val="28"/>
        </w:rPr>
        <w:t>велосипедно-пешеходных</w:t>
      </w:r>
      <w:proofErr w:type="spellEnd"/>
      <w:r w:rsidRPr="007F2209">
        <w:rPr>
          <w:szCs w:val="28"/>
        </w:rPr>
        <w:t xml:space="preserve"> дорожек, реконструкции комплекса «Детский городок» на          пр. Героев-</w:t>
      </w:r>
      <w:r w:rsidR="00A22AE9">
        <w:rPr>
          <w:szCs w:val="28"/>
        </w:rPr>
        <w:t>с</w:t>
      </w:r>
      <w:r w:rsidRPr="007F2209">
        <w:rPr>
          <w:szCs w:val="28"/>
        </w:rPr>
        <w:t xml:space="preserve">евероморцев, устройства детской площадки в сквере «Аллея поколений» по ул. </w:t>
      </w:r>
      <w:r w:rsidR="00A22AE9">
        <w:rPr>
          <w:szCs w:val="28"/>
        </w:rPr>
        <w:t xml:space="preserve">Алексея </w:t>
      </w:r>
      <w:r w:rsidRPr="007F2209">
        <w:rPr>
          <w:szCs w:val="28"/>
        </w:rPr>
        <w:t>Хлобыстова.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lastRenderedPageBreak/>
        <w:t>К 2020 году ожидается открытие крупнейшего торгово-развлекательного центра «Plazma» группы компаний «Евророс» по ул. Рогозерской общей площадью 129 450 кв.м, в том числе нового многофункционального комплекса – 40 тыс. кв.м, раз</w:t>
      </w:r>
      <w:r>
        <w:rPr>
          <w:szCs w:val="28"/>
        </w:rPr>
        <w:t>влекательной зоны - 25 тыс. кв.</w:t>
      </w:r>
      <w:r w:rsidRPr="007F2209">
        <w:rPr>
          <w:szCs w:val="28"/>
        </w:rPr>
        <w:t xml:space="preserve">м. В состав объекта войдут торговая галерея, кинотеатр, гипермаркет, каток, детская игровая зона, аквапарк, океанариум и вместительная парковка на 1711 машиномест.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Планируются к реализации проекты по реконструкции Мурманского продовольственно-вещевого рынка Ленинского округа, автомобильного ры</w:t>
      </w:r>
      <w:r w:rsidR="00A22AE9">
        <w:rPr>
          <w:szCs w:val="28"/>
        </w:rPr>
        <w:t>нка на ул. Подгорной</w:t>
      </w:r>
      <w:r w:rsidRPr="007F2209">
        <w:rPr>
          <w:szCs w:val="28"/>
        </w:rPr>
        <w:t>, созданию пристройки к правой части здания Первомайского рынка по ул. Щербакова, 11, строительству регионального оптово-розничного рыбного рынка «Нептунея», плоскостного спортивного сооружения – стадиона со спортивным ядром, в которое входят основное игровое футбольное поле, окаймленное беговой и конькобежной дорожкой, и трибунами по ул. Адмирала флота Лобова, 51.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Дальнейшее развитие потребительского рынка на фоне снижения численности населения будет определяться уровнем обслуживания и разнообразием сервиса и сопровождаться сокращением количества и укрупнением магазинов, универсализацией продовольственной торговли, увеличением специализированных и узкоспециализированных непродовольственных магазинов, магазинов «шаговой доступности», развитием омниканальной модели торговли, при которой покупатель выбирает наиболее удобный для себя канал совершения покупки, включая использование смартфонов для поиска информации о товаре, осуществления оплаты через мобильные платёжные приложения, и, как следствие, ростом телекоммуникационных услуг, развитием логистики.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прогнозном периоде на фоне роста потребительской активности в юбилейном 2016 году, развития Интернет-торговли в соответствии со Стратегией развития электронной торговли в России до 2025 года ожидается замедления роста оборота розничной торговли до 101,5-100,9% в целевом варианте прогноза в 2018-2019 годах с ростом до 106,1% в 2020 году в случае открытия торгово-развлекательного комплекса на ул. Рогозерской. Рост задолженности населения по кредитам также будет сдерживать рост спроса в прогнозном периоде в базовом варианте прогноза и сохранение оборота розничной торговли в 2018-2019 годах с ростом в 2020 году на 5,3%.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Оборот общественного питания на протяжении последних 6 лет сохраняет устойчивую тенденцию замедления динамичного роста и имеет волнообразную динамику. С учетом дальнейшего развития туризма ожидается сохранение роста объема общественного питания в пределах 106% в базовом варианте прогноза с замедлением роста в 2018-2020 годах</w:t>
      </w:r>
      <w:r w:rsidR="00A22AE9">
        <w:rPr>
          <w:szCs w:val="28"/>
        </w:rPr>
        <w:t>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На развитие платных услуг в большей степени оказывает влияние объем коммунальных услуг, который снижается вслед за численностью населения в отличие от жилищных, рост которых обусловлен старением жилищного фонда, а также телекоммуникационных услуг. В результате развития туризма, реализации проектов по реконструкции культурных и спортивных объектов ожидается дальнейший рост потребления в сфере отдыха и развлечений, </w:t>
      </w:r>
      <w:r w:rsidRPr="007F2209">
        <w:rPr>
          <w:szCs w:val="28"/>
        </w:rPr>
        <w:lastRenderedPageBreak/>
        <w:t>включая услуги учреждений культуры и спорта, а также спроса на услуги гостиниц в сфере малого и среднего бизнеса. Снижение численности населения обусловит дальнейшее сокращение потребления услуг образования и здравоохранения. Увеличение количества легковых автомобилей в собственности граждан, число которых в 2016 году превысило 100 тыс. единиц по данным УМВД России по Мурманской области, составив 103662 единицы или 103,7% к 2015 году, обеспечивает снижение объема пассажирских перевозок и транспортных услуг, расширяя рынок технического обслуживания и ремонта транспортных средств, машин и оборудования для субъектов МСП.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прогнозном периоде ожидается дальнейшее снижение объема платных услуг в 2018 году, с сохранением достигнутого уровня показателя в 2019 году и ростом в 2020 году. </w:t>
      </w:r>
    </w:p>
    <w:p w:rsidR="00843B99" w:rsidRPr="007F2209" w:rsidRDefault="00843B99" w:rsidP="004A3D3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Малое и среднее предпринимательство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По отчетным данным </w:t>
      </w:r>
      <w:proofErr w:type="spellStart"/>
      <w:r w:rsidRPr="007F2209">
        <w:rPr>
          <w:rFonts w:ascii="Times New Roman" w:hAnsi="Times New Roman"/>
          <w:sz w:val="28"/>
          <w:szCs w:val="28"/>
        </w:rPr>
        <w:t>Мурманскстата</w:t>
      </w:r>
      <w:proofErr w:type="spellEnd"/>
      <w:r w:rsidRPr="007F2209">
        <w:rPr>
          <w:rFonts w:ascii="Times New Roman" w:hAnsi="Times New Roman"/>
          <w:sz w:val="28"/>
          <w:szCs w:val="28"/>
        </w:rPr>
        <w:t xml:space="preserve"> количество субъектов малого и среднего предпринимательства</w:t>
      </w:r>
      <w:r w:rsidR="005A0F0F" w:rsidRPr="007F2209">
        <w:rPr>
          <w:rFonts w:ascii="Times New Roman" w:hAnsi="Times New Roman"/>
          <w:sz w:val="28"/>
          <w:szCs w:val="28"/>
        </w:rPr>
        <w:t xml:space="preserve">в городе Мурманске </w:t>
      </w:r>
      <w:r w:rsidR="00163FD4">
        <w:rPr>
          <w:rFonts w:ascii="Times New Roman" w:hAnsi="Times New Roman"/>
          <w:sz w:val="28"/>
          <w:szCs w:val="28"/>
        </w:rPr>
        <w:t>(далее - МСП)</w:t>
      </w:r>
      <w:r w:rsidRPr="007F2209">
        <w:rPr>
          <w:rFonts w:ascii="Times New Roman" w:hAnsi="Times New Roman"/>
          <w:sz w:val="28"/>
          <w:szCs w:val="28"/>
        </w:rPr>
        <w:t xml:space="preserve"> в 2016 году снизилось до 17221 единицы (91,25% к 2015 году), в т.ч. </w:t>
      </w:r>
      <w:proofErr w:type="spellStart"/>
      <w:r w:rsidRPr="007F2209">
        <w:rPr>
          <w:rFonts w:ascii="Times New Roman" w:hAnsi="Times New Roman"/>
          <w:sz w:val="28"/>
          <w:szCs w:val="28"/>
        </w:rPr>
        <w:t>ми</w:t>
      </w:r>
      <w:r w:rsidR="00A22AE9">
        <w:rPr>
          <w:rFonts w:ascii="Times New Roman" w:hAnsi="Times New Roman"/>
          <w:sz w:val="28"/>
          <w:szCs w:val="28"/>
        </w:rPr>
        <w:t>кропредприятий</w:t>
      </w:r>
      <w:proofErr w:type="spellEnd"/>
      <w:r w:rsidR="00A22AE9">
        <w:rPr>
          <w:rFonts w:ascii="Times New Roman" w:hAnsi="Times New Roman"/>
          <w:sz w:val="28"/>
          <w:szCs w:val="28"/>
        </w:rPr>
        <w:t xml:space="preserve"> – до 8328 единиц</w:t>
      </w:r>
      <w:r w:rsidRPr="007F2209">
        <w:rPr>
          <w:rFonts w:ascii="Times New Roman" w:hAnsi="Times New Roman"/>
          <w:sz w:val="28"/>
          <w:szCs w:val="28"/>
        </w:rPr>
        <w:t xml:space="preserve"> (80,3%), средних предприятий – до 38 единиц (86,4%), число малых предприятий возросло до 751 единицы (122,7%), численность индивидуальных предпринимателей - до 8104 человек (103,4%). </w:t>
      </w:r>
    </w:p>
    <w:p w:rsidR="00843B99" w:rsidRDefault="00843B99" w:rsidP="004A3D34">
      <w:pPr>
        <w:ind w:firstLine="709"/>
        <w:jc w:val="both"/>
        <w:rPr>
          <w:szCs w:val="28"/>
        </w:rPr>
      </w:pPr>
      <w:r w:rsidRPr="00303736">
        <w:rPr>
          <w:szCs w:val="28"/>
        </w:rPr>
        <w:t>Рост числа малых предприятий (включая микро) в 2016 году отмечен в сфере транспорта и связи - до 834 единиц (110,9% к 2015 году), образования - до 61 единиц</w:t>
      </w:r>
      <w:r w:rsidR="00A22AE9">
        <w:rPr>
          <w:szCs w:val="28"/>
        </w:rPr>
        <w:t>ы</w:t>
      </w:r>
      <w:r w:rsidRPr="00303736">
        <w:rPr>
          <w:szCs w:val="28"/>
        </w:rPr>
        <w:t xml:space="preserve"> (115,1%). Сохранилось число малых предприятий в сфере производства и распределения электроэнергии, газа и воды (32 единиц</w:t>
      </w:r>
      <w:r w:rsidR="00A22AE9">
        <w:rPr>
          <w:szCs w:val="28"/>
        </w:rPr>
        <w:t>ы</w:t>
      </w:r>
      <w:r w:rsidRPr="00303736">
        <w:rPr>
          <w:szCs w:val="28"/>
        </w:rPr>
        <w:t>), здравоохранения и предоставления социальных услуг (129 единиц или 99,2% к 2015 году). Наибольшее сокращение числа малых предприятий произошло в сфере торговой деятельности - до 3433 единиц (75,8%), гостинично-ресторанного бизнеса - до 323 единиц (80,1%), обрабатывающих производств - до 681 единиц</w:t>
      </w:r>
      <w:r w:rsidR="00A22AE9">
        <w:rPr>
          <w:szCs w:val="28"/>
        </w:rPr>
        <w:t>ы</w:t>
      </w:r>
      <w:r w:rsidRPr="00303736">
        <w:rPr>
          <w:szCs w:val="28"/>
        </w:rPr>
        <w:t xml:space="preserve"> (80,3%), строительства - до 973 единиц (81,9%), операций с недвижимым имуществом, аренды и предоставления услуг – до 1989 единиц (85%).</w:t>
      </w:r>
    </w:p>
    <w:p w:rsidR="00843B99" w:rsidRPr="007F2209" w:rsidRDefault="00843B99" w:rsidP="004A3D34">
      <w:pPr>
        <w:ind w:firstLine="709"/>
        <w:jc w:val="both"/>
        <w:rPr>
          <w:sz w:val="24"/>
          <w:szCs w:val="24"/>
        </w:rPr>
      </w:pPr>
      <w:r w:rsidRPr="007F2209">
        <w:rPr>
          <w:szCs w:val="28"/>
        </w:rPr>
        <w:t>Число средних предприятий возросло в 1,5 раза в сфере операций с недвижимым имуществом, аренды и предоставления услуг до 3 единиц, сохранилось в строительстве (2 единицы), транспорте и связи (2 единицы), предоставлении прочих коммунальных, соц</w:t>
      </w:r>
      <w:r w:rsidR="00A22AE9">
        <w:rPr>
          <w:szCs w:val="28"/>
        </w:rPr>
        <w:t>иальных и персональных услуг (1 </w:t>
      </w:r>
      <w:r w:rsidRPr="007F2209">
        <w:rPr>
          <w:szCs w:val="28"/>
        </w:rPr>
        <w:t>единица), сократилось в 2 раза в сфере рыболовства, рыбоводства до 5 единиц, в 3,7 раза в обрабатывающей промышленности до 2 единиц, почти на треть в торговле до 12 единиц (70,6%).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>По данным Федеральной налоговой службы РФ на 01.01.2017 в Едином реестре субъектов малого и среднего предпринимательства</w:t>
      </w:r>
      <w:r w:rsidRPr="007F2209">
        <w:rPr>
          <w:vertAlign w:val="superscript"/>
        </w:rPr>
        <w:footnoteReference w:id="8"/>
      </w:r>
      <w:r w:rsidRPr="007F2209">
        <w:rPr>
          <w:rFonts w:ascii="Times New Roman" w:hAnsi="Times New Roman"/>
          <w:sz w:val="28"/>
          <w:szCs w:val="28"/>
        </w:rPr>
        <w:t xml:space="preserve"> в городе </w:t>
      </w:r>
      <w:r w:rsidRPr="007F2209">
        <w:rPr>
          <w:rFonts w:ascii="Times New Roman" w:hAnsi="Times New Roman"/>
          <w:sz w:val="28"/>
          <w:szCs w:val="28"/>
        </w:rPr>
        <w:lastRenderedPageBreak/>
        <w:t xml:space="preserve">Мурманске было зарегистрировано 15 175 субъектов малого и среднего предпринимательства, из них 8 229 микропредприятий, 730 малых предприятий, 24 средних предприятия, 6 192 индивидуальных предпринимателя.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2016 году отмечено сокращение прироста средств на счетах физлиц-предпринимателей (68,24%), доля малого и среднего бизнеса в объеме выдачи кредитов юридическим лицам и индивидуальным предпринимателям практически не изменилась к 2015 году, составив 28,5%. Средневзвешенная процентная ставка по рублевым кредитам субъектам малого и среднего бизнеса на конец 2016 года снизилась с начала года на 1</w:t>
      </w:r>
      <w:r w:rsidR="005A0F0F">
        <w:rPr>
          <w:szCs w:val="28"/>
        </w:rPr>
        <w:t>%</w:t>
      </w:r>
      <w:r w:rsidRPr="007F2209">
        <w:rPr>
          <w:szCs w:val="28"/>
        </w:rPr>
        <w:t xml:space="preserve"> до 13,2%.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>Главным ограничением развития малого и среднего предпринимательства в городе остается отток населения, большей частью молодежи, имеющей высокий предпринимательский потенциал, который обусловлен, в большой степени, прекращением работы высших учебных заведений в регионе и, в частности, в Мурманске. Несмотря на создание Арктического университета</w:t>
      </w:r>
      <w:r w:rsidR="005A0F0F">
        <w:rPr>
          <w:rFonts w:ascii="Times New Roman" w:hAnsi="Times New Roman"/>
          <w:sz w:val="28"/>
          <w:szCs w:val="28"/>
        </w:rPr>
        <w:t>,</w:t>
      </w:r>
      <w:r w:rsidRPr="007F2209">
        <w:rPr>
          <w:rFonts w:ascii="Times New Roman" w:hAnsi="Times New Roman"/>
          <w:sz w:val="28"/>
          <w:szCs w:val="28"/>
        </w:rPr>
        <w:t xml:space="preserve"> ограничен круг специальностей, которые можно получить в городе.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Расширение крупного ритейла ведёт к закрытию небольших торговых объектов, уменьшению доли небольших торговых точек (малого предпринимательства) и вытеснению малого бизнеса из традиционной для него сферы розничной торговли. В целях поддержки малого и среднего предпринимательства и обеспечения территориальной и ценовой доступности товаров широкого потребления на территории муниципального образования город Мурманск администрация города Мурманска выделяет места для размещения нестационарных торговых объектов. В 2016 году выдано 36 разрешений на право размещения нестационарных торговых объектов на территории города (66,7% к 2015 году), в городе работали 177 объектов мелкорозничной сети (павильоны, киоски – 107,3% к 2015 году), 14 нестационарных торговых объектов (автолавки, автоприцепы) на круглогодичный период (127,3% к 2015 году) и 22 </w:t>
      </w:r>
      <w:r w:rsidR="00A22AE9" w:rsidRPr="007F2209">
        <w:rPr>
          <w:szCs w:val="28"/>
        </w:rPr>
        <w:t>нестационарных торговых объект</w:t>
      </w:r>
      <w:r w:rsidR="00A22AE9">
        <w:rPr>
          <w:szCs w:val="28"/>
        </w:rPr>
        <w:t>а</w:t>
      </w:r>
      <w:r w:rsidRPr="007F2209">
        <w:rPr>
          <w:szCs w:val="28"/>
        </w:rPr>
        <w:t>(торговые палатки, сезонное кафе, ёлочные базары и бахчевой развал) на сезонный период (в 3,7 раза выше уровня 2015 года). С начала 2017 года выдано 22 разрешения на осуществление торговли с применением нестационарных торговых объектов, из них 16 – на круглогодичный период, 6 – на сезонный.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Также среди неблагоприятных факторов, сдерживающих рост предпринимательской активности, остается отсутствие начального капитала и недоступность банковских продуктов по приемлемым для начинающих предпринимателей условиям. 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Наименее развитой сферой малого и среднего бизнеса в городе по-прежнему является производственный сектор экономики, </w:t>
      </w:r>
      <w:r w:rsidRPr="007F2209">
        <w:rPr>
          <w:rFonts w:eastAsia="Calibri"/>
          <w:szCs w:val="28"/>
          <w:lang w:eastAsia="en-US"/>
        </w:rPr>
        <w:t>что обусловлено, прежде всего, более высоким уровнем затрат на электроэнергию и топливо, заработную плату, необходимость выплат компенсационного характера, связанных с условиями работы в районах Крайнего Севера. Недостаток с</w:t>
      </w:r>
      <w:r w:rsidRPr="007F2209">
        <w:rPr>
          <w:szCs w:val="28"/>
        </w:rPr>
        <w:t xml:space="preserve">обственных финансовых средств, недоступность банковских продуктов, низкий уровень оборотного капитала и высокий уровень затрат на производство </w:t>
      </w:r>
      <w:r w:rsidRPr="007F2209">
        <w:rPr>
          <w:szCs w:val="28"/>
        </w:rPr>
        <w:lastRenderedPageBreak/>
        <w:t>в условиях Крайнего Севера по сравнению с другими регионами не позволяют предпринимателям в существующих условиях создать качественную, надежную и устойчивую производственную инфраструктуру.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Наряду с тем, что субъекты </w:t>
      </w:r>
      <w:r w:rsidR="00163FD4">
        <w:rPr>
          <w:szCs w:val="28"/>
        </w:rPr>
        <w:t xml:space="preserve">МСП </w:t>
      </w:r>
      <w:r w:rsidRPr="007F2209">
        <w:rPr>
          <w:szCs w:val="28"/>
        </w:rPr>
        <w:t xml:space="preserve">имеют ряд льгот при участии в госзакупках, установленных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нужд», к вышеизложенным негативным факторам можно отнести низкую ценовую конкурентоспособность местных предпринимателей по сравнению с предпринимателями из других регионов страны по причине вышеуказанных высоких затрат, связанных с условиями Крайнего Севера. Это значительно снижает их шансы на заключение контрактов (в том числе муниципальных) в результате участия в конкурентных процедурах, проводимых в рамках Федерального закона от 05.04.2013 № 44-ФЗ «О контрактной системе в сфере закупок товаров, работ, услуг для обеспечения государственных и муниципальных нужд». Помимо того, работа с госкомпаниями всегда связана с отсрочками и постоплатой, что в условиях дефицита заемных средств не позволяет субъектам МСП работать с ними напрямую минуя посредников. Госкомпании в свою очередь требуют наличия дорогостоящих сертификатов </w:t>
      </w:r>
      <w:r w:rsidRPr="007F2209">
        <w:rPr>
          <w:szCs w:val="28"/>
          <w:lang w:val="en-US"/>
        </w:rPr>
        <w:t>ISO</w:t>
      </w:r>
      <w:r w:rsidRPr="007F2209">
        <w:rPr>
          <w:szCs w:val="28"/>
        </w:rPr>
        <w:t xml:space="preserve"> и предпочитают не работать с предприятиями, использующими упрощенную систему налогообложения.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Наиболее привлекательными нишами для предпринимателей в местных условиях являются торговля и сфера обслуживания. Но, на данный момент, емкость данных ниш заполнена. Формирование новых уникальных предложений со стороны бизнеса затрудняется низкой покупательской способностью населения. Анализ платных услуг и сферы бытового обслуживания населения, представленной крупными и средними предприятиями города, показывает, что наиболее востребованными в сфере малого предпринимательства являются услуги гостиниц и турагентств, парикмахерских, салонов красоты, прочие оздоровительные услуги, а также услуги по ремонту и техническому обслуживанию автотранспорта, бытовой техники и электроники. 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>С учетом политики государства, направленной на улучшение условий для создания и развития малого и среднего предпринимательства, в прогнозируемом периоде возможен рост числа предпринимателей. Основными факторами, которые могут положительно повлиять на рост и активизацию предпринимательства в муниципальном образовании город Мурманск, можно считать преференции вналогообложении: для впервые зарегистрированных индивидуальных предпринимателей, применяющих упрощенную, патентную системы налогообложения, введены двухлетние налоговые каникулы, скорректированы размеры потенциально возможного к получению индивидуальным предпринимателем годового дохода по патентной системе налогообложения, расширен перечень видов деятельности, в рамках осуществления которых возможно применение патентной системы налого</w:t>
      </w:r>
      <w:r w:rsidR="00A22AE9">
        <w:rPr>
          <w:szCs w:val="28"/>
        </w:rPr>
        <w:t>обложения, внесены изменения в р</w:t>
      </w:r>
      <w:r w:rsidRPr="007F2209">
        <w:rPr>
          <w:szCs w:val="28"/>
        </w:rPr>
        <w:t xml:space="preserve">ешение Совета депутатов города Мурманска от 07.11.2005 № 13-158 «О системе налогообложения в виде </w:t>
      </w:r>
      <w:r w:rsidRPr="007F2209">
        <w:rPr>
          <w:szCs w:val="28"/>
        </w:rPr>
        <w:lastRenderedPageBreak/>
        <w:t>единого налога на вмененный доход для отдельных видов деятельности на территории муниципального образования город Мурманск» в части расширения перечня видов деятельности и корректировки коэффициента базовой доходности К2 для отдельных видов предпринимательской деятельности.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>В целях развития сферы малого и среднего предпринимательства Правительством Российской Федерации принята Стратегия развития малого и среднего предпринимательства в Российской Федерации до 2030 года</w:t>
      </w:r>
      <w:r w:rsidR="005A0F0F">
        <w:rPr>
          <w:szCs w:val="28"/>
        </w:rPr>
        <w:t>, р</w:t>
      </w:r>
      <w:r w:rsidRPr="007F2209">
        <w:rPr>
          <w:szCs w:val="28"/>
        </w:rPr>
        <w:t xml:space="preserve">еализация </w:t>
      </w:r>
      <w:r w:rsidR="005A0F0F">
        <w:rPr>
          <w:szCs w:val="28"/>
        </w:rPr>
        <w:t xml:space="preserve">которой </w:t>
      </w:r>
      <w:r w:rsidRPr="007F2209">
        <w:rPr>
          <w:szCs w:val="28"/>
        </w:rPr>
        <w:t xml:space="preserve">положительно повлияет на активность действующих предпринимателей и будет способствовать созданию новых предприятий. 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</w:pPr>
      <w:r w:rsidRPr="007F2209">
        <w:rPr>
          <w:szCs w:val="28"/>
        </w:rPr>
        <w:t xml:space="preserve">Появление на рынке крупных, в том числе государственных, предприятий в целях решения приоритетных задач освоения Арктики, в свою очередь, даст новые возможности для создания и развития малых и средних предприятий (аутсорсинг, субконтрактинг и прочие формы взаимодействия). </w:t>
      </w:r>
      <w:r w:rsidRPr="007F2209">
        <w:t>Создание на базе Мурманского арктического государственного университета Арктического кадрового ресурсного центра и развитие научно-исследовательской деятельности позволит активизировать инновационную деятельность студентов и организовать внедрение передовых студенческих разработок через малый и средний бизнес.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В условиях импортозамещения активно развивается направление внутреннего и въездного туризма, оказывающее значительное влияние на многие сферы предпринимательской деятельности. 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>Мурманск, относящийся к уникальной Арктической зоне, имеет высокий туристский потенциал. В городе, наряду с регионом в целом, наблюдается устойчивое увеличение потока туристов и расширение географии прибывающих туристов. Так, в 2016 году по сравнению с 2015 годом, количество размещенных в коллективных средствах размещения в городе Мурманске согласно данным Мурманскстата увеличилось до 126 390 человек (129,3% к 2015 году).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Положительное влияние на повышение туристической привлекательности города продолжает оказывать создание развитой туристской инфраструктуры, развитие круизного туризма. Так, в летнем периоде 2017 года состоялось 3 захода круизных лайнеров к отремонтированному причалу </w:t>
      </w:r>
      <w:r w:rsidRPr="007F2209">
        <w:rPr>
          <w:rFonts w:ascii="Open Sans" w:hAnsi="Open Sans"/>
          <w:color w:val="000000"/>
        </w:rPr>
        <w:t xml:space="preserve">в пассажирском районе Мурманского порта. Общее количество иностранных круизных туристов на данных судах составило около 1,5 тыс. </w:t>
      </w:r>
      <w:r w:rsidRPr="007F2209">
        <w:rPr>
          <w:szCs w:val="28"/>
        </w:rPr>
        <w:t>человек. Кроме того, летом 2017 года из порта Мурманск на Северный полюс состоялось пять рейсов на атомном ледоколе «50 лет Победы».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>Планируется, что в 2018 году количество круизных лайнеров, заходящих в Мурманск, возрастет. Это связано, в том числе, и с развитием портовой инфраструктуры, и введением облегченного визового режима для иностранцев.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>Развитие туристской отрасли также приведет к улучшению ситуации в сфере малого предпринимательства в городе Мурманске в целом.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Стабилизации и улучшению ситуации в секторе малого и среднего предпринимательства также способствует существующая поддержка со стороны органов власти. </w:t>
      </w:r>
      <w:proofErr w:type="gramStart"/>
      <w:r w:rsidRPr="007F2209">
        <w:rPr>
          <w:szCs w:val="28"/>
        </w:rPr>
        <w:t xml:space="preserve">В рамках реализуемой на территории города </w:t>
      </w:r>
      <w:r w:rsidRPr="007F2209">
        <w:rPr>
          <w:szCs w:val="28"/>
        </w:rPr>
        <w:lastRenderedPageBreak/>
        <w:t xml:space="preserve">Мурманска подпрограммы «Развитие и поддержка малого и среднего предпринимательства в городе Мурманске» муниципальной программы </w:t>
      </w:r>
      <w:r w:rsidR="002E50A6">
        <w:rPr>
          <w:szCs w:val="28"/>
        </w:rPr>
        <w:t xml:space="preserve">города Мурманска </w:t>
      </w:r>
      <w:r w:rsidRPr="007F2209">
        <w:rPr>
          <w:szCs w:val="28"/>
        </w:rPr>
        <w:t>«Развитие конкурентоспособной экономики» на 2014</w:t>
      </w:r>
      <w:r w:rsidR="00C47974">
        <w:rPr>
          <w:szCs w:val="28"/>
        </w:rPr>
        <w:t>-</w:t>
      </w:r>
      <w:r w:rsidRPr="007F2209">
        <w:rPr>
          <w:szCs w:val="28"/>
        </w:rPr>
        <w:t>2019 годы в 2016 году оказана информационная, консультационная, имущественная и финансовая поддержка 1110 субъектам малого и среднего предпринимательства (в 1,8 раза выше уровня 2015 года).</w:t>
      </w:r>
      <w:proofErr w:type="gramEnd"/>
      <w:r w:rsidRPr="007F2209">
        <w:rPr>
          <w:szCs w:val="28"/>
        </w:rPr>
        <w:t xml:space="preserve"> Около 800 человек (80% к 2015 году) посетили 37 обучающих мероприятий (46% к 2015 году), 5,5 тыс. посетителей (81,4% к 2015 году) воспользовались Порталом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перечне муниципального имущества города Мурманска, предназначенном для оказания имущественной поддержки субъектам МСП и организациям, образующим инфраструктуру, предусмотрено 150 помещений (63,6% к 2015 году), заключено 111 новых договоров и соглашений о продлении на новый срок договоров аренды с субъектами МСП.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>Наиболее востребованной и эффективной является финансовая поддержка субъектов МСП города Мурманска в виде субсидий и грантов, предоставляемых в рамках программных мероприятий. Основным видом финансовой поддержки для действующих предпринимателей является предоставление субсидий субъектам малого и среднего предпринимательства по различным направлениям деятельности на конкурсной основе. Для начинающих предпринимателей предусмотрена финансовая поддержка в виде грантов на открытие бизнеса в части финансового обеспечения затрат. В 2016 году 12 субъектам малого и среднего предпринимательства города Мурманска (70,6% к 2015 году) предоставлена финансовая поддержка на общую сумму около 2 млн. рублей за счет местного бюджета, 1,02 млн. руб. за счет областного бюджета и 406,8 тыс. руб. за счет федерального бюджета.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Наряду с этим кредитные организации активизируют и расширяют свою деятельность в части информационной поддержки субъектов МСП, проводя семинары, тренинги, реализуя образовательные программы в целях снижения финансовых рисков и повышения доступности кредитных банковских продуктов. </w:t>
      </w:r>
      <w:r w:rsidRPr="007F2209">
        <w:rPr>
          <w:rFonts w:ascii="Times New Roman" w:hAnsi="Times New Roman"/>
          <w:sz w:val="28"/>
          <w:szCs w:val="28"/>
          <w:lang w:val="en-US"/>
        </w:rPr>
        <w:t>Google</w:t>
      </w:r>
      <w:r w:rsidRPr="007F2209">
        <w:rPr>
          <w:rFonts w:ascii="Times New Roman" w:hAnsi="Times New Roman"/>
          <w:sz w:val="28"/>
          <w:szCs w:val="28"/>
        </w:rPr>
        <w:t xml:space="preserve"> и ПАО Сбербанк при информационной поддержке со стороны органов власти реализуют проект «Бизнес-класс» - это бесплатная программа развития бизнеса для начинающих предпринимателей и собственников бизнеса, направленная, в том числе, на увеличение количества предпринимателей, повышение их финансовой грамотности, увеличение срока жизни бизнеса.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209">
        <w:rPr>
          <w:szCs w:val="28"/>
        </w:rPr>
        <w:t>Таким образом, сохранение и развитие поддержки бизнеса со стороны органов власти, а также организаций инфраструктуры поддержки, банковской сферы также будет способствовать укреплению позиций малого и среднего предпринимательства в экономике города. В результате реализации программных мероприятий до 2019 года планируется оказать поддержку 2240 субъектам МСП, увеличить число субъектов МСП в городе Мурманске до 18187 или до 632,7 ед. в расчете на 10 тыс. человек населения.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lastRenderedPageBreak/>
        <w:t xml:space="preserve">Так, в прогнозируемом периоде, за счет вышеизложенных мероприятий и с учетом динамики показателей Мурманскстата, данных Федеральной налоговой службы РФ за первое полугодие 2017 года в прогнозном периоде предполагается стабилизация ситуации за счет увеличения по сравнению с отчетным периодом 2016 года и оценочным 2017 года количества малых (включая микро-) предприятий на 3% в </w:t>
      </w:r>
      <w:r>
        <w:rPr>
          <w:rFonts w:ascii="Times New Roman" w:hAnsi="Times New Roman"/>
          <w:sz w:val="28"/>
          <w:szCs w:val="28"/>
        </w:rPr>
        <w:t>базовом</w:t>
      </w:r>
      <w:r w:rsidRPr="007F2209">
        <w:rPr>
          <w:rFonts w:ascii="Times New Roman" w:hAnsi="Times New Roman"/>
          <w:sz w:val="28"/>
          <w:szCs w:val="28"/>
        </w:rPr>
        <w:t xml:space="preserve"> варианте прогноза и на 5% - в </w:t>
      </w:r>
      <w:r>
        <w:rPr>
          <w:rFonts w:ascii="Times New Roman" w:hAnsi="Times New Roman"/>
          <w:sz w:val="28"/>
          <w:szCs w:val="28"/>
        </w:rPr>
        <w:t>целевом</w:t>
      </w:r>
      <w:r w:rsidRPr="007F2209">
        <w:rPr>
          <w:rFonts w:ascii="Times New Roman" w:hAnsi="Times New Roman"/>
          <w:sz w:val="28"/>
          <w:szCs w:val="28"/>
        </w:rPr>
        <w:t xml:space="preserve"> варианте соответственно.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С учетом сложившейся на рынке труда тенденции, при которой работники организаций в целях снижения затрат работодателя регистрируются  в качестве индивидуальных предпринимателей, ожидается умеренный рост количества индивидуальных предпринимателей в среднем при реалистичном прогнозе - на 3%, </w:t>
      </w:r>
      <w:r>
        <w:rPr>
          <w:rFonts w:ascii="Times New Roman" w:hAnsi="Times New Roman"/>
          <w:sz w:val="28"/>
          <w:szCs w:val="28"/>
        </w:rPr>
        <w:t>в целевом варианте прогноза</w:t>
      </w:r>
      <w:r w:rsidRPr="007F2209">
        <w:rPr>
          <w:rFonts w:ascii="Times New Roman" w:hAnsi="Times New Roman"/>
          <w:sz w:val="28"/>
          <w:szCs w:val="28"/>
        </w:rPr>
        <w:t xml:space="preserve"> – на 5%. 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Для средних предприятий предположительна тенденция сохранения их количества с возможным увеличением в 2020 году до 34 единиц </w:t>
      </w:r>
      <w:r>
        <w:rPr>
          <w:rFonts w:ascii="Times New Roman" w:hAnsi="Times New Roman"/>
          <w:sz w:val="28"/>
          <w:szCs w:val="28"/>
        </w:rPr>
        <w:t>в базовомварианте прогноза</w:t>
      </w:r>
      <w:r w:rsidRPr="007F2209">
        <w:rPr>
          <w:rFonts w:ascii="Times New Roman" w:hAnsi="Times New Roman"/>
          <w:sz w:val="28"/>
          <w:szCs w:val="28"/>
        </w:rPr>
        <w:t xml:space="preserve"> и до 35 единиц </w:t>
      </w:r>
      <w:r>
        <w:rPr>
          <w:rFonts w:ascii="Times New Roman" w:hAnsi="Times New Roman"/>
          <w:sz w:val="28"/>
          <w:szCs w:val="28"/>
        </w:rPr>
        <w:t>–в целевом варианте</w:t>
      </w:r>
      <w:r w:rsidRPr="007F2209">
        <w:rPr>
          <w:rFonts w:ascii="Times New Roman" w:hAnsi="Times New Roman"/>
          <w:sz w:val="28"/>
          <w:szCs w:val="28"/>
        </w:rPr>
        <w:t>.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Одновременно с ростом числа вновь создаваемых субъектов малого и среднего предпринимательства ожидается увеличение среднесписочной численности работников всех форм собственности. 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Таким образом, прогнозируемый рост всех показателей возможен вследствие устойчивой направленности политики государства на развитие сектора малого и среднего бизнеса: принятие нормативно-правовых актов федеральных, региональных и муниципальных уровней, совершенствование политики налогообложения, обеспечение доступности кредитных продуктов, увеличение их количества, развитие лизинга и долгосрочного финансирования, расширение доступа субъектов МСП к закупкам товаров, работ, услуг для государственных и муниципальных нужд. 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Прироста планируется добиться также за счет системной информационно-консультационной, финансовой и имущественной поддержки субъектов малого и среднего бизнеса со стороны инфраструктуры поддержки, банковского сектора и органов власти на различных уровнях.  </w:t>
      </w:r>
    </w:p>
    <w:p w:rsidR="00843B99" w:rsidRPr="007F2209" w:rsidRDefault="00843B99" w:rsidP="004A3D3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Реализации запланированных мероприятий в полной мере будут способствовать такие факторы, как стабилизация внутренней и внешней экономической ситуации, упрочение позиций России на мировом уровне, развитие внешних экономических связей. </w:t>
      </w:r>
    </w:p>
    <w:p w:rsidR="00843B99" w:rsidRPr="007F2209" w:rsidRDefault="00843B99" w:rsidP="004A3D3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Инвестиции и строительство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Объем инвестиций в 2016 году с завершением проектов, приуроченных к 100-летию города Мурманска, начал снижаться и составил в сопоставимых ценах к предыдущему году с учетом индекса-дефлятора инвестиций в основной капитал по Мурманской области </w:t>
      </w:r>
      <w:r>
        <w:rPr>
          <w:szCs w:val="28"/>
        </w:rPr>
        <w:t>71,3% или 42,4 млрд. рублей (78,8</w:t>
      </w:r>
      <w:r w:rsidRPr="00344D46">
        <w:rPr>
          <w:szCs w:val="28"/>
        </w:rPr>
        <w:t>% в действующих ценах</w:t>
      </w:r>
      <w:r w:rsidRPr="007F2209">
        <w:rPr>
          <w:szCs w:val="28"/>
        </w:rPr>
        <w:t xml:space="preserve"> к 2015 году). Число организаций осуществивших инвестиции в 2016 году сократилось до 715 единиц (97,9% к 2015 году), в т.ч. в сфере рыболовс</w:t>
      </w:r>
      <w:r w:rsidR="00A173F2">
        <w:rPr>
          <w:szCs w:val="28"/>
        </w:rPr>
        <w:t>тва, рыбоводства - до 23 единиц</w:t>
      </w:r>
      <w:r w:rsidRPr="007F2209">
        <w:rPr>
          <w:szCs w:val="28"/>
        </w:rPr>
        <w:t xml:space="preserve"> (95,8%), обрабатывающих производств - до 26 единиц (81,3%), производства и распределения </w:t>
      </w:r>
      <w:r w:rsidRPr="007F2209">
        <w:rPr>
          <w:szCs w:val="28"/>
        </w:rPr>
        <w:lastRenderedPageBreak/>
        <w:t xml:space="preserve">электроэнергии, газа, пара и горячей воды - до 11 единиц (78,6%), торговли - до 77 единиц (96,3%), операций с недвижимым имуществом, аренды и предоставления услуг до 67 единиц (93,1%), возросло в транспорте и связи - до 68 единиц (101,5%), предоставления прочих коммунальных и социальных услуг до 76 единиц (108,6%).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Объем инвестиций в сопоставимых ценах сократился в 4 раза в сфере операций с недвижимым имуществом, аренды и предоставления услуг до 1,2 млрд. рублей (24,1%) из-за сокращения собственных средств (в 1,7 раза) и привлеченных средств других организаций (в 130 раз), более чем в 2 раза в сфере госуправления до 11,1 млрд. рублей (45,66%) в связи со снижением финансирования из федерального бюджета, в торговле – до 973 млн. рублей (46,89%) в отсутствие привлеченных средств и сокращения собственных средств, в сфере предоставления прочих коммунальных и социальных услуг до 5 млрд. рублей (49,2%) из-за сокращения финансирования из-за рубежа в 2 раза.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Помимо того снижение инвестиций в сопоставимых ценах наряду с финансовой сферой (53,6%) и сферой рыболовства, рыбоводства (90,1%), также отмечено в строительстве до 93,7 млн. рублей (55,9%) из-за снижения финансирования из федерального бюджета в 9 раз, обрабатывающей промышленности до 157,8 млн. рублей (64,6%) из-за прекращения финансирования из-за рубежа, сфере здравоохранения и предоставления социальных услуг до 482,4 млн. рублей (76,1%) из-за снижения в 1,4 раза бюджетного финансирования из регионального (в 2 раза) и муниципального бюджета (в 4 раза) с учетом </w:t>
      </w:r>
      <w:r w:rsidR="00A173F2">
        <w:t>прекращения действия З</w:t>
      </w:r>
      <w:r w:rsidRPr="007F2209">
        <w:t>акона Мурманской области от 01.12.2011 № 1430-01-ЗМО «О наделении органов местного самоуправления муниципального образования город Мурманск отдельными государственными полномочиями»</w:t>
      </w:r>
      <w:r w:rsidRPr="007F2209">
        <w:rPr>
          <w:szCs w:val="28"/>
        </w:rPr>
        <w:t>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Рост объема инвестиций в сопоставимых ценах к предыдущему году с учетом индекса-дефлятора инвестиций в основной капитал по Мурманской области отмечен в сфере производства и распределения электроэнергии, газа и воды до 1,2 млрд. рублей (191,7%) за счет увеличения собственных средств предприятий в 2,3 раза, транспорта и связи до 19,5 млрд. рублей (147,7%) за счет увеличения собственных средств в 1,6 раза до 7 млрд. рублей, бюджетного финансирования в 1,5 раза до 10,7 млрд. рублей, в т.ч. из средств федерального бюджета в 1,5 раза, регионального - в 6,9 раз, прочих источников в 4 раза до 896,6 млн. рублей, а также привлечения кредитов в сумме 575,7 млн. рублей.</w:t>
      </w:r>
    </w:p>
    <w:p w:rsidR="00843B99" w:rsidRPr="007F2209" w:rsidRDefault="00843B99" w:rsidP="004A3D34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В рамках реализации Стратегического плана </w:t>
      </w:r>
      <w:r w:rsidR="008E7A08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r w:rsidRPr="007F2209">
        <w:rPr>
          <w:rFonts w:ascii="Times New Roman" w:hAnsi="Times New Roman"/>
          <w:sz w:val="28"/>
          <w:szCs w:val="28"/>
        </w:rPr>
        <w:t>города Мурманска до 2020 года в 2016 году была завершена реализация стратегического проекта «Арктическая гавань» (Морской фасад), продолжены проекты: «Комплексное развитие Мурманского транспортного узла», «Техническое перевооружение и реконструкция электросетевых объектов ОАО «МОЭСК» на 2012-2019 годы», «Развитие материально-технической базы объектов электроснабжения филиала ОАО «МРСК Северо-Запада» «Колэнерго», «Строительство многофункционального комплекса по проспекту Кольский в городе Мурманске», «Реконструкция городского спорткомплекса «Авангард».</w:t>
      </w:r>
    </w:p>
    <w:p w:rsidR="00843B99" w:rsidRPr="007F2209" w:rsidRDefault="00843B99" w:rsidP="004A3D34">
      <w:pPr>
        <w:ind w:firstLine="709"/>
        <w:jc w:val="both"/>
      </w:pPr>
      <w:r w:rsidRPr="007F2209">
        <w:lastRenderedPageBreak/>
        <w:t xml:space="preserve">Крупнейшие инвестиционные проекты в городе реализуют ведущие транспортные предприятия города в целях развития портовой инфраструктуры: строительство головного универсального атомного ледокола и 2 серийных универсальных атомных ледоколов, портового ледокола «Обь» и бортовых буксиров в рамках проекта «Портофлот»ФГУП «Атомфлот», реконструкция объектов портовой инфраструктуры и модернизация технологического оборудования ПАО «Мурманский морской торговый порт», включая установку пыле-ветрозащитных экранов в целях минимизации поступления пыли каменного угля в атмосферу города, модернизация причалов Мурманского транспортного филиала ПАО «ГМК «Норильский никель», развитие терминалов 3-го грузового района Мурманского порта ООО «Мурманский балкерный терминал», комплекс мероприятий по техническому переоснащению и модернизации объектов инфраструктуры Мурманского морского рыбного порта, включая приобретение портового крана, электропогрузчиков, модернизацию холодильного устройства, обновление подвижного состава </w:t>
      </w:r>
      <w:r>
        <w:t>транспортного</w:t>
      </w:r>
      <w:r w:rsidRPr="007F2209">
        <w:t xml:space="preserve"> парка АО «Электротранспорт», строительство буксира для нужд ЗАО «МАСКО». </w:t>
      </w:r>
    </w:p>
    <w:p w:rsidR="00843B99" w:rsidRPr="007F2209" w:rsidRDefault="00843B99" w:rsidP="004A3D34">
      <w:pPr>
        <w:ind w:firstLine="709"/>
        <w:jc w:val="both"/>
      </w:pPr>
      <w:r w:rsidRPr="007F2209">
        <w:t>В настоящее время в городе достаточно много социальных и других объектов, требующих капитальных вложений в реконструкцию (Драматический театр Северного флота, кинотеатры «Родина» и «Атлантика», школы искусств, ДК «Маяк» и «Первомайский», спорткомплекс «Снежинка»</w:t>
      </w:r>
      <w:r w:rsidR="00AF0AF5">
        <w:t xml:space="preserve"> (КП-2)</w:t>
      </w:r>
      <w:r w:rsidRPr="007F2209">
        <w:t xml:space="preserve">, Ледовый дворец спорта и др.), которые могут способствовать в перспективе развитию государственно-частного и муниципально-частного партнерства в Мурманске. </w:t>
      </w:r>
    </w:p>
    <w:p w:rsidR="00843B99" w:rsidRPr="007F2209" w:rsidRDefault="00843B99" w:rsidP="004A3D34">
      <w:pPr>
        <w:ind w:firstLine="709"/>
        <w:jc w:val="both"/>
      </w:pPr>
      <w:r w:rsidRPr="007F2209">
        <w:t>Требуются инвестиции для реконструкции автомобильного рынка на ул. Подгорн</w:t>
      </w:r>
      <w:r w:rsidR="00A173F2">
        <w:t>ой</w:t>
      </w:r>
      <w:r w:rsidRPr="007F2209">
        <w:t xml:space="preserve">, создания пристройки к правой части здания Первомайского рынка по ул. </w:t>
      </w:r>
      <w:r w:rsidR="006C4BD1">
        <w:t xml:space="preserve">Генерала </w:t>
      </w:r>
      <w:r w:rsidRPr="007F2209">
        <w:t xml:space="preserve">Щербакова, 11, а также реализации проектов, запланированных в рамках муниципальных программ по реконструкции объектов муниципальных спортивных школ г. Мурманска, зданий муниципальных дошкольных образовательных учреждений, в т.ч. объекта незавершенного строительства под детский сад по адресу ул. </w:t>
      </w:r>
      <w:r w:rsidR="00A173F2">
        <w:t xml:space="preserve">Капитана </w:t>
      </w:r>
      <w:r w:rsidRPr="007F2209">
        <w:t xml:space="preserve">Орликовой в районе дома 44, модернизации муниципальных образовательных учреждений и школьных спортивных площадок, строительству плоскостного спортивного сооружения – стадиона со спортивным ядром, в которое входят основное игровое футбольное поле, окаймленное беговой и конькобежной дорожкой, и трибунами, по ул. </w:t>
      </w:r>
      <w:r w:rsidR="00A173F2" w:rsidRPr="00A173F2">
        <w:t>Адмирала флота Лобова</w:t>
      </w:r>
      <w:r w:rsidRPr="007F2209">
        <w:t>, 51 и блочно-модульной котельной по ул</w:t>
      </w:r>
      <w:r w:rsidR="00A173F2">
        <w:t>. Фестивальной</w:t>
      </w:r>
      <w:r w:rsidRPr="007F2209">
        <w:t xml:space="preserve"> в городе Мурманске.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Для повышения инвестиционной привлекательности города Мурманска и привлечения инвесторов администрацией города Мурманска в рамках подпрограммы «Повышение инвестиционной привлекательности города Мурманска» муниципальной программы </w:t>
      </w:r>
      <w:r w:rsidR="00A173F2">
        <w:t xml:space="preserve">города Мурманска </w:t>
      </w:r>
      <w:r w:rsidRPr="007F2209">
        <w:t>«Развитие конкуре</w:t>
      </w:r>
      <w:r w:rsidR="005A0F0F">
        <w:t>нтоспособной экономики» на 2014-</w:t>
      </w:r>
      <w:r w:rsidRPr="007F2209">
        <w:t xml:space="preserve">2019годы реализуются мероприятия по выполнению положений Стандарта деятельности органов местного самоуправления муниципальных районов и городских округов Мурманской области по обеспечению благоприятного инвестиционного климата на территории муниципального образования, продвижению бренда города </w:t>
      </w:r>
      <w:r w:rsidRPr="007F2209">
        <w:lastRenderedPageBreak/>
        <w:t>Мурманска, представлению инвестиционных возможностей на деловых мероприятиях в России и за рубежом, развитию международных связей, преимущественно с Белоруссией, Норвегией, Финляндией, Турцией, Китаем, США, в том числе в рамках побратимских отношений.</w:t>
      </w:r>
    </w:p>
    <w:p w:rsidR="00843B99" w:rsidRPr="007F2209" w:rsidRDefault="00843B99" w:rsidP="004A3D34">
      <w:pPr>
        <w:ind w:firstLine="709"/>
        <w:jc w:val="both"/>
      </w:pPr>
      <w:proofErr w:type="gramStart"/>
      <w:r w:rsidRPr="007F2209">
        <w:t>Помимо того, планируется муниципальная поддержка стратегических и приоритетных инвестиционных проектов с размером инвестиций от 1 млрд. рублей и от 100 млн. рублей соответственно в виде льгот по налогу на землю и арендной плате за землю и пользование муниципальным имуществом, развитие муниципально-частного партнерства в рамках реализации на условиях концессионного соглашения проекта по реконструкции спорткомплекса «Снежинка» (КП-2).В прогнозном периоде можно ожидать роста частных инвестиций, финансирования из средств регионального бюджета и банковских кредитных ресурсов в результате привлечения частных инвесторов в проекты модернизации коммунальной инфраструктуры в связи со снижением банковских ставок по кредитам до 5% при софинансировании со стороны региона в соответствии с постановлением П</w:t>
      </w:r>
      <w:r w:rsidR="009D3DBC">
        <w:t xml:space="preserve">равительства РФ от 25.08.2017             № </w:t>
      </w:r>
      <w:r w:rsidRPr="007F2209">
        <w:t>997 «</w:t>
      </w:r>
      <w:r w:rsidR="00AF0AF5" w:rsidRPr="00AF0AF5">
        <w:t>О реализации мер финансовой поддержки за счет средств государственной</w:t>
      </w:r>
      <w:proofErr w:type="gramEnd"/>
      <w:r w:rsidR="00AF0AF5" w:rsidRPr="00AF0AF5">
        <w:t xml:space="preserve"> корпорации - Фонда содействия реформированию жилищно-коммунального хозяйства и внесении изменений в некоторые акты Правительства Российской Федерации</w:t>
      </w:r>
      <w:r w:rsidRPr="007F2209">
        <w:t>».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В прогнозном периоде, после значительного динамичного роста инвестиций из федерального бюджета в 2014-2015 годах и завершения реализации масштабных проектов к столетию города Мурманска ожидается снижение объема бюджетных инвестиций, в т.ч. из средств муниципального бюджета в связи с завершением реализации мероприятий к столетию, программы переселения жителей аварийного фонда. </w:t>
      </w:r>
    </w:p>
    <w:p w:rsidR="00843B99" w:rsidRPr="007F2209" w:rsidRDefault="00843B99" w:rsidP="004A3D34">
      <w:pPr>
        <w:ind w:firstLine="709"/>
        <w:jc w:val="both"/>
      </w:pPr>
      <w:r w:rsidRPr="007F2209">
        <w:t>На этом фоне, с учетом создания Кольской опорной зоны, завершения реализации проекта по созданию железнодорожной инфраструктуры для Мурманского транспортного узла, включая строительство к порту железнодорожной ветки от станции Выходной до станции Лавна Октябрьской железной дороги длиной 46 км и железнодорожного мостового перехода через Кольский залив прогнозируется дальнейший рост частных инвестиций за счет собственных средств предприятий, а также привлечённых средств, в т.ч. кредитных ресурсов с учетом снижения ставки рефинансирования.</w:t>
      </w:r>
    </w:p>
    <w:p w:rsidR="00843B99" w:rsidRPr="007F2209" w:rsidRDefault="00843B99" w:rsidP="004A3D34">
      <w:pPr>
        <w:ind w:firstLine="709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7F2209">
        <w:t>В целом с 2018 года динамика роста инвестиций в прогнозном периоде определяется реализацией проекта по строительству опорной базы берегового обеспечения шельфовых проектов в Арктической зоне Российской Федерации с созданием промышленного кластера нефтесервисных производств и центра сервисного обслуживания кораблей и судов, осуществляющих плавание в акватории Северного морского пути, в жил</w:t>
      </w:r>
      <w:r w:rsidR="00A173F2">
        <w:t xml:space="preserve">ом </w:t>
      </w:r>
      <w:r w:rsidRPr="007F2209">
        <w:t>районе Росляково города Мурманска на базе АО «82 судоремонтный завод» общей стоимостью более 124,4 млрд. рублей</w:t>
      </w:r>
      <w:r w:rsidRPr="007F2209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В 2016 году сохранилась тенденция снижения объема работ строительного подряда, который составил 56,7% в сопоставимых ценах к предыдущему году или менее 2,5 млрд. рублей. Из 60 введённых объектов 13 – </w:t>
      </w:r>
      <w:r w:rsidRPr="007F2209">
        <w:lastRenderedPageBreak/>
        <w:t>коммерческие общей площадью 9519 тыс. кв.м, 13 – жилые дома площадью 18930 тыс. кв.м, в т.ч. индивидуальные жилые дома площадью 516 тыс. кв.м, 3 – административные здания площадью 1303 тыс. кв.м. За счет нового строительства введено 7 капитальных гаражей</w:t>
      </w:r>
      <w:r>
        <w:t>, 134 машиноместа, 0,1 тыс. кв.</w:t>
      </w:r>
      <w:r w:rsidRPr="007F2209">
        <w:t xml:space="preserve">м </w:t>
      </w:r>
      <w:r>
        <w:t>торговых площадей, 1,6 тыс. кв.</w:t>
      </w:r>
      <w:r w:rsidRPr="007F2209">
        <w:t xml:space="preserve">м складских площадей. За счет реконструкции введено 60 мест в детских садах. Построены частный детский сад по ул.Калинина, корпуса Нахимовского училища, жилые дома по ул. Достоевского, </w:t>
      </w:r>
      <w:r w:rsidR="00307AAE">
        <w:t xml:space="preserve">ул. </w:t>
      </w:r>
      <w:r w:rsidR="000A7F04">
        <w:t xml:space="preserve">Алексея </w:t>
      </w:r>
      <w:r w:rsidRPr="007F2209">
        <w:t xml:space="preserve">Генералова, </w:t>
      </w:r>
      <w:r w:rsidR="00307AAE">
        <w:t xml:space="preserve">ул. </w:t>
      </w:r>
      <w:r w:rsidRPr="007F2209">
        <w:t>Фрунзе, завершена реконструкция здания Мурманской областной филармонии, морского и железнодорожного вокзалов, спорткомплекса Долина уюта и другие. Перспективы развития строительного комплекса в городе Мурманске связаны с реконструкцией социальных объектов учреждений образования, культуры и спорта, объектов внешнего благоустройства города Мурманска</w:t>
      </w:r>
      <w:r w:rsidRPr="007F2209">
        <w:rPr>
          <w:rStyle w:val="af0"/>
          <w:iCs/>
          <w:sz w:val="22"/>
          <w:szCs w:val="22"/>
        </w:rPr>
        <w:footnoteReference w:id="9"/>
      </w:r>
      <w:r w:rsidRPr="007F2209">
        <w:t>, реализацией проектов по развитию транспортной инфраструктуры, в частности, портовой и дорожной.</w:t>
      </w:r>
    </w:p>
    <w:p w:rsidR="00843B99" w:rsidRPr="007F2209" w:rsidRDefault="00843B99" w:rsidP="004A3D34">
      <w:pPr>
        <w:autoSpaceDE w:val="0"/>
        <w:autoSpaceDN w:val="0"/>
        <w:adjustRightInd w:val="0"/>
        <w:ind w:firstLine="709"/>
        <w:jc w:val="both"/>
      </w:pPr>
      <w:r w:rsidRPr="007F2209">
        <w:t>Рост автомобилизации (в 2016 году в среднем на 10 человек населения приходится 3,5 легковых автомобиля индивидуальных владельцев) требует расширения деятельности по реконструкции автомобильных дорог, износ жилого и нежилого фонда требующего ремонта</w:t>
      </w:r>
      <w:r w:rsidR="00307AAE">
        <w:t>,</w:t>
      </w:r>
      <w:r w:rsidRPr="007F2209">
        <w:t xml:space="preserve"> также будет способствовать сохранению работ строительного подряда в городе Мурманске. </w:t>
      </w:r>
      <w:r w:rsidRPr="007F2209">
        <w:rPr>
          <w:szCs w:val="28"/>
        </w:rPr>
        <w:t xml:space="preserve">Кроме того, в рамках программы «Формирование современной городской среды на территории муниципального образования город Мурманск» на 2017 год, направленной на </w:t>
      </w:r>
      <w:r w:rsidRPr="007F2209">
        <w:rPr>
          <w:rFonts w:eastAsia="Calibri"/>
          <w:szCs w:val="28"/>
          <w:lang w:eastAsia="en-US"/>
        </w:rPr>
        <w:t>повышение качества жизни населения,</w:t>
      </w:r>
      <w:r w:rsidRPr="007F2209">
        <w:rPr>
          <w:szCs w:val="28"/>
        </w:rPr>
        <w:t xml:space="preserve"> реализуются мероприятия по повышению уровня благоустройства выбранных с привлечением жителей </w:t>
      </w:r>
      <w:r w:rsidRPr="007F2209">
        <w:rPr>
          <w:rFonts w:eastAsia="Calibri"/>
          <w:szCs w:val="28"/>
          <w:lang w:eastAsia="en-US"/>
        </w:rPr>
        <w:t>дворовых территорий и территорий общего пользования</w:t>
      </w:r>
      <w:r w:rsidRPr="007F2209">
        <w:rPr>
          <w:szCs w:val="28"/>
        </w:rPr>
        <w:t xml:space="preserve"> города Мурманска</w:t>
      </w:r>
      <w:r w:rsidRPr="007F2209">
        <w:rPr>
          <w:rFonts w:eastAsia="Calibri"/>
          <w:szCs w:val="28"/>
          <w:lang w:eastAsia="en-US"/>
        </w:rPr>
        <w:t xml:space="preserve">. В 2017 году </w:t>
      </w:r>
      <w:r w:rsidRPr="007F2209">
        <w:rPr>
          <w:szCs w:val="28"/>
        </w:rPr>
        <w:t>программой предусмотрен капитальный ремонт 6 дворовых территорий на площади 10 069 кв.м и 1 подпорной стенки, благоустройство территории общего пользования на площади 11,7 тыс. кв.м, включая благоустройст</w:t>
      </w:r>
      <w:r w:rsidR="00307AAE">
        <w:rPr>
          <w:szCs w:val="28"/>
        </w:rPr>
        <w:t>во зоны отдыха озера Семёновского</w:t>
      </w:r>
      <w:r w:rsidRPr="007F2209">
        <w:rPr>
          <w:szCs w:val="28"/>
        </w:rPr>
        <w:t xml:space="preserve"> с устройством велосипедно-пешеходных дорожек и капитальный ремонт дворовой территории многоквартирных домов №№ 20, 21, 22 по ул. Д</w:t>
      </w:r>
      <w:r w:rsidR="00A173F2">
        <w:rPr>
          <w:szCs w:val="28"/>
        </w:rPr>
        <w:t>остоевского, №№ 1, 3, 10 по ул. </w:t>
      </w:r>
      <w:r w:rsidRPr="007F2209">
        <w:rPr>
          <w:szCs w:val="28"/>
        </w:rPr>
        <w:t xml:space="preserve">Виктора Миронова, №№ 25/2, 25 по ул. Юрия Гагарина и №№ 12, 14, 20 по ул. Анатолия Бредова. В дальнейшем работа будет продолжена в рамках одноименной программы на 2018-2022 годы. </w:t>
      </w:r>
      <w:r w:rsidRPr="007F2209">
        <w:t>Таким образом, в прогнозном периоде ожидается сохранение роста объема строительного подряда в базовом варианте прогноза в 2018 году в пределах 1% в 2019-2020 годах в пределах 1,5%, в целевом варианте прогноза более 5% в год.</w:t>
      </w:r>
    </w:p>
    <w:p w:rsidR="00843B99" w:rsidRPr="007F2209" w:rsidRDefault="00843B99" w:rsidP="004A3D3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lastRenderedPageBreak/>
        <w:t>Сальдированный финансовый результат (прибыль, убыток) деятельности крупных и средних предприятий</w:t>
      </w:r>
    </w:p>
    <w:p w:rsidR="00843B99" w:rsidRPr="007F2209" w:rsidRDefault="00843B99" w:rsidP="004A3D34">
      <w:pPr>
        <w:ind w:firstLine="709"/>
        <w:jc w:val="both"/>
      </w:pPr>
      <w:r w:rsidRPr="007F2209">
        <w:t>В январе-ноябре 2016 года сальдированный финансовый результат (прибыль, убыток) деятельности крупных и с</w:t>
      </w:r>
      <w:r w:rsidR="00307AAE">
        <w:t xml:space="preserve">редних предприятий возрос               в 1,4 </w:t>
      </w:r>
      <w:r w:rsidRPr="007F2209">
        <w:t>раза, превысив 33,7 млрд. рублей благодаря достигнутым высоким показателям предприятиями рыболовства, рыбоводства (рост в 1,3 раза до 20,7 млрд. рублей) и транспорта и связи (в 1,6 раза до 10,4 млрд. рублей), оптовой и розничной торговли (в 1,2 раз до 559,5 млн. рублей), гостинично-ресторанного бизнеса (в 2,5 раза до 201,9 млн. рублей). Наряду с этим положительный финансовый результат достигнут в строительстве (9,6 млн. рублей), сохранился в обрабатывающей промышленности (201,9 млн. рублей) благодаря превышению прибыли над убытком в 3 раза, предоставлении прочих коммунальных, социальных и персональных услуг (21,6 млн. рублей), увеличился в сфере здравоохранения (7,2 млн. рублей) в отсутствие убыточных предприятий и образования (5 млн. рублей). Отрицательный финансовый результат сохранился в сфере операций с недвижимым имуществом, аренды и предоставления услуг (0,5 млрд. рублей).</w:t>
      </w:r>
    </w:p>
    <w:p w:rsidR="00843B99" w:rsidRPr="007F2209" w:rsidRDefault="00843B99" w:rsidP="004A3D34">
      <w:pPr>
        <w:ind w:firstLine="709"/>
        <w:jc w:val="both"/>
      </w:pPr>
      <w:r w:rsidRPr="007F2209">
        <w:t>По итогам 2016 года отмечен рост сальдированного финансового результата в 1,5 раза к предыдущему году до 33 млрд. рублей. в т.ч. предприятий рыболовства, рыбоводства в 1,3 раза до 20 млрд. рублей, транспорта и связи в 1,7 раза до 8 млрд. рублей, торговли в 1,9 раза до 306,5 млн. рублей, предоставления прочих коммунальных, социальных и персональных услуг в 12,8 раз до 9,1 млрд. рублей за счет достигнутых положительных финансовых результатов деятельности предприятий туризма (9,3 млрд. рублей) и организации похорон и предоставление связанных с ними услуг (3,5 млрд. рублей).</w:t>
      </w:r>
    </w:p>
    <w:p w:rsidR="00843B99" w:rsidRPr="007F2209" w:rsidRDefault="00843B99" w:rsidP="004A3D34">
      <w:pPr>
        <w:ind w:firstLine="709"/>
        <w:jc w:val="both"/>
      </w:pPr>
      <w:r w:rsidRPr="007F2209">
        <w:t>Благодаря росту прибыли предприятий в сфере производства транспортных средств и оборудования в 1,4 раза положительный финансовый результат достигнут в традиционно убыточных сферах строительства (6,4 млн. рублей), обрабатывающей промышленности (4,7 млн. рублей), в т.ч. в производстве готовых металлических изделий (27,9 млн. руб.), прочих материалов и веществ, не включенных в другие группировки (553 тыс. рублей), при этом в текстильной и швейной промышленности – значение показателя возросло в 33,8 раз до 6,9 млн. рублей. Также положительный финансовый результат достигнут в сфере финансовой деятельности (1,4 млрд. рублей) и образования (67 тыс. рублей).</w:t>
      </w:r>
    </w:p>
    <w:p w:rsidR="00843B99" w:rsidRPr="007F2209" w:rsidRDefault="00843B99" w:rsidP="004A3D34">
      <w:pPr>
        <w:ind w:firstLine="709"/>
        <w:jc w:val="both"/>
      </w:pPr>
      <w:r w:rsidRPr="007F2209">
        <w:t>Убыточная деятельность сохранилась на предприятиях пищевой промышленности, где отрицательный сальдированный финансовый результат составил 79,2 млн. рублей, в т.ч. в мясной - 43,9 млн. рублей, рыбообрабатывающей - 5,4 млн. рублей, хлебопекарной - 9,5 млн. рублей, производстве готовых кормов для животных - 140,2 млн. рублей, целлюлозно-бумажном производстве и издательско-полиграфической деятельности (2,7 млн. рублей), обработке древесины и производстве изделий из дерева (1,8 млн. рублей), предоставлении прочих видов услуг (4,8 млрд. рублей).</w:t>
      </w:r>
    </w:p>
    <w:p w:rsidR="00843B99" w:rsidRPr="007F2209" w:rsidRDefault="00843B99" w:rsidP="004A3D34">
      <w:pPr>
        <w:ind w:firstLine="709"/>
        <w:jc w:val="both"/>
      </w:pPr>
      <w:r w:rsidRPr="007F2209">
        <w:lastRenderedPageBreak/>
        <w:t>Ухудшение результатов финансовой деятельности и значительное снижение сальдированного финансового результата по итогам года сложились в производстве прочих неметаллических минеральных продуктов в 6,6 раз до 1,4 млрд. рублей, электрооборудования, электронного и оптического оборудования в 2,5 раза до 4,9 млрд. рублей, гостинично-ресторанном бизнесе в 4,5 раза, здравоохранении и предоставлении социальных услуг в 2,6 раза до 2,4 млн. рублей.</w:t>
      </w:r>
    </w:p>
    <w:p w:rsidR="00843B99" w:rsidRPr="007F2209" w:rsidRDefault="00843B99" w:rsidP="004A3D34">
      <w:pPr>
        <w:ind w:firstLine="709"/>
        <w:jc w:val="both"/>
      </w:pPr>
      <w:r w:rsidRPr="007F2209">
        <w:t>За период января-ноября 2016 года отмечено снижение дебиторской задолженности организаций (90,17% к январю-ноябрю 2015 года), при этом размер просроченной дебиторской задолженности, составляющей четверть объема дебиторской задолженности, вырос на 1,01%. Кредиторская задолженность за январь-ноябрь 2016 года сократилась на 9,6%, в том числе  просроченная – на 26,2%, доля которой также сократилась до 8,5% с 10,4% в аналогичном периоде предыдущего года. На фоне снижения просроченной задолженности во внебюджетные фонды (66,16%) значительно возросла просроченная задолженность в бюджеты всех уровней (124,1%). Несмотря на опережающие темпы снижения дебиторской задолженности, ее размер превышает объем кредиторской задолженности на 14,7%, что свидетельствует о стабильности в сфере осуществления платежно-расчетных отношений, устойчивости финансового состояния предприятий и эффективности их функционирования с учетом достигнутых финансовых результатов деятельности.</w:t>
      </w:r>
    </w:p>
    <w:p w:rsidR="00843B99" w:rsidRPr="007F2209" w:rsidRDefault="00843B99" w:rsidP="004A3D34">
      <w:pPr>
        <w:ind w:firstLine="709"/>
        <w:jc w:val="both"/>
      </w:pPr>
      <w:proofErr w:type="gramStart"/>
      <w:r w:rsidRPr="007F2209">
        <w:t>Анализ динамики и структуры сальдированного финансового результата (прибыль, убыток) деятельности крупных и средних предприятий свидетельствует об устойчивой динамике высокой убыточности деятельности организаций в сфере профессиональной, научной и технической деятельности с 2012 года, сохранении незначительного положительного финансового результата в сфере здравоохранения и образования, с 2016 года - строительства, а также динамичном росте финансовых результатов организаций рыболовства, рыбоводства, транспорта и связи, производства и</w:t>
      </w:r>
      <w:proofErr w:type="gramEnd"/>
      <w:r w:rsidRPr="007F2209">
        <w:t xml:space="preserve"> распределения электроэнергии, газа и воды до 2017 года, </w:t>
      </w:r>
      <w:proofErr w:type="gramStart"/>
      <w:r w:rsidRPr="007F2209">
        <w:t>определяющих</w:t>
      </w:r>
      <w:proofErr w:type="gramEnd"/>
      <w:r w:rsidRPr="007F2209">
        <w:t xml:space="preserve"> значение показателя в целом по городу. Наиболее высокие показатели финансовой деятельности до 2017 года сохранялись у предприятий рыболовства, рыбоводства, прибыль которых, при меньших убытках, превышала прибыль транспортных компаний. С 2014 года по итогам 11 месяцев наблюдается устойчивый рост положительного финансового результата в сфере производства и распределения электроэнергии, газа и воды (2014 год - 763,9 млн. рублей, 2015 год - 1689,2 млн. рублей, 2016 год - 2325,2 млн. рублей), однако по итогам года отмечается устойчивый рост отрицательного финансового результата. </w:t>
      </w:r>
    </w:p>
    <w:p w:rsidR="00843B99" w:rsidRPr="007F2209" w:rsidRDefault="00843B99" w:rsidP="004A3D34">
      <w:pPr>
        <w:ind w:firstLine="709"/>
        <w:jc w:val="both"/>
      </w:pPr>
      <w:r w:rsidRPr="007F2209">
        <w:t xml:space="preserve">Таким образом, несмотря на ожидаемый рост прибыли транспортных компаний, с учетом снижения показателей деятельности предприятий рыболовства, рыбоводства, прогнозируемого снижения финансового результата </w:t>
      </w:r>
      <w:proofErr w:type="spellStart"/>
      <w:r w:rsidRPr="007F2209">
        <w:t>ресурсоснабжающими</w:t>
      </w:r>
      <w:proofErr w:type="spellEnd"/>
      <w:r w:rsidRPr="007F2209">
        <w:t xml:space="preserve"> организациями в прогнозном периоде ожидается снижение сальдированного финансового результата деятельности крупных и </w:t>
      </w:r>
      <w:r w:rsidRPr="007F2209">
        <w:lastRenderedPageBreak/>
        <w:t>средних предприятий в обоих вариантах прогноза со стабилизацией показателя в 2020 году.</w:t>
      </w:r>
    </w:p>
    <w:p w:rsidR="00843B99" w:rsidRPr="007F2209" w:rsidRDefault="00843B99" w:rsidP="004A3D34">
      <w:pPr>
        <w:pStyle w:val="1"/>
        <w:widowControl w:val="0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Труд и занятость</w:t>
      </w:r>
    </w:p>
    <w:p w:rsidR="00843B99" w:rsidRPr="007F2209" w:rsidRDefault="00843B99" w:rsidP="004A3D34">
      <w:pPr>
        <w:ind w:firstLine="709"/>
        <w:jc w:val="both"/>
        <w:rPr>
          <w:szCs w:val="24"/>
        </w:rPr>
      </w:pPr>
      <w:r w:rsidRPr="007F2209">
        <w:rPr>
          <w:szCs w:val="24"/>
        </w:rPr>
        <w:t xml:space="preserve">Сложившаяся в городе Мурманске ситуация на рынке труда характеризуется постепенным посткризисным восстановлением. </w:t>
      </w:r>
    </w:p>
    <w:p w:rsidR="00843B99" w:rsidRPr="007F2209" w:rsidRDefault="00843B99" w:rsidP="004A3D34">
      <w:pPr>
        <w:ind w:firstLine="709"/>
        <w:jc w:val="both"/>
        <w:rPr>
          <w:szCs w:val="24"/>
        </w:rPr>
      </w:pPr>
      <w:r w:rsidRPr="007F2209">
        <w:rPr>
          <w:szCs w:val="24"/>
        </w:rPr>
        <w:t>В 2016 году наблюдается рост числа работников, принятых на дополнительно введенные рабочие места – значение показателя составило 1160 человек, что на 29% больше, чем в 2015 году. Наибольшее число дополнительно веденных рабочих мест приходится на сферы обрабатывающего производства, строительства и государственного управления.</w:t>
      </w:r>
    </w:p>
    <w:p w:rsidR="00843B99" w:rsidRPr="007F2209" w:rsidRDefault="00843B99" w:rsidP="004A3D34">
      <w:pPr>
        <w:ind w:firstLine="709"/>
        <w:jc w:val="both"/>
        <w:rPr>
          <w:szCs w:val="24"/>
        </w:rPr>
      </w:pPr>
      <w:r w:rsidRPr="007F2209">
        <w:rPr>
          <w:szCs w:val="24"/>
        </w:rPr>
        <w:t xml:space="preserve">Также отмечается рост потребности работодателей в трудовых ресурсах. Вместе с тем, в связи с высокими требованиями к квалификации работников и наличию у них специальных навыков работы с современными материалами и оборудованием, данная потребность не может быть в полной мере удовлетворена существующим на рынке труда предложением.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Численность работников организаций (без субъектов малого предпринимательства) в 2016 году составила 95,70 тыс. человек, сократившись к уровню 2015 года на 1,2%.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На динамику данного показателя в 2016 году оказала влияние, прежде всего, естественная и миграционная убыль населения города. В прогнозном периоде ожидается дальнейшее сокращение численности работников организаций; в базовом варианте прогноза в 2020 году данный показатель предположительно составит 82,19 тыс. человек.</w:t>
      </w:r>
    </w:p>
    <w:p w:rsidR="00843B99" w:rsidRPr="007F2209" w:rsidRDefault="00843B99" w:rsidP="004A3D34">
      <w:pPr>
        <w:ind w:firstLine="709"/>
        <w:jc w:val="both"/>
        <w:rPr>
          <w:szCs w:val="24"/>
        </w:rPr>
      </w:pPr>
      <w:r w:rsidRPr="007F2209">
        <w:rPr>
          <w:szCs w:val="24"/>
        </w:rPr>
        <w:t>Отрицательное влияние на рынок труда неблагоприятной  демографической ситуации (сокращение численности населения, миграционный отток населения в трудоспособном возрасте) несколько компенсируется ростом экономической активности</w:t>
      </w:r>
      <w:r>
        <w:rPr>
          <w:szCs w:val="24"/>
        </w:rPr>
        <w:t xml:space="preserve"> различных категорий населения, </w:t>
      </w:r>
      <w:r w:rsidRPr="007F2209">
        <w:rPr>
          <w:szCs w:val="24"/>
        </w:rPr>
        <w:t>в частности, лиц пенсионного возраста.</w:t>
      </w:r>
      <w:r w:rsidRPr="00344A78">
        <w:rPr>
          <w:szCs w:val="24"/>
        </w:rPr>
        <w:t>На начало 2017 года на учете в отделении Пенсионного фонда РФ по Мурманской области состояло 104,9 тыс. человек, т.е. 35,2% населения города.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2016 году среднегодовая численность безработных, зарегистрированных в службах занятости населения, составила 1,94 тыс. человек, незначительно увеличившись на 108 человек или на 5,9% к 2015 году. Тем не менее, уровень безработицы (к трудоспособному населению) снизился на 0,1 п.п. к 2015 году и составил 1,00%.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прогнозном периоде ожидается снижение уровня безработицы за счет увеличения потребности в рабочей силе, обусловленного реализацией крупных инвестиционных проектов (проекты ПАО НК «Роснефть», филиала «35 СРЗ» ОАО «ЦС Звездочка», проект Комплексного развития Мурманского транспортного узла и т.д.). Таким образом, в базовом варианте прогноза среднегодовая численность безработных в 2020 году предположительно составит 1,25 тыс. человек, при этом уровень безработицы (к трудоспособному населению) составит 0,76%.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lastRenderedPageBreak/>
        <w:t>Более значительное снижение уровня безработицы представляется маловероятным в связи с влиянием на состояние рынка труда следующих факторов: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приток трудовых мигрантов;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увеличение числа работающих пенсионеров;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переход на гражданскую службу военнослужащих, уволенных в связи с реформированием вооруженных сил;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</w:t>
      </w:r>
      <w:r>
        <w:rPr>
          <w:szCs w:val="28"/>
        </w:rPr>
        <w:t> </w:t>
      </w:r>
      <w:r w:rsidRPr="007F2209">
        <w:rPr>
          <w:szCs w:val="28"/>
        </w:rPr>
        <w:t>постепенное снижение общей трудоемкости производственных процессов.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Размер среднемесячной заработной платы работников организаций города в 2016 году в номинальном выражении увеличился на 7,1% и составил 57048 тыс. рублей. При этом среднемесячный размер заработной платы в реальном выражении сохранился на неизменном уровне.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отдельных отраслях, тем не менее, отмечен рост среднемесячной начисленной заработной платы в реальном выражении: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добыча полезных ископаемых (рост составил 25,1% к 2015 году);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строительство (рост - 11,74% к 2015 году);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рыболовство, рыбоводство (рост - 8,3% к 2015 году);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гостиницы и рестораны (рост - 6,9% к 2015 году).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прогнозном периоде ожидается рост среднемесячной заработной платы в номинальном выражении, а также незначительный рост реального уровня заработной платы. Ожидается, что в 2020 году номинальная и реальная среднемесячная заработная плата будут составлять 69819 и 66430 рублей соответственно.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целом, повышение эффективности функционирования рынка труда в городе будет возможно при решении следующих ключевых проблем: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структурная диспропорция спроса и предложения рабочей силы;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высокий темп оттока населения в трудоспособном возрасте;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несоответствие предъявляемых работодателями требований к вакансиям и фактического уровня квалификации претендентов на работу.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 xml:space="preserve">В настоящее время наибольшим спросом пользуются высококвалифицированные рабочие и инженерно–технические специалисты. Ожидается, что в прогнозном периоде требования к качеству рабочей силы будут повышаться, в т.ч. в отношении владения навыками работы с инновационными материалами, современным оборудованием и т.д. В этой связи повышение эффективности работы инфраструктуры рынка труда должно осуществляться в следующих направлениях: 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внедрение механизмов социального партнерства, направленных на активизацию участия работодателей в улучшении социально-бытовых и жилищных условий работников, а также заинтересованности работников в повышении производительности труда;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совершенствование системы профессиональной переподготовки, а также внедрение современных образовательных технологий на базе создаваемой системы образовательных учреждений начального, среднего и дополнительного профессионального образования;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lastRenderedPageBreak/>
        <w:t>- совершенствование деятельности кадровых служб и системы управления кадрами в организациях города;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- снижение уровня нелегальной занятости.</w:t>
      </w:r>
    </w:p>
    <w:p w:rsidR="00843B99" w:rsidRPr="007F2209" w:rsidRDefault="00843B99" w:rsidP="004A3D34">
      <w:pPr>
        <w:ind w:firstLine="709"/>
        <w:jc w:val="both"/>
        <w:rPr>
          <w:szCs w:val="28"/>
        </w:rPr>
      </w:pPr>
      <w:r w:rsidRPr="007F2209">
        <w:rPr>
          <w:szCs w:val="28"/>
        </w:rPr>
        <w:t>В рамках муниципальных программ города Мурманска в прогнозном периоде продолжится работа по организации общественных работ, а также по временному трудоустройству несовершеннолетних на время летних каникул.</w:t>
      </w:r>
    </w:p>
    <w:p w:rsidR="00843B99" w:rsidRPr="007F2209" w:rsidRDefault="00843B99" w:rsidP="004A3D3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Развитие социальной сферы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Одним из приоритетных направлений развития социальной сферы является повышение доступности качественного образования для всех категорий граждан, сохранение и укрепление здоровья обучающихся и воспитанников.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proofErr w:type="gramStart"/>
      <w:r w:rsidRPr="007F2209">
        <w:rPr>
          <w:szCs w:val="28"/>
        </w:rPr>
        <w:t>На конец</w:t>
      </w:r>
      <w:proofErr w:type="gramEnd"/>
      <w:r w:rsidRPr="007F2209">
        <w:rPr>
          <w:szCs w:val="28"/>
        </w:rPr>
        <w:t xml:space="preserve"> 2016 года система образования города Мурманска представлена 147 муниципальными образовательными учреждениями, в том числе: 50 общеобразовательными; 73 дошкольными образовательными учреждениями (далее – ДОУ); 19 учреждениями дополнительного образования; Центром психолого-педагогической, медицинской и социальной помощи; а также прочими 4 учреждениями образования, обеспечивающими предоставление услуг (выполнение работ) в сфере образования. В 2017 году на начало учебного года количество муниципальных образовательных учреждений составляет 143 единицы, снижение показателя по сравнению с 2016 годом обусловлено сокращением числа детских садов в связи с их реорганизацией в форме присоединения.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В городе Мурманске также функционирует немуниципальный сектор в сфере образования: негосударственное ДОУ ОАО «Российские железные дороги», </w:t>
      </w:r>
      <w:r>
        <w:rPr>
          <w:szCs w:val="28"/>
        </w:rPr>
        <w:t>частное</w:t>
      </w:r>
      <w:r w:rsidRPr="007F2209">
        <w:rPr>
          <w:szCs w:val="28"/>
        </w:rPr>
        <w:t xml:space="preserve"> образовательное учреждение </w:t>
      </w:r>
      <w:r>
        <w:rPr>
          <w:szCs w:val="28"/>
        </w:rPr>
        <w:t>«Ш</w:t>
      </w:r>
      <w:r w:rsidRPr="007F2209">
        <w:rPr>
          <w:szCs w:val="28"/>
        </w:rPr>
        <w:t>кола Пионер».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proofErr w:type="gramStart"/>
      <w:r w:rsidRPr="007F2209">
        <w:rPr>
          <w:szCs w:val="28"/>
        </w:rPr>
        <w:t>На конец</w:t>
      </w:r>
      <w:proofErr w:type="gramEnd"/>
      <w:r w:rsidRPr="007F2209">
        <w:rPr>
          <w:szCs w:val="28"/>
        </w:rPr>
        <w:t xml:space="preserve"> 2016 года ДОУ города Мурманска посещали 17 574 ребенка (101,4% к уровню 2015 года). К концу 2017 года численность воспитанников оценочно увеличится до 17 604 человек. Рост значения показателя обусловлен увеличением численности детей дошкольного возраста, посещающих дошкольные учреждения, а также вводом в эксплуатацию мест в образовательных учреждениях, реализующих программу дошкольного образования.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настоящее время отсутствует очередь на получение места в дошкольных учреждениях для детей в возрасте старше 3-х лет.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целях обеспечения дошкольников качественным образованием в 2016 году введено 160 дополнительных мест в образовательных учреждениях, реализующих программу дошкольного образования, в том числе: 100 мест в функционирующих дошкольных образовательных учреждениях за счет реконструкции (ДОУ №№ 18, 32, 74, 119); 60 мест – в связи с возвратом и реконструкцией ранее переданного здания дошкольного образовательного учреждения (ДОУ №121).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В 2017 году планируется ввод 138 дополнительных мест (63 места в ДОУ    № 93 за счет переданного с 01.01.2017 на муниципальный уровень ДОУ № 27              </w:t>
      </w:r>
      <w:r w:rsidRPr="007F2209">
        <w:rPr>
          <w:szCs w:val="28"/>
        </w:rPr>
        <w:lastRenderedPageBreak/>
        <w:t>ОАО «Российские железные дороги», 75 мест в ДОУ № 109 в связи с возвратом и реконструкцией ранее переданного здания дошкольного образовательного учреждения).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2018 году предполагается организовать 135 дополнительных мест (65 ме</w:t>
      </w:r>
      <w:proofErr w:type="gramStart"/>
      <w:r w:rsidRPr="007F2209">
        <w:rPr>
          <w:szCs w:val="28"/>
        </w:rPr>
        <w:t>ст в зд</w:t>
      </w:r>
      <w:proofErr w:type="gramEnd"/>
      <w:r w:rsidRPr="007F2209">
        <w:rPr>
          <w:szCs w:val="28"/>
        </w:rPr>
        <w:t>ании бывшего детского дома № 7 и 70 мест в ДОУ № 138), в 2019 – 100 мест (ввод в действие здания вновь построенного ДО</w:t>
      </w:r>
      <w:r w:rsidR="00784BED">
        <w:rPr>
          <w:szCs w:val="28"/>
        </w:rPr>
        <w:t xml:space="preserve">У в районе ул. Капитана </w:t>
      </w:r>
      <w:proofErr w:type="spellStart"/>
      <w:r w:rsidRPr="007F2209">
        <w:rPr>
          <w:szCs w:val="28"/>
        </w:rPr>
        <w:t>Орликовой</w:t>
      </w:r>
      <w:proofErr w:type="spellEnd"/>
      <w:r w:rsidRPr="007F2209">
        <w:rPr>
          <w:szCs w:val="28"/>
        </w:rPr>
        <w:t>).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К 2020 году прогнозируемое число мест в детских садах достигнет 16 206 единиц (в 2016 году – 15 755 единиц). Обеспеченность детей местами в дошкольных образовательных учреждениях к концу прогнозного периода возрастет до 81,41 мест на 100 детей в возрасте 1-6 лет (в 2016 году на 100 детей дошкольного возраста приходилось 78,49 мест).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Созданная дифференцированная сеть дошкольных образовательных учреждений позволяет осуществлять дошкольное образование и подготовку детей к школе, ориентированную на различные индивидуальные образовательные потребности детей и родителей, обеспечить право выбора форм и направленности дошкольного образования в соответствии с личностными особенностями ребенка.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proofErr w:type="gramStart"/>
      <w:r w:rsidRPr="007F2209">
        <w:rPr>
          <w:szCs w:val="28"/>
        </w:rPr>
        <w:t>Численность обучающихся в общеобразовательных учреждениях города в 2016 году на начало учебного года составила 29 392 человека.</w:t>
      </w:r>
      <w:proofErr w:type="gramEnd"/>
      <w:r w:rsidRPr="007F2209">
        <w:rPr>
          <w:szCs w:val="28"/>
        </w:rPr>
        <w:t xml:space="preserve"> По сравнению с 2015 годом количество школьников возросло на 485 человек. </w:t>
      </w:r>
      <w:proofErr w:type="gramStart"/>
      <w:r w:rsidRPr="007F2209">
        <w:rPr>
          <w:szCs w:val="28"/>
        </w:rPr>
        <w:t>Положительная динамика численности обучающихся связана с увеличением количества школьников начальной и средней ступеней в связи с демографическим ростом детей данного возраста.</w:t>
      </w:r>
      <w:proofErr w:type="gramEnd"/>
      <w:r w:rsidRPr="007F2209">
        <w:rPr>
          <w:szCs w:val="28"/>
        </w:rPr>
        <w:t xml:space="preserve"> К концу 2017 года значение показателя оценочно составит 29 898 человек. К 2020 году прогнозируется сокращение численности учащихся общеобразовательных учреждений до 29 874 человек, что обусловлено прогнозным снижением рождаемости.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Численность обучающихся в общеобразовательных учреждениях, занимающихся в одну смену, в 2016 году увеличилась по сравнению с предыдущим годом на 672 человека и составила 28 577 человек, их доля в общей </w:t>
      </w:r>
      <w:proofErr w:type="gramStart"/>
      <w:r w:rsidRPr="007F2209">
        <w:rPr>
          <w:szCs w:val="28"/>
        </w:rPr>
        <w:t>численности</w:t>
      </w:r>
      <w:proofErr w:type="gramEnd"/>
      <w:r w:rsidRPr="007F2209">
        <w:rPr>
          <w:szCs w:val="28"/>
        </w:rPr>
        <w:t xml:space="preserve"> обучающихся в общеобразовательных организациях достигла 97,23% (в 2015 году – 96,54%). В прогнозном периоде величина доли сохранится на уровне 97,23%.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Численность учащихся в учреждениях, реализующих программы среднего профессионального образования, в 2016 году составила 9 295 человек, увеличившись к уровню предыдущего года на 727 человек. В прогнозном периоде ожидается рост численности учащихся до 9 559 человек. </w:t>
      </w:r>
    </w:p>
    <w:p w:rsidR="00843B99" w:rsidRPr="007F2209" w:rsidRDefault="00843B99" w:rsidP="004A3D34">
      <w:pPr>
        <w:widowControl w:val="0"/>
        <w:ind w:firstLine="709"/>
        <w:jc w:val="both"/>
        <w:rPr>
          <w:bCs/>
          <w:szCs w:val="28"/>
        </w:rPr>
      </w:pPr>
      <w:r w:rsidRPr="007F2209">
        <w:rPr>
          <w:bCs/>
          <w:szCs w:val="28"/>
        </w:rPr>
        <w:t>Численность учащихся высших учебных заведений в 2016 году сократилась на 1103 человека и составила 11 000 человек. В прогнозном периоде количество студентов, обучающихся по программам высшего профессионального образования, продолжит уменьшаться в виду сокращения численности населения соответствующей возрастной категории и оттока молодежи для получения высшего профессионального образования в другие города. К 2020 году ожидается сокращение численности учащихся высших учебных заведений до 9 932 человек.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lastRenderedPageBreak/>
        <w:t>В 2016 году в городе Мурманске работало 35 общедоступных (публичных) библиотек, в том числе: 3 областные библиотеки, 2 муниципальные центральные библиотеки с 30 филиалами, из которых 13 – детских. В 2017 - 2018 годах планируется поэтапная реорганизация сети структурных подразделений МБУК «ЦДБ города Мурманска», в результате которой будут закрыты 4 библиотеки-филиала и открыт Центр детского чтения по ул. Калинина, 38. Указанные библиотеки-филиалы не могут в полном объеме реализовать муниципальную услугу по библиотечно-информационному обслуживанию в связи с расположением на первых этажах жилых домов с кодовыми замками, усложняющими свободный вход в библиотеку, особенно для детей с ограниченными возможностями здоровья, а также по причине не соответствия требованиям пожарной безопасности.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2016 году обеспеченность общественными библиотеками в расчете на 100 тыс. человек населения составила 11,67 единиц (в 2015 году – 11,54 единицы). В результате оптимизации сети библиотек в 2017 - 2018 годах (сокращения их количества до 32 единиц) обеспеченность общественными библиотеками в расчете на 100 тыс. человек населения снизится в 2017 году до 11,14 единиц, в 2018 году – до 10,92 единиц. В прогнозном периоде в связи с ожидаемым сокращением численности населения города Мурманска предполагается постепенный рост обеспеченности библиотеками в расчете на 100 тыс. человек населения до 11,13 единиц в 2020 году.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bCs/>
          <w:szCs w:val="28"/>
        </w:rPr>
        <w:t>В 2016 году в городе Мурманске осуществляли деятельность 5 учреждений культурно-досугового типа, в том числе: 1 областное учреждение –                           ГОАУК «Мурманский областной Дворец культуры и народного творчества          им. С.М. Кирова» и 4 муниципальных: МБУК «Дом культуры «Первомайский» г. Мурманска», МАУК «Дом культуры Ленинского округа г. Мурманска», МБУК «Центр досуга и семейного творчества», МБУК «Дворец культуры Судоремонтник» города Мурманска. В связи с изменением в 2016 году порядка предоставления организациями культурно-досугового типа сведений о своей деятельности в органы статистики</w:t>
      </w:r>
      <w:r w:rsidRPr="007F2209">
        <w:rPr>
          <w:szCs w:val="28"/>
        </w:rPr>
        <w:t xml:space="preserve"> отразить данные по организациям, подведомственным федеральному органу исполнительной власти Российской Федерации, не представляется возможным. Согласно Приказу Росстата от 07.12.2016 № 764 (с изм. от 26.05.2017)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 организации культурно-досугового типа, подведомственные федеральному органу исполнительной власти Российской Федерации, осуществляют предоставление государственной статистической отчетности непосредственно в Министерство культуры Российской Федерации, </w:t>
      </w:r>
      <w:proofErr w:type="gramStart"/>
      <w:r w:rsidRPr="007F2209">
        <w:rPr>
          <w:szCs w:val="28"/>
        </w:rPr>
        <w:t>а</w:t>
      </w:r>
      <w:proofErr w:type="gramEnd"/>
      <w:r w:rsidRPr="007F2209">
        <w:rPr>
          <w:szCs w:val="28"/>
        </w:rPr>
        <w:t xml:space="preserve">  следовательно, </w:t>
      </w:r>
      <w:proofErr w:type="spellStart"/>
      <w:r w:rsidRPr="007F2209">
        <w:rPr>
          <w:szCs w:val="28"/>
        </w:rPr>
        <w:t>Мурманскстат</w:t>
      </w:r>
      <w:proofErr w:type="spellEnd"/>
      <w:r w:rsidRPr="007F2209">
        <w:rPr>
          <w:szCs w:val="28"/>
        </w:rPr>
        <w:t xml:space="preserve"> подобной информацией более не располагает. Указанный порядок применяется, начиная с отчетов за 2016 год.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Таким образом, в связи с возможностью предоставления сведений за 2016 год только по 5 областным и муниципальным учреждениям против 8 учреждений в 2015 году, показатель </w:t>
      </w:r>
      <w:r w:rsidRPr="007F2209">
        <w:rPr>
          <w:bCs/>
          <w:szCs w:val="28"/>
        </w:rPr>
        <w:t>обеспеченности населения учреждениями культурно-досугового типа снизился</w:t>
      </w:r>
      <w:r w:rsidRPr="007F2209">
        <w:rPr>
          <w:szCs w:val="28"/>
        </w:rPr>
        <w:t xml:space="preserve"> до 1,68 учреждений на 100 тыс. человек </w:t>
      </w:r>
      <w:r w:rsidRPr="007F2209">
        <w:rPr>
          <w:szCs w:val="28"/>
        </w:rPr>
        <w:lastRenderedPageBreak/>
        <w:t xml:space="preserve">населения (в 2015 году – 2,65 учреждения на 100 тыс. человек населения). В условиях сокращения численности населения города Мурманска предполагается, что к 2020 году показатель обеспеченности достигнет значения 1,75 учреждений </w:t>
      </w:r>
      <w:r w:rsidRPr="007F2209">
        <w:rPr>
          <w:bCs/>
          <w:szCs w:val="28"/>
        </w:rPr>
        <w:t>культурно-досугового типа</w:t>
      </w:r>
      <w:r w:rsidRPr="007F2209">
        <w:rPr>
          <w:szCs w:val="28"/>
        </w:rPr>
        <w:t xml:space="preserve"> на 100 тыс. человек населения. 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В сфере физической культуры и спорта в результате проводимых в городе Мурманске официальных физкультурных и спортивных мероприятий (около 180 мероприятий в год), активной пропаганды спорта в СМИ численность населения, систематически занимающегося физической культурой и спортом, в 2016 году по сравнению с 2015 годом увеличилась на 13,6% и составила 93 357 человек. Увеличению данного показателя также способствовало активное вовлечение населения города Мурманска в занятия физической культурой и спортом по месту жительства на спортивных объектах МАУ ГСЦ «Авангард» и </w:t>
      </w:r>
      <w:r w:rsidRPr="007F2209">
        <w:rPr>
          <w:bCs/>
          <w:szCs w:val="28"/>
        </w:rPr>
        <w:t xml:space="preserve">открытие Центра тестирования </w:t>
      </w:r>
      <w:r w:rsidRPr="007F2209">
        <w:rPr>
          <w:szCs w:val="28"/>
        </w:rPr>
        <w:t>по приему нормативов (тестов) Всероссийского физкультурно-спортивного комплекса «Готов к труду и обороне».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Удельный вес населения, систематически занимающегося физической культурой и спортом, достиг 31,14% (в 2015 году – 27,1%). К концу 2020 года прогнозируется рост доли населения, систематически занимающегося физической культурой и спортом, до 32,67%.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Сфера жилищного строительства города Мурманска в последние годы заметно активизировалась. 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2016 году на территории города введено 14 086 кв</w:t>
      </w:r>
      <w:proofErr w:type="gramStart"/>
      <w:r>
        <w:rPr>
          <w:szCs w:val="28"/>
        </w:rPr>
        <w:t>.</w:t>
      </w:r>
      <w:r w:rsidRPr="007F2209">
        <w:rPr>
          <w:szCs w:val="28"/>
        </w:rPr>
        <w:t>м</w:t>
      </w:r>
      <w:proofErr w:type="gramEnd"/>
      <w:r w:rsidRPr="007F2209">
        <w:rPr>
          <w:szCs w:val="28"/>
        </w:rPr>
        <w:t xml:space="preserve"> жилой площади, в том числе: многоквартирный трехэтажный дом (1 этап) по ул. Фрунзе, 18, многоквартирный трехэтажный дом (2 эт</w:t>
      </w:r>
      <w:r>
        <w:rPr>
          <w:szCs w:val="28"/>
        </w:rPr>
        <w:t xml:space="preserve">ап) по ул. Алексея </w:t>
      </w:r>
      <w:proofErr w:type="spellStart"/>
      <w:r>
        <w:rPr>
          <w:szCs w:val="28"/>
        </w:rPr>
        <w:t>Генералова</w:t>
      </w:r>
      <w:proofErr w:type="spellEnd"/>
      <w:r>
        <w:rPr>
          <w:szCs w:val="28"/>
        </w:rPr>
        <w:t xml:space="preserve">, </w:t>
      </w:r>
      <w:r w:rsidRPr="007F2209">
        <w:rPr>
          <w:szCs w:val="28"/>
        </w:rPr>
        <w:t>6/24; жилой многоквартирный дом (на 150 квартир) по ул. Достоевского, 32.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В расчете на 1000 человек населения ввод жилья в 2016 году составил            </w:t>
      </w:r>
      <w:r>
        <w:rPr>
          <w:szCs w:val="28"/>
        </w:rPr>
        <w:t>46,98 кв.</w:t>
      </w:r>
      <w:r w:rsidRPr="007F2209">
        <w:rPr>
          <w:szCs w:val="28"/>
        </w:rPr>
        <w:t>м.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Общая площадь жилых помеще</w:t>
      </w:r>
      <w:r>
        <w:rPr>
          <w:szCs w:val="28"/>
        </w:rPr>
        <w:t>ний сократилась с 7180 тыс. кв</w:t>
      </w:r>
      <w:proofErr w:type="gramStart"/>
      <w:r>
        <w:rPr>
          <w:szCs w:val="28"/>
        </w:rPr>
        <w:t>.</w:t>
      </w:r>
      <w:r w:rsidRPr="007F2209">
        <w:rPr>
          <w:szCs w:val="28"/>
        </w:rPr>
        <w:t>м</w:t>
      </w:r>
      <w:proofErr w:type="gramEnd"/>
      <w:r>
        <w:rPr>
          <w:szCs w:val="28"/>
        </w:rPr>
        <w:t xml:space="preserve"> в 2015 году до 6991,6 тыс. кв.</w:t>
      </w:r>
      <w:r w:rsidRPr="007F2209">
        <w:rPr>
          <w:szCs w:val="28"/>
        </w:rPr>
        <w:t>м в 2016 году. Снижение показателя обусловлено расселением и сносом ветхого и аварийного жилищного фонда. Прогноз до 2020 года сформирован на основании действующих разрешений на строительство, позволяющих прогнозировать увеличение площади жилых помещений к 2020 году до 7031,6 тыс. кв.м. При этом главным риском остается нестабильное финансирование и, как следствие, несоответствие фактических темпов строительства запланированным. В среднем на одного жителя в</w:t>
      </w:r>
      <w:r>
        <w:rPr>
          <w:szCs w:val="28"/>
        </w:rPr>
        <w:t xml:space="preserve"> 2016 году приходилось 23,5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</w:t>
      </w:r>
      <w:r w:rsidRPr="007F2209">
        <w:rPr>
          <w:szCs w:val="28"/>
        </w:rPr>
        <w:t>м</w:t>
      </w:r>
      <w:proofErr w:type="gramEnd"/>
      <w:r>
        <w:rPr>
          <w:szCs w:val="28"/>
        </w:rPr>
        <w:t>жилых</w:t>
      </w:r>
      <w:proofErr w:type="spellEnd"/>
      <w:r>
        <w:rPr>
          <w:szCs w:val="28"/>
        </w:rPr>
        <w:t xml:space="preserve"> помещений против 23,8 кв.</w:t>
      </w:r>
      <w:r w:rsidRPr="007F2209">
        <w:rPr>
          <w:szCs w:val="28"/>
        </w:rPr>
        <w:t>м в 2015 году. К 2020 году обеспеченность населения площадью жилых квар</w:t>
      </w:r>
      <w:r>
        <w:rPr>
          <w:szCs w:val="28"/>
        </w:rPr>
        <w:t>тир возрастет до 24,57 кв</w:t>
      </w:r>
      <w:proofErr w:type="gramStart"/>
      <w:r>
        <w:rPr>
          <w:szCs w:val="28"/>
        </w:rPr>
        <w:t>.</w:t>
      </w:r>
      <w:r w:rsidRPr="007F2209">
        <w:rPr>
          <w:szCs w:val="28"/>
        </w:rPr>
        <w:t>м</w:t>
      </w:r>
      <w:proofErr w:type="gramEnd"/>
      <w:r w:rsidRPr="007F2209">
        <w:rPr>
          <w:szCs w:val="28"/>
        </w:rPr>
        <w:t xml:space="preserve"> на человека.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целях создания условий для обеспечения населения комфортным жильем в городе реализуется подпрограмма «Поддержка и стимулирование жилищного строительства на территории муниципального образования город Мурманск» муниципальной программы</w:t>
      </w:r>
      <w:r w:rsidR="00784BED">
        <w:rPr>
          <w:szCs w:val="28"/>
        </w:rPr>
        <w:t xml:space="preserve"> города Мурманска</w:t>
      </w:r>
      <w:r w:rsidRPr="007F2209">
        <w:rPr>
          <w:szCs w:val="28"/>
        </w:rPr>
        <w:t xml:space="preserve"> «Градостроительная политика»</w:t>
      </w:r>
      <w:r>
        <w:rPr>
          <w:szCs w:val="28"/>
        </w:rPr>
        <w:t xml:space="preserve"> на 2014-2019 годы</w:t>
      </w:r>
      <w:r w:rsidRPr="007F2209">
        <w:rPr>
          <w:szCs w:val="28"/>
        </w:rPr>
        <w:t xml:space="preserve">. В рамках программы проводятся такие мероприятия, как формирование (образование) земельных участков для предоставления под строительство, под малоэтажное и индивидуальное жилищное строительство, в том числе для предоставления на безвозмездной </w:t>
      </w:r>
      <w:r w:rsidRPr="007F2209">
        <w:rPr>
          <w:szCs w:val="28"/>
        </w:rPr>
        <w:lastRenderedPageBreak/>
        <w:t xml:space="preserve">основе многодетным семьям; проводятся работы по обеспечению таких земельных участков объектами коммунальной инфраструктуры. </w:t>
      </w:r>
      <w:proofErr w:type="gramStart"/>
      <w:r w:rsidRPr="007F2209">
        <w:rPr>
          <w:szCs w:val="28"/>
        </w:rPr>
        <w:t xml:space="preserve">В 2016 году сформированы 50 земельных участков для предоставления под строительство, из которых 30 участков – для предоставления на безвозмездной основе многодетным семьям. </w:t>
      </w:r>
      <w:proofErr w:type="gramEnd"/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>В 2016 году доля площади ветхого и аварийного жилья в общей площади жилого фонда сократилась с 2,6% в 2015 году до 2,02% 2016 году. В рамках реализации муниципальной программы «Управление имуществом и жилищная политика» в 2016 году расселено 597 человек с высвобождением 279 жилых помещений в аварийных д</w:t>
      </w:r>
      <w:r>
        <w:rPr>
          <w:szCs w:val="28"/>
        </w:rPr>
        <w:t>омах общей площадью 9 593,2 кв</w:t>
      </w:r>
      <w:proofErr w:type="gramStart"/>
      <w:r>
        <w:rPr>
          <w:szCs w:val="28"/>
        </w:rPr>
        <w:t>.</w:t>
      </w:r>
      <w:r w:rsidRPr="007F2209">
        <w:rPr>
          <w:szCs w:val="28"/>
        </w:rPr>
        <w:t>м</w:t>
      </w:r>
      <w:proofErr w:type="gramEnd"/>
      <w:r w:rsidRPr="007F2209">
        <w:rPr>
          <w:szCs w:val="28"/>
        </w:rPr>
        <w:t>, которым предоставлены благоустроенные жилые помещения общей площадью –             11 196,9 к</w:t>
      </w:r>
      <w:r>
        <w:rPr>
          <w:szCs w:val="28"/>
        </w:rPr>
        <w:t>в.</w:t>
      </w:r>
      <w:r w:rsidRPr="007F2209">
        <w:rPr>
          <w:szCs w:val="28"/>
        </w:rPr>
        <w:t>м. В 2016 году из 9 полностью расселенных аварийных домов 7 домов снесены. В прогнозном периоде до 2020 года планируется сокращение доли площади ветхого и аварийного жилья в общей площади жилого фонда до 1,66%.</w:t>
      </w:r>
    </w:p>
    <w:p w:rsidR="00843B99" w:rsidRPr="007F2209" w:rsidRDefault="00843B99" w:rsidP="004A3D34">
      <w:pPr>
        <w:widowControl w:val="0"/>
        <w:ind w:firstLine="709"/>
        <w:jc w:val="both"/>
        <w:rPr>
          <w:szCs w:val="28"/>
        </w:rPr>
      </w:pPr>
      <w:r w:rsidRPr="007F2209">
        <w:rPr>
          <w:szCs w:val="28"/>
        </w:rPr>
        <w:t xml:space="preserve">Уровень собираемости платежей за жилье и коммунальные услуги увеличился с 81,4% в 2015 году до 88,3% в 2016 году. </w:t>
      </w:r>
      <w:proofErr w:type="gramStart"/>
      <w:r w:rsidRPr="007F2209">
        <w:rPr>
          <w:szCs w:val="28"/>
        </w:rPr>
        <w:t xml:space="preserve">В текущем году и прогнозном периоде до 2020 года, несмотря на увеличение стоимости предоставляемых населению жилищно-коммунальных услуг по экономически обоснованным тарифам (к 2020 году до 12 980,8 млн. рублей или на 23,4% по сравнению с 2016 годом) при сохранении реальных доходов населения на прежнем уровне, ожидается незначительное улучшение ситуации по данному показателю в связи с переходом на прямые платежи </w:t>
      </w:r>
      <w:proofErr w:type="spellStart"/>
      <w:r w:rsidRPr="007F2209">
        <w:rPr>
          <w:szCs w:val="28"/>
        </w:rPr>
        <w:t>сресурсоснабжающими</w:t>
      </w:r>
      <w:proofErr w:type="spellEnd"/>
      <w:proofErr w:type="gramEnd"/>
      <w:r w:rsidRPr="007F2209">
        <w:rPr>
          <w:szCs w:val="28"/>
        </w:rPr>
        <w:t xml:space="preserve"> организациями. Таким образом, собираемость платежей к 2020 году возрастет до 90%.</w:t>
      </w:r>
    </w:p>
    <w:p w:rsidR="00843B99" w:rsidRPr="00165C07" w:rsidRDefault="00843B99" w:rsidP="00843B99">
      <w:pPr>
        <w:rPr>
          <w:highlight w:val="yellow"/>
        </w:rPr>
      </w:pPr>
    </w:p>
    <w:p w:rsidR="00843B99" w:rsidRPr="00165C07" w:rsidRDefault="007D5B07" w:rsidP="00843B99">
      <w:pPr>
        <w:widowControl w:val="0"/>
        <w:ind w:firstLine="720"/>
        <w:jc w:val="center"/>
        <w:rPr>
          <w:szCs w:val="28"/>
          <w:highlight w:val="yellow"/>
        </w:rPr>
      </w:pPr>
      <w:r w:rsidRPr="007D5B07">
        <w:rPr>
          <w:szCs w:val="28"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8" type="#_x0000_t32" style="position:absolute;left:0;text-align:left;margin-left:197.9pt;margin-top:36.75pt;width:12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strokecolor="white [3212]"/>
        </w:pict>
      </w:r>
    </w:p>
    <w:p w:rsidR="00843B99" w:rsidRPr="00165C07" w:rsidRDefault="00843B99" w:rsidP="00843B99">
      <w:pPr>
        <w:widowControl w:val="0"/>
        <w:ind w:firstLine="720"/>
        <w:jc w:val="center"/>
        <w:rPr>
          <w:szCs w:val="28"/>
          <w:highlight w:val="yellow"/>
        </w:rPr>
        <w:sectPr w:rsidR="00843B99" w:rsidRPr="00165C07" w:rsidSect="00C47974">
          <w:headerReference w:type="default" r:id="rId17"/>
          <w:headerReference w:type="first" r:id="rId18"/>
          <w:pgSz w:w="11907" w:h="16840" w:code="9"/>
          <w:pgMar w:top="1134" w:right="851" w:bottom="1134" w:left="1418" w:header="709" w:footer="284" w:gutter="0"/>
          <w:cols w:space="720"/>
          <w:noEndnote/>
          <w:docGrid w:linePitch="381"/>
        </w:sectPr>
      </w:pPr>
    </w:p>
    <w:tbl>
      <w:tblPr>
        <w:tblW w:w="0" w:type="auto"/>
        <w:tblLook w:val="04A0"/>
      </w:tblPr>
      <w:tblGrid>
        <w:gridCol w:w="4572"/>
        <w:gridCol w:w="5281"/>
      </w:tblGrid>
      <w:tr w:rsidR="00843B99" w:rsidRPr="00165C07" w:rsidTr="004A3D34">
        <w:tc>
          <w:tcPr>
            <w:tcW w:w="4768" w:type="dxa"/>
          </w:tcPr>
          <w:p w:rsidR="00843B99" w:rsidRPr="00F7588D" w:rsidRDefault="00843B99" w:rsidP="004A3D34">
            <w:pPr>
              <w:widowControl w:val="0"/>
              <w:jc w:val="right"/>
              <w:rPr>
                <w:szCs w:val="28"/>
              </w:rPr>
            </w:pPr>
            <w:r w:rsidRPr="00F7588D">
              <w:rPr>
                <w:szCs w:val="28"/>
              </w:rPr>
              <w:lastRenderedPageBreak/>
              <w:br w:type="page"/>
            </w:r>
          </w:p>
        </w:tc>
        <w:tc>
          <w:tcPr>
            <w:tcW w:w="5419" w:type="dxa"/>
          </w:tcPr>
          <w:p w:rsidR="00843B99" w:rsidRPr="00F7588D" w:rsidRDefault="00843B99" w:rsidP="004A3D34">
            <w:pPr>
              <w:widowControl w:val="0"/>
              <w:jc w:val="center"/>
              <w:rPr>
                <w:szCs w:val="28"/>
              </w:rPr>
            </w:pPr>
            <w:r w:rsidRPr="00F7588D">
              <w:rPr>
                <w:szCs w:val="28"/>
              </w:rPr>
              <w:t>Приложение № 2</w:t>
            </w:r>
          </w:p>
          <w:p w:rsidR="00843B99" w:rsidRPr="00F7588D" w:rsidRDefault="00843B99" w:rsidP="004A3D34">
            <w:pPr>
              <w:widowControl w:val="0"/>
              <w:jc w:val="center"/>
              <w:rPr>
                <w:szCs w:val="28"/>
              </w:rPr>
            </w:pPr>
            <w:r w:rsidRPr="00F7588D">
              <w:rPr>
                <w:szCs w:val="28"/>
              </w:rPr>
              <w:t>к прогнозу социально-экономического развития муниципального образования город Мурманск на 2018 год и плановый период 2019 и 2020 годов</w:t>
            </w:r>
          </w:p>
        </w:tc>
      </w:tr>
    </w:tbl>
    <w:p w:rsidR="00843B99" w:rsidRPr="00B24227" w:rsidRDefault="00843B99" w:rsidP="00843B99">
      <w:pPr>
        <w:pStyle w:val="1"/>
        <w:spacing w:before="0" w:after="0"/>
        <w:jc w:val="center"/>
        <w:rPr>
          <w:b w:val="0"/>
          <w:caps w:val="0"/>
          <w:szCs w:val="24"/>
          <w:highlight w:val="yellow"/>
        </w:rPr>
      </w:pPr>
    </w:p>
    <w:p w:rsidR="00843B99" w:rsidRPr="00B24227" w:rsidRDefault="00843B99" w:rsidP="00843B99">
      <w:pPr>
        <w:pStyle w:val="1"/>
        <w:spacing w:before="0" w:after="0"/>
        <w:jc w:val="center"/>
        <w:rPr>
          <w:b w:val="0"/>
          <w:caps w:val="0"/>
          <w:szCs w:val="24"/>
          <w:highlight w:val="yellow"/>
        </w:rPr>
      </w:pPr>
    </w:p>
    <w:p w:rsidR="00843B99" w:rsidRPr="00165C07" w:rsidRDefault="00843B99" w:rsidP="00843B99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165C07">
        <w:rPr>
          <w:b w:val="0"/>
          <w:caps w:val="0"/>
          <w:sz w:val="28"/>
          <w:szCs w:val="28"/>
        </w:rPr>
        <w:t xml:space="preserve">Предварительные итоги социально-экономического развития муниципального образования город Мурманск за первое полугодие </w:t>
      </w:r>
      <w:r w:rsidRPr="00165C07">
        <w:rPr>
          <w:b w:val="0"/>
          <w:sz w:val="28"/>
          <w:szCs w:val="28"/>
        </w:rPr>
        <w:t>2017</w:t>
      </w:r>
      <w:r w:rsidRPr="00165C07">
        <w:rPr>
          <w:b w:val="0"/>
          <w:caps w:val="0"/>
          <w:sz w:val="28"/>
          <w:szCs w:val="28"/>
        </w:rPr>
        <w:t xml:space="preserve"> года </w:t>
      </w:r>
    </w:p>
    <w:p w:rsidR="00843B99" w:rsidRPr="00165C07" w:rsidRDefault="00843B99" w:rsidP="00843B99">
      <w:pPr>
        <w:jc w:val="center"/>
      </w:pPr>
      <w:r w:rsidRPr="00165C07">
        <w:t>и ожидаемые итоги социально-экономического развития за 2017 год</w:t>
      </w:r>
    </w:p>
    <w:p w:rsidR="00843B99" w:rsidRPr="00165C07" w:rsidRDefault="00843B99" w:rsidP="00843B99">
      <w:pPr>
        <w:spacing w:line="276" w:lineRule="auto"/>
        <w:jc w:val="center"/>
        <w:rPr>
          <w:szCs w:val="28"/>
        </w:rPr>
      </w:pPr>
    </w:p>
    <w:tbl>
      <w:tblPr>
        <w:tblW w:w="9644" w:type="dxa"/>
        <w:tblInd w:w="103" w:type="dxa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4116"/>
        <w:gridCol w:w="1418"/>
        <w:gridCol w:w="1417"/>
        <w:gridCol w:w="1418"/>
        <w:gridCol w:w="1275"/>
      </w:tblGrid>
      <w:tr w:rsidR="00843B99" w:rsidRPr="00165C07" w:rsidTr="00B24227">
        <w:trPr>
          <w:trHeight w:val="945"/>
          <w:tblHeader/>
        </w:trPr>
        <w:tc>
          <w:tcPr>
            <w:tcW w:w="4116" w:type="dxa"/>
            <w:shd w:val="clear" w:color="auto" w:fill="auto"/>
            <w:vAlign w:val="center"/>
            <w:hideMark/>
          </w:tcPr>
          <w:p w:rsidR="00843B99" w:rsidRPr="005F37B8" w:rsidRDefault="00843B99" w:rsidP="004A3D3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F37B8">
              <w:rPr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3B99" w:rsidRPr="005F37B8" w:rsidRDefault="00843B99" w:rsidP="004A3D34">
            <w:pPr>
              <w:jc w:val="center"/>
              <w:rPr>
                <w:bCs/>
                <w:sz w:val="24"/>
                <w:szCs w:val="24"/>
              </w:rPr>
            </w:pPr>
            <w:r w:rsidRPr="005F37B8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3B99" w:rsidRPr="005F37B8" w:rsidRDefault="00843B99" w:rsidP="004A3D3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F37B8">
              <w:rPr>
                <w:bCs/>
                <w:sz w:val="24"/>
                <w:szCs w:val="24"/>
              </w:rPr>
              <w:t>1 полугодие 201</w:t>
            </w:r>
            <w:r>
              <w:rPr>
                <w:bCs/>
                <w:sz w:val="24"/>
                <w:szCs w:val="24"/>
              </w:rPr>
              <w:t>6</w:t>
            </w:r>
            <w:r w:rsidRPr="005F37B8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3B99" w:rsidRPr="005F37B8" w:rsidRDefault="00843B99" w:rsidP="004A3D3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F37B8">
              <w:rPr>
                <w:bCs/>
                <w:sz w:val="24"/>
                <w:szCs w:val="24"/>
              </w:rPr>
              <w:t>1 полугодие 201</w:t>
            </w:r>
            <w:r>
              <w:rPr>
                <w:bCs/>
                <w:sz w:val="24"/>
                <w:szCs w:val="24"/>
              </w:rPr>
              <w:t>7</w:t>
            </w:r>
            <w:r w:rsidRPr="005F37B8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3B99" w:rsidRPr="005F37B8" w:rsidRDefault="00843B99" w:rsidP="004A3D34">
            <w:pPr>
              <w:jc w:val="center"/>
              <w:rPr>
                <w:bCs/>
                <w:sz w:val="24"/>
                <w:szCs w:val="24"/>
              </w:rPr>
            </w:pPr>
            <w:r w:rsidRPr="005F37B8">
              <w:rPr>
                <w:bCs/>
                <w:sz w:val="24"/>
                <w:szCs w:val="24"/>
              </w:rPr>
              <w:t>Оценка201</w:t>
            </w:r>
            <w:r>
              <w:rPr>
                <w:bCs/>
                <w:sz w:val="24"/>
                <w:szCs w:val="24"/>
              </w:rPr>
              <w:t>7</w:t>
            </w:r>
            <w:r w:rsidRPr="005F37B8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843B99" w:rsidRPr="00A30B12" w:rsidRDefault="00843B99" w:rsidP="00843B99">
      <w:pPr>
        <w:rPr>
          <w:vanish/>
          <w:highlight w:val="yellow"/>
        </w:rPr>
      </w:pPr>
    </w:p>
    <w:tbl>
      <w:tblPr>
        <w:tblW w:w="9644" w:type="dxa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18"/>
        <w:gridCol w:w="1419"/>
        <w:gridCol w:w="1414"/>
        <w:gridCol w:w="1418"/>
        <w:gridCol w:w="1275"/>
      </w:tblGrid>
      <w:tr w:rsidR="00843B99" w:rsidRPr="007F2209" w:rsidTr="00B24227">
        <w:trPr>
          <w:trHeight w:val="315"/>
          <w:tblHeader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4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843B99" w:rsidRPr="007F2209" w:rsidTr="00B24227">
        <w:trPr>
          <w:trHeight w:val="243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bCs/>
                <w:sz w:val="24"/>
                <w:szCs w:val="24"/>
                <w:lang w:eastAsia="en-US"/>
              </w:rPr>
            </w:pPr>
            <w:r w:rsidRPr="007F2209">
              <w:rPr>
                <w:bCs/>
                <w:sz w:val="24"/>
                <w:szCs w:val="24"/>
                <w:lang w:eastAsia="en-US"/>
              </w:rPr>
              <w:t>1. Демографические показатели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3B99" w:rsidRPr="007F2209" w:rsidTr="00B24227">
        <w:trPr>
          <w:trHeight w:val="489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Среднегодовая численность населения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тыс. человек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296,29</w:t>
            </w:r>
          </w:p>
        </w:tc>
      </w:tr>
      <w:tr w:rsidR="00843B99" w:rsidRPr="007F2209" w:rsidTr="00B24227">
        <w:trPr>
          <w:trHeight w:val="272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Родилось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человек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1782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1576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3152</w:t>
            </w:r>
          </w:p>
        </w:tc>
      </w:tr>
      <w:tr w:rsidR="00843B99" w:rsidRPr="007F2209" w:rsidTr="00B24227">
        <w:trPr>
          <w:trHeight w:val="233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Умерло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человек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1789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1751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3502</w:t>
            </w:r>
          </w:p>
        </w:tc>
      </w:tr>
      <w:tr w:rsidR="00843B99" w:rsidRPr="007F2209" w:rsidTr="00B24227">
        <w:trPr>
          <w:trHeight w:val="607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Коэффициент рождаемости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человек на 1000 населения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11,90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10,70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10,64</w:t>
            </w:r>
          </w:p>
        </w:tc>
      </w:tr>
      <w:tr w:rsidR="00843B99" w:rsidRPr="007F2209" w:rsidTr="00B24227">
        <w:trPr>
          <w:trHeight w:val="489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Коэффициент смертности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человек на 1000 населения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11,90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11,80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11,82</w:t>
            </w:r>
          </w:p>
        </w:tc>
      </w:tr>
      <w:tr w:rsidR="00843B99" w:rsidRPr="007F2209" w:rsidTr="00B24227">
        <w:trPr>
          <w:trHeight w:val="489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Коэффициент естественного прироста, убыли</w:t>
            </w:r>
            <w:proofErr w:type="gramStart"/>
            <w:r w:rsidRPr="007F2209">
              <w:rPr>
                <w:sz w:val="24"/>
                <w:szCs w:val="24"/>
                <w:lang w:eastAsia="en-US"/>
              </w:rPr>
              <w:t xml:space="preserve"> (-)</w:t>
            </w:r>
            <w:proofErr w:type="gramEnd"/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человек на 1000 населения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-1,1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-1,18</w:t>
            </w:r>
          </w:p>
        </w:tc>
      </w:tr>
      <w:tr w:rsidR="00843B99" w:rsidRPr="007F2209" w:rsidTr="00B24227">
        <w:trPr>
          <w:trHeight w:val="489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Коэффициент миграционного прироста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человек на 1000 населения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-11,00</w:t>
            </w:r>
          </w:p>
        </w:tc>
      </w:tr>
      <w:tr w:rsidR="00843B99" w:rsidRPr="007F2209" w:rsidTr="00B24227">
        <w:trPr>
          <w:trHeight w:val="275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2. Производство товаров и услуг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Промышленное производство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784BED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Индекс промышленного производства (</w:t>
            </w:r>
            <w:r w:rsidR="00784BED">
              <w:rPr>
                <w:sz w:val="24"/>
                <w:szCs w:val="24"/>
                <w:lang w:eastAsia="en-US"/>
              </w:rPr>
              <w:t>р</w:t>
            </w:r>
            <w:r w:rsidRPr="007F2209">
              <w:rPr>
                <w:sz w:val="24"/>
                <w:szCs w:val="24"/>
                <w:lang w:eastAsia="en-US"/>
              </w:rPr>
              <w:t xml:space="preserve">аздел С: </w:t>
            </w:r>
            <w:r w:rsidR="00784BED">
              <w:rPr>
                <w:sz w:val="24"/>
                <w:szCs w:val="24"/>
                <w:lang w:eastAsia="en-US"/>
              </w:rPr>
              <w:t>о</w:t>
            </w:r>
            <w:r w:rsidRPr="007F2209">
              <w:rPr>
                <w:sz w:val="24"/>
                <w:szCs w:val="24"/>
                <w:lang w:eastAsia="en-US"/>
              </w:rPr>
              <w:t>брабатывающие производства</w:t>
            </w:r>
            <w:r w:rsidR="00784BED">
              <w:rPr>
                <w:sz w:val="24"/>
                <w:szCs w:val="24"/>
                <w:lang w:eastAsia="en-US"/>
              </w:rPr>
              <w:t>,раздел D: о</w:t>
            </w:r>
            <w:r w:rsidRPr="007F2209">
              <w:rPr>
                <w:sz w:val="24"/>
                <w:szCs w:val="24"/>
                <w:lang w:eastAsia="en-US"/>
              </w:rPr>
              <w:t>беспечение электрической энергией, газом и паром; кондиционирование воздуха</w:t>
            </w:r>
            <w:r w:rsidR="00784BED">
              <w:rPr>
                <w:sz w:val="24"/>
                <w:szCs w:val="24"/>
                <w:lang w:eastAsia="en-US"/>
              </w:rPr>
              <w:t>,р</w:t>
            </w:r>
            <w:r w:rsidRPr="007F2209">
              <w:rPr>
                <w:sz w:val="24"/>
                <w:szCs w:val="24"/>
                <w:lang w:eastAsia="en-US"/>
              </w:rPr>
              <w:t>аздел</w:t>
            </w:r>
            <w:proofErr w:type="gramStart"/>
            <w:r w:rsidRPr="007F2209">
              <w:rPr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7F2209">
              <w:rPr>
                <w:sz w:val="24"/>
                <w:szCs w:val="24"/>
                <w:lang w:eastAsia="en-US"/>
              </w:rPr>
              <w:t xml:space="preserve">: </w:t>
            </w:r>
            <w:r w:rsidR="00784BED">
              <w:rPr>
                <w:sz w:val="24"/>
                <w:szCs w:val="24"/>
                <w:lang w:eastAsia="en-US"/>
              </w:rPr>
              <w:t>в</w:t>
            </w:r>
            <w:r w:rsidRPr="007F2209">
              <w:rPr>
                <w:sz w:val="24"/>
                <w:szCs w:val="24"/>
                <w:lang w:eastAsia="en-US"/>
              </w:rPr>
              <w:t>одоснабжение; водоотведение, организация сбора и утилизации отходов, деятельность по ликвидации загрязнений)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ind w:left="-110" w:right="-105"/>
              <w:jc w:val="center"/>
              <w:rPr>
                <w:sz w:val="20"/>
                <w:lang w:eastAsia="en-US"/>
              </w:rPr>
            </w:pPr>
            <w:proofErr w:type="gramStart"/>
            <w:r w:rsidRPr="007F2209">
              <w:rPr>
                <w:sz w:val="20"/>
                <w:lang w:eastAsia="en-US"/>
              </w:rPr>
              <w:t>в</w:t>
            </w:r>
            <w:proofErr w:type="gramEnd"/>
            <w:r w:rsidRPr="007F2209">
              <w:rPr>
                <w:sz w:val="20"/>
                <w:lang w:eastAsia="en-US"/>
              </w:rPr>
              <w:t xml:space="preserve"> % к аналогичному периоду прошлого года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88,16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118,08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</w:rPr>
              <w:t>100,91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84BED" w:rsidRDefault="00784BED" w:rsidP="004A3D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C: о</w:t>
            </w:r>
            <w:r w:rsidR="00843B99" w:rsidRPr="00784BED">
              <w:rPr>
                <w:sz w:val="24"/>
                <w:szCs w:val="24"/>
                <w:lang w:eastAsia="en-US"/>
              </w:rPr>
              <w:t>брабатывающие производства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84BED" w:rsidRDefault="00843B99" w:rsidP="004A3D34">
            <w:pPr>
              <w:ind w:left="-18"/>
              <w:jc w:val="center"/>
              <w:rPr>
                <w:sz w:val="20"/>
                <w:lang w:eastAsia="en-US"/>
              </w:rPr>
            </w:pPr>
            <w:r w:rsidRPr="00784BED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84BED">
              <w:rPr>
                <w:sz w:val="20"/>
                <w:lang w:eastAsia="en-US"/>
              </w:rPr>
              <w:t>соответст-вующих</w:t>
            </w:r>
            <w:proofErr w:type="spellEnd"/>
            <w:proofErr w:type="gramEnd"/>
            <w:r w:rsidRPr="00784BED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22816,96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23528,26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64559,36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84BED" w:rsidRDefault="00843B99" w:rsidP="00784BED">
            <w:pPr>
              <w:rPr>
                <w:sz w:val="24"/>
                <w:szCs w:val="24"/>
                <w:lang w:eastAsia="en-US"/>
              </w:rPr>
            </w:pPr>
            <w:r w:rsidRPr="00784BED">
              <w:rPr>
                <w:sz w:val="24"/>
                <w:szCs w:val="24"/>
                <w:lang w:eastAsia="en-US"/>
              </w:rPr>
              <w:t xml:space="preserve">Индекс производства – </w:t>
            </w:r>
            <w:r w:rsidR="00784BED">
              <w:rPr>
                <w:sz w:val="24"/>
                <w:szCs w:val="24"/>
                <w:lang w:eastAsia="en-US"/>
              </w:rPr>
              <w:t>р</w:t>
            </w:r>
            <w:r w:rsidRPr="00784BED">
              <w:rPr>
                <w:sz w:val="24"/>
                <w:szCs w:val="24"/>
                <w:lang w:eastAsia="en-US"/>
              </w:rPr>
              <w:t xml:space="preserve">аздел C: </w:t>
            </w:r>
            <w:r w:rsidR="00784BED">
              <w:rPr>
                <w:sz w:val="24"/>
                <w:szCs w:val="24"/>
                <w:lang w:eastAsia="en-US"/>
              </w:rPr>
              <w:t>о</w:t>
            </w:r>
            <w:r w:rsidRPr="00784BED">
              <w:rPr>
                <w:sz w:val="24"/>
                <w:szCs w:val="24"/>
                <w:lang w:eastAsia="en-US"/>
              </w:rPr>
              <w:t>брабатывающие производства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84BED" w:rsidRDefault="00843B99" w:rsidP="004A3D34">
            <w:pPr>
              <w:ind w:left="-18"/>
              <w:jc w:val="center"/>
              <w:rPr>
                <w:sz w:val="20"/>
                <w:lang w:eastAsia="en-US"/>
              </w:rPr>
            </w:pPr>
            <w:proofErr w:type="gramStart"/>
            <w:r w:rsidRPr="00784BED">
              <w:rPr>
                <w:sz w:val="20"/>
                <w:lang w:eastAsia="en-US"/>
              </w:rPr>
              <w:t>в</w:t>
            </w:r>
            <w:proofErr w:type="gramEnd"/>
            <w:r w:rsidRPr="00784BED">
              <w:rPr>
                <w:sz w:val="20"/>
                <w:lang w:eastAsia="en-US"/>
              </w:rPr>
              <w:t xml:space="preserve"> % </w:t>
            </w:r>
            <w:proofErr w:type="gramStart"/>
            <w:r w:rsidRPr="00784BED">
              <w:rPr>
                <w:sz w:val="20"/>
                <w:lang w:eastAsia="en-US"/>
              </w:rPr>
              <w:t>к</w:t>
            </w:r>
            <w:proofErr w:type="gramEnd"/>
            <w:r w:rsidRPr="00784BED">
              <w:rPr>
                <w:sz w:val="20"/>
                <w:lang w:eastAsia="en-US"/>
              </w:rPr>
              <w:t xml:space="preserve"> предыдущему году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85,60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123,15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105,45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84BED" w:rsidRDefault="00843B99" w:rsidP="00784BED">
            <w:pPr>
              <w:rPr>
                <w:sz w:val="24"/>
                <w:szCs w:val="24"/>
                <w:lang w:eastAsia="en-US"/>
              </w:rPr>
            </w:pPr>
            <w:r w:rsidRPr="00784BED">
              <w:rPr>
                <w:sz w:val="24"/>
                <w:szCs w:val="24"/>
                <w:lang w:eastAsia="en-US"/>
              </w:rPr>
              <w:t xml:space="preserve">Раздел D: </w:t>
            </w:r>
            <w:r w:rsidR="00784BED">
              <w:rPr>
                <w:sz w:val="24"/>
                <w:szCs w:val="24"/>
                <w:lang w:eastAsia="en-US"/>
              </w:rPr>
              <w:t>о</w:t>
            </w:r>
            <w:r w:rsidRPr="00784BED">
              <w:rPr>
                <w:sz w:val="24"/>
                <w:szCs w:val="24"/>
                <w:lang w:eastAsia="en-US"/>
              </w:rPr>
              <w:t>беспечение электрической энергией, газом и паром; кондиционирование воздуха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84BED" w:rsidRDefault="00843B99" w:rsidP="004A3D34">
            <w:pPr>
              <w:ind w:left="-18"/>
              <w:jc w:val="center"/>
              <w:rPr>
                <w:sz w:val="20"/>
                <w:lang w:eastAsia="en-US"/>
              </w:rPr>
            </w:pPr>
            <w:r w:rsidRPr="00784BED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84BED">
              <w:rPr>
                <w:sz w:val="20"/>
                <w:lang w:eastAsia="en-US"/>
              </w:rPr>
              <w:t>соответст-</w:t>
            </w:r>
            <w:r w:rsidRPr="00784BED">
              <w:rPr>
                <w:sz w:val="20"/>
                <w:lang w:eastAsia="en-US"/>
              </w:rPr>
              <w:lastRenderedPageBreak/>
              <w:t>вующих</w:t>
            </w:r>
            <w:proofErr w:type="spellEnd"/>
            <w:proofErr w:type="gramEnd"/>
            <w:r w:rsidRPr="00784BED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lastRenderedPageBreak/>
              <w:t>6181,02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5973,69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11158,85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84BED" w:rsidRDefault="00843B99" w:rsidP="00784BED">
            <w:pPr>
              <w:rPr>
                <w:color w:val="000000"/>
                <w:sz w:val="24"/>
                <w:szCs w:val="24"/>
              </w:rPr>
            </w:pPr>
            <w:r w:rsidRPr="00784BED">
              <w:rPr>
                <w:color w:val="000000"/>
                <w:sz w:val="24"/>
                <w:szCs w:val="24"/>
              </w:rPr>
              <w:lastRenderedPageBreak/>
              <w:t xml:space="preserve">Индекс производства - </w:t>
            </w:r>
            <w:r w:rsidR="00784BED">
              <w:rPr>
                <w:color w:val="000000"/>
                <w:sz w:val="24"/>
                <w:szCs w:val="24"/>
              </w:rPr>
              <w:t>р</w:t>
            </w:r>
            <w:r w:rsidRPr="00784BED">
              <w:rPr>
                <w:color w:val="000000"/>
                <w:sz w:val="24"/>
                <w:szCs w:val="24"/>
              </w:rPr>
              <w:t xml:space="preserve">аздел D: </w:t>
            </w:r>
            <w:r w:rsidR="00784BED">
              <w:rPr>
                <w:color w:val="000000"/>
                <w:sz w:val="24"/>
                <w:szCs w:val="24"/>
              </w:rPr>
              <w:t>о</w:t>
            </w:r>
            <w:r w:rsidRPr="00784BED">
              <w:rPr>
                <w:color w:val="000000"/>
                <w:sz w:val="24"/>
                <w:szCs w:val="24"/>
              </w:rPr>
              <w:t xml:space="preserve">беспечение электрической энергией, газом и паром; кондиционирование воздуха 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101,82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100,31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84BED" w:rsidRDefault="00843B99" w:rsidP="00784BED">
            <w:pPr>
              <w:rPr>
                <w:color w:val="000000"/>
                <w:sz w:val="24"/>
                <w:szCs w:val="24"/>
              </w:rPr>
            </w:pPr>
            <w:r w:rsidRPr="00784BED">
              <w:rPr>
                <w:rFonts w:eastAsia="Arial Unicode MS"/>
                <w:color w:val="000000"/>
                <w:sz w:val="24"/>
                <w:szCs w:val="24"/>
              </w:rPr>
              <w:t xml:space="preserve">Раздел E: </w:t>
            </w:r>
            <w:r w:rsidR="00784BED">
              <w:rPr>
                <w:rFonts w:eastAsia="Arial Unicode MS"/>
                <w:color w:val="000000"/>
                <w:sz w:val="24"/>
                <w:szCs w:val="24"/>
              </w:rPr>
              <w:t>в</w:t>
            </w:r>
            <w:r w:rsidRPr="00784BED">
              <w:rPr>
                <w:rFonts w:eastAsia="Arial Unicode MS"/>
                <w:color w:val="000000"/>
                <w:sz w:val="24"/>
                <w:szCs w:val="24"/>
              </w:rPr>
              <w:t>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ind w:left="-18"/>
              <w:jc w:val="center"/>
              <w:rPr>
                <w:color w:val="000000"/>
                <w:sz w:val="20"/>
              </w:rPr>
            </w:pPr>
            <w:r w:rsidRPr="007F2209">
              <w:rPr>
                <w:color w:val="000000"/>
                <w:sz w:val="20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color w:val="000000"/>
                <w:sz w:val="20"/>
              </w:rPr>
              <w:t>соответст-вующих</w:t>
            </w:r>
            <w:proofErr w:type="spellEnd"/>
            <w:proofErr w:type="gramEnd"/>
            <w:r w:rsidRPr="007F2209">
              <w:rPr>
                <w:color w:val="000000"/>
                <w:sz w:val="20"/>
              </w:rPr>
              <w:t xml:space="preserve"> лет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950,03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974,17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1997,06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84BED" w:rsidRDefault="00843B99" w:rsidP="00784BED">
            <w:pPr>
              <w:rPr>
                <w:color w:val="000000"/>
                <w:sz w:val="24"/>
                <w:szCs w:val="24"/>
              </w:rPr>
            </w:pPr>
            <w:r w:rsidRPr="00784BED">
              <w:rPr>
                <w:color w:val="000000"/>
                <w:sz w:val="24"/>
                <w:szCs w:val="24"/>
              </w:rPr>
              <w:t xml:space="preserve">Индекс производства – </w:t>
            </w:r>
            <w:r w:rsidR="00784BED">
              <w:rPr>
                <w:color w:val="000000"/>
                <w:sz w:val="24"/>
                <w:szCs w:val="24"/>
              </w:rPr>
              <w:t>р</w:t>
            </w:r>
            <w:r w:rsidRPr="00784BED">
              <w:rPr>
                <w:color w:val="000000"/>
                <w:sz w:val="24"/>
                <w:szCs w:val="24"/>
              </w:rPr>
              <w:t xml:space="preserve">аздел E: </w:t>
            </w:r>
            <w:r w:rsidR="00784BED">
              <w:rPr>
                <w:color w:val="000000"/>
                <w:sz w:val="24"/>
                <w:szCs w:val="24"/>
              </w:rPr>
              <w:t>в</w:t>
            </w:r>
            <w:r w:rsidRPr="00784BED">
              <w:rPr>
                <w:color w:val="000000"/>
                <w:sz w:val="24"/>
                <w:szCs w:val="24"/>
              </w:rPr>
              <w:t>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ind w:left="-18"/>
              <w:jc w:val="center"/>
              <w:rPr>
                <w:color w:val="000000"/>
                <w:sz w:val="20"/>
              </w:rPr>
            </w:pPr>
            <w:proofErr w:type="gramStart"/>
            <w:r w:rsidRPr="007F2209">
              <w:rPr>
                <w:color w:val="000000"/>
                <w:sz w:val="20"/>
              </w:rPr>
              <w:t>в</w:t>
            </w:r>
            <w:proofErr w:type="gramEnd"/>
            <w:r w:rsidRPr="007F2209">
              <w:rPr>
                <w:color w:val="000000"/>
                <w:sz w:val="20"/>
              </w:rPr>
              <w:t xml:space="preserve"> % </w:t>
            </w:r>
            <w:proofErr w:type="gramStart"/>
            <w:r w:rsidRPr="007F2209">
              <w:rPr>
                <w:color w:val="000000"/>
                <w:sz w:val="20"/>
              </w:rPr>
              <w:t>к</w:t>
            </w:r>
            <w:proofErr w:type="gramEnd"/>
            <w:r w:rsidRPr="007F2209">
              <w:rPr>
                <w:color w:val="000000"/>
                <w:sz w:val="20"/>
              </w:rPr>
              <w:t xml:space="preserve"> предыдущему году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95,18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96,68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bCs/>
                <w:sz w:val="22"/>
                <w:szCs w:val="22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3. Рынок товаров и услуг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Оборот розничной торговли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22228,9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17655,6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ind w:left="-98" w:right="-113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49985,08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Индекс физического объема оборота розничной торговли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ind w:left="-110" w:right="-105"/>
              <w:jc w:val="center"/>
              <w:rPr>
                <w:sz w:val="20"/>
                <w:lang w:eastAsia="en-US"/>
              </w:rPr>
            </w:pPr>
            <w:proofErr w:type="gramStart"/>
            <w:r w:rsidRPr="007F2209">
              <w:rPr>
                <w:sz w:val="20"/>
                <w:lang w:eastAsia="en-US"/>
              </w:rPr>
              <w:t>в</w:t>
            </w:r>
            <w:proofErr w:type="gramEnd"/>
            <w:r w:rsidRPr="007F2209">
              <w:rPr>
                <w:sz w:val="20"/>
                <w:lang w:eastAsia="en-US"/>
              </w:rPr>
              <w:t xml:space="preserve"> % </w:t>
            </w:r>
            <w:proofErr w:type="gramStart"/>
            <w:r w:rsidRPr="007F2209">
              <w:rPr>
                <w:sz w:val="20"/>
                <w:lang w:eastAsia="en-US"/>
              </w:rPr>
              <w:t>к</w:t>
            </w:r>
            <w:proofErr w:type="gramEnd"/>
            <w:r w:rsidRPr="007F2209">
              <w:rPr>
                <w:sz w:val="20"/>
                <w:lang w:eastAsia="en-US"/>
              </w:rPr>
              <w:t xml:space="preserve"> предыдущему году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ind w:left="-98" w:right="-113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102,70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Оборот общественного питания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825,6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ind w:left="-98" w:right="-113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1881,34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Индекс физического объема оборота общественного питания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ind w:left="-110" w:right="-105"/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в % </w:t>
            </w:r>
            <w:proofErr w:type="spellStart"/>
            <w:r w:rsidRPr="007F2209">
              <w:rPr>
                <w:sz w:val="20"/>
                <w:lang w:eastAsia="en-US"/>
              </w:rPr>
              <w:t>кпреды</w:t>
            </w:r>
            <w:r w:rsidR="00535145">
              <w:rPr>
                <w:sz w:val="20"/>
                <w:lang w:eastAsia="en-US"/>
              </w:rPr>
              <w:t>-</w:t>
            </w:r>
            <w:r w:rsidRPr="007F2209">
              <w:rPr>
                <w:sz w:val="20"/>
                <w:lang w:eastAsia="en-US"/>
              </w:rPr>
              <w:t>дущему</w:t>
            </w:r>
            <w:proofErr w:type="spellEnd"/>
            <w:r w:rsidRPr="007F2209">
              <w:rPr>
                <w:sz w:val="20"/>
                <w:lang w:eastAsia="en-US"/>
              </w:rPr>
              <w:t xml:space="preserve"> году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113,8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ind w:left="-98" w:right="-113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106,20</w:t>
            </w:r>
          </w:p>
        </w:tc>
      </w:tr>
      <w:tr w:rsidR="00843B99" w:rsidRPr="007F2209" w:rsidTr="00B24227">
        <w:trPr>
          <w:trHeight w:val="300"/>
        </w:trPr>
        <w:tc>
          <w:tcPr>
            <w:tcW w:w="4118" w:type="dxa"/>
            <w:noWrap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Объем платных услуг населению</w:t>
            </w:r>
          </w:p>
        </w:tc>
        <w:tc>
          <w:tcPr>
            <w:tcW w:w="1419" w:type="dxa"/>
            <w:noWrap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noWrap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10341</w:t>
            </w:r>
          </w:p>
        </w:tc>
        <w:tc>
          <w:tcPr>
            <w:tcW w:w="1418" w:type="dxa"/>
            <w:noWrap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9519,67</w:t>
            </w:r>
          </w:p>
        </w:tc>
        <w:tc>
          <w:tcPr>
            <w:tcW w:w="1275" w:type="dxa"/>
            <w:noWrap/>
            <w:vAlign w:val="center"/>
            <w:hideMark/>
          </w:tcPr>
          <w:p w:rsidR="00843B99" w:rsidRPr="00C06571" w:rsidRDefault="00843B99" w:rsidP="004A3D34">
            <w:pPr>
              <w:ind w:left="-98" w:right="-113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19029,21</w:t>
            </w:r>
          </w:p>
        </w:tc>
      </w:tr>
      <w:tr w:rsidR="00843B99" w:rsidRPr="007F2209" w:rsidTr="00B24227">
        <w:trPr>
          <w:trHeight w:val="315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Индекс физического объема платных услуг населению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ind w:left="-110" w:right="-105"/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% к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преды</w:t>
            </w:r>
            <w:r w:rsidR="00B24227">
              <w:rPr>
                <w:sz w:val="20"/>
                <w:lang w:eastAsia="en-US"/>
              </w:rPr>
              <w:t>-</w:t>
            </w:r>
            <w:r w:rsidRPr="007F2209">
              <w:rPr>
                <w:sz w:val="20"/>
                <w:lang w:eastAsia="en-US"/>
              </w:rPr>
              <w:t>дущему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году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90,38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98" w:right="-113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93,99</w:t>
            </w:r>
          </w:p>
        </w:tc>
      </w:tr>
      <w:tr w:rsidR="00843B99" w:rsidRPr="007F2209" w:rsidTr="00B24227">
        <w:trPr>
          <w:trHeight w:val="259"/>
        </w:trPr>
        <w:tc>
          <w:tcPr>
            <w:tcW w:w="4118" w:type="dxa"/>
            <w:shd w:val="clear" w:color="auto" w:fill="auto"/>
            <w:vAlign w:val="center"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4. Малое и среднее предпринимательство</w:t>
            </w:r>
            <w:r w:rsidRPr="007F2209">
              <w:rPr>
                <w:rStyle w:val="af0"/>
                <w:sz w:val="24"/>
                <w:szCs w:val="24"/>
                <w:lang w:eastAsia="en-US"/>
              </w:rPr>
              <w:footnoteReference w:id="10"/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3B99" w:rsidRPr="007F2209" w:rsidTr="00B24227">
        <w:trPr>
          <w:trHeight w:val="259"/>
        </w:trPr>
        <w:tc>
          <w:tcPr>
            <w:tcW w:w="4118" w:type="dxa"/>
            <w:vAlign w:val="center"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Количество малых предпри</w:t>
            </w:r>
            <w:r w:rsidRPr="007F2209">
              <w:rPr>
                <w:sz w:val="24"/>
                <w:szCs w:val="24"/>
                <w:lang w:eastAsia="en-US"/>
              </w:rPr>
              <w:softHyphen/>
              <w:t>ятий – всего по состоянию на конец года</w:t>
            </w:r>
          </w:p>
        </w:tc>
        <w:tc>
          <w:tcPr>
            <w:tcW w:w="1419" w:type="dxa"/>
            <w:vAlign w:val="center"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единиц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9366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9497</w:t>
            </w:r>
          </w:p>
        </w:tc>
      </w:tr>
      <w:tr w:rsidR="00843B99" w:rsidRPr="007F2209" w:rsidTr="00B24227">
        <w:trPr>
          <w:trHeight w:val="259"/>
        </w:trPr>
        <w:tc>
          <w:tcPr>
            <w:tcW w:w="4118" w:type="dxa"/>
            <w:vAlign w:val="center"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Численность индивидуаль</w:t>
            </w:r>
            <w:r w:rsidRPr="007F2209">
              <w:rPr>
                <w:sz w:val="24"/>
                <w:szCs w:val="24"/>
                <w:lang w:eastAsia="en-US"/>
              </w:rPr>
              <w:softHyphen/>
              <w:t>ных предпри</w:t>
            </w:r>
            <w:r w:rsidRPr="007F2209">
              <w:rPr>
                <w:sz w:val="24"/>
                <w:szCs w:val="24"/>
                <w:lang w:eastAsia="en-US"/>
              </w:rPr>
              <w:softHyphen/>
              <w:t>нимателей - по состоянию на конец года</w:t>
            </w:r>
          </w:p>
        </w:tc>
        <w:tc>
          <w:tcPr>
            <w:tcW w:w="1419" w:type="dxa"/>
            <w:vAlign w:val="center"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человек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7001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7121</w:t>
            </w:r>
          </w:p>
        </w:tc>
      </w:tr>
      <w:tr w:rsidR="00843B99" w:rsidRPr="007F2209" w:rsidTr="00B24227">
        <w:trPr>
          <w:trHeight w:val="259"/>
        </w:trPr>
        <w:tc>
          <w:tcPr>
            <w:tcW w:w="4118" w:type="dxa"/>
            <w:vAlign w:val="center"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Количество средних пред</w:t>
            </w:r>
            <w:r w:rsidRPr="007F2209">
              <w:rPr>
                <w:sz w:val="24"/>
                <w:szCs w:val="24"/>
                <w:lang w:eastAsia="en-US"/>
              </w:rPr>
              <w:softHyphen/>
              <w:t>приятий – всего</w:t>
            </w:r>
          </w:p>
        </w:tc>
        <w:tc>
          <w:tcPr>
            <w:tcW w:w="1419" w:type="dxa"/>
            <w:vAlign w:val="center"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единиц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  <w:r w:rsidRPr="00C06571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843B99" w:rsidRPr="007F2209" w:rsidTr="00B24227">
        <w:trPr>
          <w:trHeight w:val="259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4. Инвестиции и строительство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3B99" w:rsidRPr="007F2209" w:rsidTr="00B24227">
        <w:trPr>
          <w:trHeight w:val="286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Объем инвестиций (в основной капитал) за счет всех источников финансирования – всего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11874,9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17146,00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03" w:right="-110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52229,33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Индекс физического объема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ind w:left="-110" w:right="-105"/>
              <w:jc w:val="center"/>
              <w:rPr>
                <w:sz w:val="20"/>
                <w:lang w:eastAsia="en-US"/>
              </w:rPr>
            </w:pPr>
            <w:proofErr w:type="gramStart"/>
            <w:r w:rsidRPr="007F2209">
              <w:rPr>
                <w:sz w:val="20"/>
                <w:lang w:eastAsia="en-US"/>
              </w:rPr>
              <w:t>в</w:t>
            </w:r>
            <w:proofErr w:type="gramEnd"/>
            <w:r w:rsidRPr="007F2209">
              <w:rPr>
                <w:sz w:val="20"/>
                <w:lang w:eastAsia="en-US"/>
              </w:rPr>
              <w:t xml:space="preserve"> % к аналогичному периоду прошлого года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127,20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03" w:right="-110"/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121,02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lastRenderedPageBreak/>
              <w:t>бюджетные средства</w:t>
            </w:r>
          </w:p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3213,3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3415,06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22374,29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2823,5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3141,69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21410,06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средства бюджета субъекта Федерации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291,9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212,00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698,99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средства муниципального бюджета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61,37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265,24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собственные средства предприятий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3952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6907,91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20869,80</w:t>
            </w:r>
          </w:p>
        </w:tc>
      </w:tr>
      <w:tr w:rsidR="00843B99" w:rsidRPr="00A30B12" w:rsidTr="00B24227">
        <w:trPr>
          <w:trHeight w:val="170"/>
        </w:trPr>
        <w:tc>
          <w:tcPr>
            <w:tcW w:w="4118" w:type="dxa"/>
            <w:vAlign w:val="center"/>
          </w:tcPr>
          <w:p w:rsidR="00843B99" w:rsidRPr="005970EF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5970EF">
              <w:rPr>
                <w:sz w:val="24"/>
                <w:szCs w:val="24"/>
                <w:lang w:eastAsia="en-US"/>
              </w:rPr>
              <w:t xml:space="preserve">Объем выполненных работ по виду деятельности «Строительство» </w:t>
            </w:r>
          </w:p>
        </w:tc>
        <w:tc>
          <w:tcPr>
            <w:tcW w:w="1419" w:type="dxa"/>
            <w:vAlign w:val="center"/>
          </w:tcPr>
          <w:p w:rsidR="00843B99" w:rsidRDefault="00843B99" w:rsidP="004A3D3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proofErr w:type="gramStart"/>
            <w:r>
              <w:rPr>
                <w:color w:val="000000"/>
                <w:sz w:val="20"/>
              </w:rPr>
              <w:t>.р</w:t>
            </w:r>
            <w:proofErr w:type="gramEnd"/>
            <w:r>
              <w:rPr>
                <w:color w:val="000000"/>
                <w:sz w:val="20"/>
              </w:rPr>
              <w:t>ублей в ценах соответствующих лет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388,83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560,3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4089,53</w:t>
            </w:r>
          </w:p>
        </w:tc>
      </w:tr>
      <w:tr w:rsidR="00843B99" w:rsidRPr="00A30B12" w:rsidTr="00B24227">
        <w:trPr>
          <w:trHeight w:val="170"/>
        </w:trPr>
        <w:tc>
          <w:tcPr>
            <w:tcW w:w="4118" w:type="dxa"/>
            <w:vAlign w:val="center"/>
          </w:tcPr>
          <w:p w:rsidR="00843B99" w:rsidRPr="005970EF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5970EF">
              <w:rPr>
                <w:sz w:val="24"/>
                <w:szCs w:val="24"/>
                <w:lang w:eastAsia="en-US"/>
              </w:rPr>
              <w:t>Индекс физического объема</w:t>
            </w:r>
          </w:p>
        </w:tc>
        <w:tc>
          <w:tcPr>
            <w:tcW w:w="1419" w:type="dxa"/>
            <w:vAlign w:val="center"/>
          </w:tcPr>
          <w:p w:rsidR="00843B99" w:rsidRDefault="00843B99" w:rsidP="004A3D3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% к </w:t>
            </w:r>
            <w:proofErr w:type="spellStart"/>
            <w:proofErr w:type="gramStart"/>
            <w:r>
              <w:rPr>
                <w:color w:val="000000"/>
                <w:sz w:val="20"/>
              </w:rPr>
              <w:t>преды</w:t>
            </w:r>
            <w:r w:rsidR="00B24227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дущему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году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140,39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158,15</w:t>
            </w:r>
          </w:p>
        </w:tc>
      </w:tr>
      <w:tr w:rsidR="00843B99" w:rsidRPr="00A30B12" w:rsidTr="00B24227">
        <w:trPr>
          <w:trHeight w:val="170"/>
        </w:trPr>
        <w:tc>
          <w:tcPr>
            <w:tcW w:w="4118" w:type="dxa"/>
            <w:vAlign w:val="center"/>
          </w:tcPr>
          <w:p w:rsidR="00843B99" w:rsidRPr="005970EF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5970EF">
              <w:rPr>
                <w:sz w:val="24"/>
                <w:szCs w:val="24"/>
                <w:lang w:eastAsia="en-US"/>
              </w:rPr>
              <w:t>Индекс-дефлятор</w:t>
            </w:r>
          </w:p>
        </w:tc>
        <w:tc>
          <w:tcPr>
            <w:tcW w:w="1419" w:type="dxa"/>
            <w:vAlign w:val="center"/>
          </w:tcPr>
          <w:p w:rsidR="00843B99" w:rsidRDefault="00843B99" w:rsidP="004A3D3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% к </w:t>
            </w:r>
            <w:proofErr w:type="spellStart"/>
            <w:proofErr w:type="gramStart"/>
            <w:r>
              <w:rPr>
                <w:color w:val="000000"/>
                <w:sz w:val="20"/>
              </w:rPr>
              <w:t>преды</w:t>
            </w:r>
            <w:r w:rsidR="00B24227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дущему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году</w:t>
            </w: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103,62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102,64</w:t>
            </w: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103,31</w:t>
            </w:r>
          </w:p>
        </w:tc>
      </w:tr>
      <w:tr w:rsidR="00843B99" w:rsidRPr="007F2209" w:rsidTr="00B24227">
        <w:trPr>
          <w:trHeight w:val="170"/>
        </w:trPr>
        <w:tc>
          <w:tcPr>
            <w:tcW w:w="4118" w:type="dxa"/>
            <w:vAlign w:val="center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5. Сальдированный финансовый результат (прибыль, убыток) деятельности крупных и средних предприятий</w:t>
            </w:r>
            <w:r w:rsidRPr="007F2209">
              <w:rPr>
                <w:rStyle w:val="af0"/>
                <w:sz w:val="24"/>
                <w:szCs w:val="24"/>
                <w:lang w:eastAsia="en-US"/>
              </w:rPr>
              <w:footnoteReference w:id="11"/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млн. 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15421,40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14195,50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jc w:val="center"/>
              <w:rPr>
                <w:color w:val="000000"/>
                <w:sz w:val="24"/>
                <w:szCs w:val="24"/>
              </w:rPr>
            </w:pPr>
            <w:r w:rsidRPr="00C06571">
              <w:rPr>
                <w:color w:val="000000"/>
                <w:sz w:val="24"/>
                <w:szCs w:val="24"/>
              </w:rPr>
              <w:t>31046,02</w:t>
            </w:r>
          </w:p>
        </w:tc>
      </w:tr>
      <w:tr w:rsidR="00843B99" w:rsidRPr="007F2209" w:rsidTr="00B24227">
        <w:trPr>
          <w:trHeight w:val="244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bCs/>
                <w:sz w:val="24"/>
                <w:szCs w:val="24"/>
                <w:lang w:eastAsia="en-US"/>
              </w:rPr>
            </w:pPr>
            <w:r w:rsidRPr="007F2209">
              <w:rPr>
                <w:bCs/>
                <w:sz w:val="24"/>
                <w:szCs w:val="24"/>
                <w:lang w:eastAsia="en-US"/>
              </w:rPr>
              <w:t>6. Труд и занятость</w:t>
            </w:r>
          </w:p>
        </w:tc>
        <w:tc>
          <w:tcPr>
            <w:tcW w:w="1419" w:type="dxa"/>
          </w:tcPr>
          <w:p w:rsidR="00843B99" w:rsidRPr="007F2209" w:rsidRDefault="00843B99" w:rsidP="004A3D3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Align w:val="center"/>
          </w:tcPr>
          <w:p w:rsidR="00843B99" w:rsidRPr="00C06571" w:rsidRDefault="00843B99" w:rsidP="004A3D34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43B99" w:rsidRPr="00C06571" w:rsidRDefault="00843B99" w:rsidP="004A3D34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843B99" w:rsidRPr="007F2209" w:rsidTr="00B24227">
        <w:trPr>
          <w:trHeight w:val="511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Численность населения в трудоспособном возрасте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тыс. человек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174,11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тыс. человек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1,62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1,40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1,61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Уровень зарегистрированной безработицы (на конец периода)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%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0,92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Среднесписочная численность работников организаций  без внешних совместителей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>тыс. человек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90,30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90,88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89,41</w:t>
            </w:r>
          </w:p>
        </w:tc>
      </w:tr>
      <w:tr w:rsidR="00843B99" w:rsidRPr="007F2209" w:rsidTr="00B24227">
        <w:trPr>
          <w:trHeight w:val="63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Среднемесячная номинальная начисленная заработная плата работников организаций</w:t>
            </w:r>
          </w:p>
        </w:tc>
        <w:tc>
          <w:tcPr>
            <w:tcW w:w="1419" w:type="dxa"/>
            <w:hideMark/>
          </w:tcPr>
          <w:p w:rsidR="00843B99" w:rsidRPr="007F2209" w:rsidRDefault="00843B99" w:rsidP="004A3D34">
            <w:pPr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рублей в ценах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соответству-ющих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лет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val="en-US" w:eastAsia="en-US"/>
              </w:rPr>
              <w:t>5724</w:t>
            </w:r>
            <w:r w:rsidRPr="00C06571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59880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60838</w:t>
            </w:r>
          </w:p>
        </w:tc>
      </w:tr>
      <w:tr w:rsidR="00843B99" w:rsidRPr="007F2209" w:rsidTr="00B24227">
        <w:trPr>
          <w:trHeight w:val="630"/>
        </w:trPr>
        <w:tc>
          <w:tcPr>
            <w:tcW w:w="4118" w:type="dxa"/>
            <w:hideMark/>
          </w:tcPr>
          <w:p w:rsidR="00843B99" w:rsidRPr="007F2209" w:rsidRDefault="00843B99" w:rsidP="004A3D34">
            <w:pPr>
              <w:rPr>
                <w:sz w:val="24"/>
                <w:szCs w:val="24"/>
                <w:lang w:eastAsia="en-US"/>
              </w:rPr>
            </w:pPr>
            <w:r w:rsidRPr="007F2209">
              <w:rPr>
                <w:sz w:val="24"/>
                <w:szCs w:val="24"/>
                <w:lang w:eastAsia="en-US"/>
              </w:rPr>
              <w:t>Среднемесячная реальная заработная плата работников организаций</w:t>
            </w:r>
          </w:p>
        </w:tc>
        <w:tc>
          <w:tcPr>
            <w:tcW w:w="1419" w:type="dxa"/>
            <w:vAlign w:val="center"/>
            <w:hideMark/>
          </w:tcPr>
          <w:p w:rsidR="00843B99" w:rsidRPr="007F2209" w:rsidRDefault="00843B99" w:rsidP="004A3D34">
            <w:pPr>
              <w:ind w:left="-110" w:right="-105"/>
              <w:jc w:val="center"/>
              <w:rPr>
                <w:sz w:val="20"/>
                <w:lang w:eastAsia="en-US"/>
              </w:rPr>
            </w:pPr>
            <w:r w:rsidRPr="007F2209">
              <w:rPr>
                <w:sz w:val="20"/>
                <w:lang w:eastAsia="en-US"/>
              </w:rPr>
              <w:t xml:space="preserve">в % </w:t>
            </w:r>
            <w:proofErr w:type="spellStart"/>
            <w:proofErr w:type="gramStart"/>
            <w:r w:rsidRPr="007F2209">
              <w:rPr>
                <w:sz w:val="20"/>
                <w:lang w:eastAsia="en-US"/>
              </w:rPr>
              <w:t>предыду-щему</w:t>
            </w:r>
            <w:proofErr w:type="spellEnd"/>
            <w:proofErr w:type="gramEnd"/>
            <w:r w:rsidRPr="007F2209">
              <w:rPr>
                <w:sz w:val="20"/>
                <w:lang w:eastAsia="en-US"/>
              </w:rPr>
              <w:t xml:space="preserve"> периоду</w:t>
            </w:r>
          </w:p>
        </w:tc>
        <w:tc>
          <w:tcPr>
            <w:tcW w:w="1414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99,6</w:t>
            </w:r>
          </w:p>
        </w:tc>
        <w:tc>
          <w:tcPr>
            <w:tcW w:w="1418" w:type="dxa"/>
            <w:vAlign w:val="center"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1275" w:type="dxa"/>
            <w:vAlign w:val="center"/>
            <w:hideMark/>
          </w:tcPr>
          <w:p w:rsidR="00843B99" w:rsidRPr="00C06571" w:rsidRDefault="00843B99" w:rsidP="004A3D34">
            <w:pPr>
              <w:ind w:left="-111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06571">
              <w:rPr>
                <w:color w:val="000000"/>
                <w:sz w:val="24"/>
                <w:szCs w:val="24"/>
                <w:lang w:eastAsia="en-US"/>
              </w:rPr>
              <w:t>101,6</w:t>
            </w:r>
          </w:p>
        </w:tc>
      </w:tr>
    </w:tbl>
    <w:p w:rsidR="00843B99" w:rsidRPr="001A67BC" w:rsidRDefault="00843B99" w:rsidP="00843B99">
      <w:pPr>
        <w:ind w:firstLine="709"/>
        <w:jc w:val="both"/>
        <w:rPr>
          <w:sz w:val="16"/>
          <w:szCs w:val="16"/>
        </w:rPr>
      </w:pPr>
    </w:p>
    <w:p w:rsidR="00843B99" w:rsidRPr="001A67BC" w:rsidRDefault="00843B99" w:rsidP="00843B99">
      <w:pPr>
        <w:ind w:firstLine="709"/>
        <w:jc w:val="both"/>
        <w:rPr>
          <w:sz w:val="26"/>
          <w:szCs w:val="26"/>
          <w:highlight w:val="yellow"/>
        </w:rPr>
      </w:pPr>
      <w:r w:rsidRPr="001A67BC">
        <w:rPr>
          <w:sz w:val="26"/>
          <w:szCs w:val="26"/>
        </w:rPr>
        <w:t>Пояснения к предварительным итогам социально-экономического развития муниципального образования город Мурманск за первое полугодие 2017 года и ожидаемым итогам социально-экономического развития за 2017 год приведены в приложении.</w:t>
      </w:r>
    </w:p>
    <w:p w:rsidR="00843B99" w:rsidRPr="001A67BC" w:rsidRDefault="00843B99" w:rsidP="00843B99">
      <w:pPr>
        <w:ind w:firstLine="709"/>
        <w:jc w:val="both"/>
        <w:rPr>
          <w:sz w:val="26"/>
          <w:szCs w:val="26"/>
          <w:highlight w:val="yellow"/>
        </w:rPr>
        <w:sectPr w:rsidR="00843B99" w:rsidRPr="001A67BC" w:rsidSect="00784BED">
          <w:headerReference w:type="default" r:id="rId19"/>
          <w:pgSz w:w="11906" w:h="16838"/>
          <w:pgMar w:top="851" w:right="851" w:bottom="680" w:left="1418" w:header="709" w:footer="709" w:gutter="0"/>
          <w:cols w:space="708"/>
          <w:docGrid w:linePitch="381"/>
        </w:sectPr>
      </w:pPr>
    </w:p>
    <w:tbl>
      <w:tblPr>
        <w:tblW w:w="0" w:type="auto"/>
        <w:tblLook w:val="04A0"/>
      </w:tblPr>
      <w:tblGrid>
        <w:gridCol w:w="4566"/>
        <w:gridCol w:w="5287"/>
      </w:tblGrid>
      <w:tr w:rsidR="00843B99" w:rsidRPr="00165C07" w:rsidTr="004A3D34">
        <w:tc>
          <w:tcPr>
            <w:tcW w:w="4566" w:type="dxa"/>
            <w:shd w:val="clear" w:color="auto" w:fill="auto"/>
          </w:tcPr>
          <w:p w:rsidR="00843B99" w:rsidRPr="00555E0B" w:rsidRDefault="00843B99" w:rsidP="004A3D34">
            <w:pPr>
              <w:jc w:val="right"/>
              <w:rPr>
                <w:szCs w:val="28"/>
              </w:rPr>
            </w:pPr>
          </w:p>
        </w:tc>
        <w:tc>
          <w:tcPr>
            <w:tcW w:w="5287" w:type="dxa"/>
            <w:shd w:val="clear" w:color="auto" w:fill="auto"/>
          </w:tcPr>
          <w:p w:rsidR="00843B99" w:rsidRPr="00555E0B" w:rsidRDefault="00843B99" w:rsidP="004A3D34">
            <w:pPr>
              <w:jc w:val="center"/>
              <w:rPr>
                <w:szCs w:val="28"/>
              </w:rPr>
            </w:pPr>
            <w:r w:rsidRPr="00555E0B">
              <w:rPr>
                <w:szCs w:val="28"/>
              </w:rPr>
              <w:t xml:space="preserve">Приложение </w:t>
            </w:r>
          </w:p>
          <w:p w:rsidR="00843B99" w:rsidRPr="00555E0B" w:rsidRDefault="00843B99" w:rsidP="004A3D34">
            <w:pPr>
              <w:jc w:val="center"/>
              <w:rPr>
                <w:szCs w:val="28"/>
              </w:rPr>
            </w:pPr>
            <w:r w:rsidRPr="00555E0B">
              <w:rPr>
                <w:szCs w:val="28"/>
              </w:rPr>
              <w:t xml:space="preserve">к </w:t>
            </w:r>
            <w:r w:rsidRPr="00555E0B">
              <w:t>предварительным итогам социально-экономического развития муниципального образования город Мурманск за первое полугодие 2017 года и ожидаемым итогам социально-экономического развития за 2017 год</w:t>
            </w:r>
          </w:p>
        </w:tc>
      </w:tr>
    </w:tbl>
    <w:p w:rsidR="00843B99" w:rsidRPr="00165C07" w:rsidRDefault="00843B99" w:rsidP="00843B99">
      <w:pPr>
        <w:widowControl w:val="0"/>
        <w:jc w:val="center"/>
        <w:outlineLvl w:val="0"/>
        <w:rPr>
          <w:bCs/>
          <w:szCs w:val="28"/>
          <w:highlight w:val="yellow"/>
        </w:rPr>
      </w:pPr>
    </w:p>
    <w:p w:rsidR="00843B99" w:rsidRPr="00165C07" w:rsidRDefault="00843B99" w:rsidP="00843B99">
      <w:pPr>
        <w:widowControl w:val="0"/>
        <w:jc w:val="center"/>
        <w:outlineLvl w:val="0"/>
        <w:rPr>
          <w:bCs/>
          <w:szCs w:val="28"/>
          <w:highlight w:val="yellow"/>
        </w:rPr>
      </w:pPr>
    </w:p>
    <w:p w:rsidR="00843B99" w:rsidRPr="005F37B8" w:rsidRDefault="00843B99" w:rsidP="00843B99">
      <w:pPr>
        <w:widowControl w:val="0"/>
        <w:jc w:val="center"/>
        <w:outlineLvl w:val="0"/>
        <w:rPr>
          <w:bCs/>
          <w:szCs w:val="28"/>
        </w:rPr>
      </w:pPr>
      <w:r w:rsidRPr="005F37B8">
        <w:rPr>
          <w:bCs/>
          <w:szCs w:val="28"/>
        </w:rPr>
        <w:t>Пояснительная записка к предварительным итогам социально-экономического развития муниципального образования город Мурманск за первое полугодие 2017 года и ожидаемым итогам социально-экономического развития за 2017 год</w:t>
      </w:r>
    </w:p>
    <w:p w:rsidR="00843B99" w:rsidRPr="007F2209" w:rsidRDefault="00843B99" w:rsidP="000816A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Демографические показатели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 xml:space="preserve">Динамика показателей естественного движения населения города Мурманска в первом полугодии 2017 года к соответствующему периоду 2016 года характеризуется снижением как числа родившихся, так и числа умерших. В январе-июне текущего года родилось 1576 человек – на 206 человек меньше, чем в аналогичном периоде 2016 года, а умерло 1751 человек – на 38 человек меньше. Таким образом, коэффициент рождаемости уменьшился с 11,9 до 10,7 </w:t>
      </w:r>
      <w:proofErr w:type="gramStart"/>
      <w:r w:rsidRPr="007F2209">
        <w:rPr>
          <w:szCs w:val="24"/>
        </w:rPr>
        <w:t>родившихся</w:t>
      </w:r>
      <w:proofErr w:type="gramEnd"/>
      <w:r w:rsidRPr="007F2209">
        <w:rPr>
          <w:szCs w:val="24"/>
        </w:rPr>
        <w:t xml:space="preserve"> на 1000 населения. Снижение рождаемости обусловило естественную убыль населения в размере 1,1 человека на 1000 населения (в январе-июне 2016 года естественное движение отсутствовало). 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>Ожидается, что по итогам года родится на 341 человека меньше, чем в 2016 году. Коэффициент рождаемости предположительно составит 10,64 человека на 1000 населения, коэффициент смертности – 11,82 человека на 1000 нас</w:t>
      </w:r>
      <w:r w:rsidR="00502F25">
        <w:rPr>
          <w:szCs w:val="24"/>
        </w:rPr>
        <w:t xml:space="preserve">еления. Коэффициент естественнойубыли предположительно составит </w:t>
      </w:r>
      <w:r w:rsidRPr="007F2209">
        <w:rPr>
          <w:szCs w:val="24"/>
        </w:rPr>
        <w:t xml:space="preserve">1,18 на 1000 населения. 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 xml:space="preserve">Основной и наиболее существенной причиной сокращения населения города Мурманска остается миграционный отток. Динамика механического движения населения характеризуется постепенным уменьшением количества </w:t>
      </w:r>
      <w:proofErr w:type="gramStart"/>
      <w:r w:rsidRPr="007F2209">
        <w:rPr>
          <w:szCs w:val="24"/>
        </w:rPr>
        <w:t>выбывших</w:t>
      </w:r>
      <w:proofErr w:type="gramEnd"/>
      <w:r w:rsidRPr="007F2209">
        <w:rPr>
          <w:szCs w:val="24"/>
        </w:rPr>
        <w:t xml:space="preserve"> и увеличением количества прибывших, что обуславливает некоторое снижение показателя миграционной убыли населения. 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>Так, в первом полугодии текущего года количество прибывших увеличилось на 232 человека или на 5,2% по сравнению с аналогичным периодом 2016 года, при этом количество выбывших сократилось на 163 человека или 3,1%. По итогам 2017 года коэффициент миграционно</w:t>
      </w:r>
      <w:r w:rsidR="00421483">
        <w:rPr>
          <w:szCs w:val="24"/>
        </w:rPr>
        <w:t xml:space="preserve">йубыли предположительно составит </w:t>
      </w:r>
      <w:r w:rsidRPr="007F2209">
        <w:rPr>
          <w:szCs w:val="24"/>
        </w:rPr>
        <w:t>11,0 человек на 1000 населения.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>Ожидается, что в 2017 году среднегодовое значение численности населения города Мурманска сократится на 3542 человека или на 1,2% к предыдущему году и составит296,3 тыс. человек.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>
        <w:rPr>
          <w:szCs w:val="24"/>
        </w:rPr>
        <w:t>На улучшение демографической</w:t>
      </w:r>
      <w:r w:rsidRPr="007F2209">
        <w:rPr>
          <w:szCs w:val="24"/>
        </w:rPr>
        <w:t xml:space="preserve"> ситуации в городе и развитие человеческого потенциала направлены муниципальные программы города Мурманска в сфере образования, социальной поддержки, градостроительной политики, культуры и т.д., в рамках которых обеспечивается поддержка </w:t>
      </w:r>
      <w:r w:rsidRPr="007F2209">
        <w:rPr>
          <w:szCs w:val="24"/>
        </w:rPr>
        <w:lastRenderedPageBreak/>
        <w:t>молодых и многодетных семей, защита социально уязвимых категорий граждан, развитие семейных форм устройства детей, повышение уровня благоустройства городской среды и пр.</w:t>
      </w:r>
    </w:p>
    <w:p w:rsidR="00843B99" w:rsidRPr="007F2209" w:rsidRDefault="00843B99" w:rsidP="000816A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Производство товаров и услуг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В сфере промышленного производства на фоне значительного спада в 2016 году в первом полугодии 2017 года отмечен рост производственных показателей к аналогичному периоду предыдущего года. Объем отгруженной продукции предприятий рыболовства, рыбоводства в действующих ценах увеличился в 23 раза, индекс промышленного производства обрабатывающей промышленности с учетом среднеобластных дефляторов по отдельным видам экономической деятельности оценочно составил 123,15%, в том числе в производстве пищевых продуктов – 113,0% за счет </w:t>
      </w:r>
      <w:proofErr w:type="spellStart"/>
      <w:r w:rsidRPr="007F2209">
        <w:t>рыбопереработки</w:t>
      </w:r>
      <w:proofErr w:type="spellEnd"/>
      <w:r w:rsidRPr="007F2209">
        <w:t xml:space="preserve"> (113,7%), мясной промышленности (107,12%), хлебопекарной (111,52%), производства продуктов мукомольной и крупяной промышленности, крахмала и крахмалосодержащих продуктов (139,66%); в производстве прочих транспортных средств и оборудования – 260,9%, ремонте и монтаже машин и оборудования – 124%. 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Отмечен рост объема отгруженной продукции мукомольной и крупяной промышленности, крахмала и крахмалосодержащих продуктов до 5,7 млн. рублей (127,5%), производства транспортных средств и оборудования до 1050,87 млн. рублей (298,9%), ремонта и монтажа машин и оборудования до 1614,87 млн. рублей (136,9%). 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В натуральном выражении увеличился выпуск мясных полуфабрикатов (197,7%), </w:t>
      </w:r>
      <w:proofErr w:type="gramStart"/>
      <w:r w:rsidRPr="007F2209">
        <w:t>переработанной</w:t>
      </w:r>
      <w:proofErr w:type="gramEnd"/>
      <w:r w:rsidRPr="007F2209">
        <w:t xml:space="preserve"> и консервированный рыбопродукции (113,1%), мучных кондитерских изделий (130,4%).</w:t>
      </w:r>
    </w:p>
    <w:p w:rsidR="00843B99" w:rsidRPr="007F2209" w:rsidRDefault="00843B99" w:rsidP="000816A4">
      <w:pPr>
        <w:ind w:firstLine="709"/>
        <w:jc w:val="both"/>
      </w:pPr>
      <w:r w:rsidRPr="007F2209">
        <w:t>Также отмечен рост производственных показателей с учетом среднеобластных дефляторов в следующих сферах обрабатывающей промышленности:</w:t>
      </w:r>
    </w:p>
    <w:p w:rsidR="00843B99" w:rsidRPr="007F2209" w:rsidRDefault="00843B99" w:rsidP="000816A4">
      <w:pPr>
        <w:pStyle w:val="a7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2209">
        <w:rPr>
          <w:sz w:val="28"/>
          <w:szCs w:val="28"/>
        </w:rPr>
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– рост в 2,5 раза с учетом ввода в эксплуатацию в 2016 году нового производства мебели </w:t>
      </w:r>
      <w:r w:rsidR="00535145">
        <w:rPr>
          <w:sz w:val="28"/>
          <w:szCs w:val="28"/>
        </w:rPr>
        <w:t>напроезде</w:t>
      </w:r>
      <w:r w:rsidR="00D44A8A">
        <w:rPr>
          <w:sz w:val="28"/>
          <w:szCs w:val="28"/>
        </w:rPr>
        <w:t xml:space="preserve">Михаила </w:t>
      </w:r>
      <w:r w:rsidRPr="007F2209">
        <w:rPr>
          <w:sz w:val="28"/>
          <w:szCs w:val="28"/>
        </w:rPr>
        <w:t>Ивченко, 8 площадью 5,2 тыс. кв</w:t>
      </w:r>
      <w:proofErr w:type="gramStart"/>
      <w:r w:rsidRPr="007F2209">
        <w:rPr>
          <w:sz w:val="28"/>
          <w:szCs w:val="28"/>
        </w:rPr>
        <w:t>.м</w:t>
      </w:r>
      <w:proofErr w:type="gramEnd"/>
      <w:r w:rsidRPr="007F2209">
        <w:rPr>
          <w:sz w:val="28"/>
          <w:szCs w:val="28"/>
        </w:rPr>
        <w:t>;</w:t>
      </w:r>
    </w:p>
    <w:p w:rsidR="00843B99" w:rsidRPr="007F2209" w:rsidRDefault="00843B99" w:rsidP="000816A4">
      <w:pPr>
        <w:pStyle w:val="a7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2209">
        <w:rPr>
          <w:sz w:val="28"/>
          <w:szCs w:val="28"/>
        </w:rPr>
        <w:t>производство бумаги и бумажных изделий – 102,7%, рост выпуска бумажной тары в натуральном выражении составил 105%;</w:t>
      </w:r>
    </w:p>
    <w:p w:rsidR="00843B99" w:rsidRPr="007F2209" w:rsidRDefault="00843B99" w:rsidP="000816A4">
      <w:pPr>
        <w:pStyle w:val="a7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2209">
        <w:rPr>
          <w:sz w:val="28"/>
          <w:szCs w:val="28"/>
        </w:rPr>
        <w:t>металлургическое производство – 107,85% с учетом ввода в эксплуатацию в 2016 году нового цеха по производству металлоконструкций площадью 2,4 тыс. кв</w:t>
      </w:r>
      <w:proofErr w:type="gramStart"/>
      <w:r w:rsidRPr="007F2209">
        <w:rPr>
          <w:sz w:val="28"/>
          <w:szCs w:val="28"/>
        </w:rPr>
        <w:t>.м</w:t>
      </w:r>
      <w:proofErr w:type="gramEnd"/>
      <w:r w:rsidRPr="007F2209">
        <w:rPr>
          <w:sz w:val="28"/>
          <w:szCs w:val="28"/>
        </w:rPr>
        <w:t>;</w:t>
      </w:r>
    </w:p>
    <w:p w:rsidR="00843B99" w:rsidRPr="007F2209" w:rsidRDefault="00843B99" w:rsidP="000816A4">
      <w:pPr>
        <w:pStyle w:val="a7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2209">
        <w:rPr>
          <w:sz w:val="28"/>
          <w:szCs w:val="28"/>
        </w:rPr>
        <w:t>производство готовых металлических изделий, кроме машин и оборудования – 104,75%;</w:t>
      </w:r>
    </w:p>
    <w:p w:rsidR="00843B99" w:rsidRPr="007F2209" w:rsidRDefault="00843B99" w:rsidP="000816A4">
      <w:pPr>
        <w:pStyle w:val="a7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2209">
        <w:rPr>
          <w:sz w:val="28"/>
          <w:szCs w:val="28"/>
        </w:rPr>
        <w:t>производство прочих готовых изделий – рост в 2 раза.</w:t>
      </w:r>
    </w:p>
    <w:p w:rsidR="00843B99" w:rsidRPr="007F2209" w:rsidRDefault="00843B99" w:rsidP="000816A4">
      <w:pPr>
        <w:ind w:firstLine="709"/>
        <w:jc w:val="both"/>
      </w:pPr>
      <w:proofErr w:type="gramStart"/>
      <w:r w:rsidRPr="007F2209">
        <w:t xml:space="preserve">По итогам 2017 года ожидается замедление индексов промышленного производства, в том числе в пищевой промышленности до 106%, в судоремонтной до 107,1%, которое обеспечит рост промышленного </w:t>
      </w:r>
      <w:r w:rsidRPr="007F2209">
        <w:lastRenderedPageBreak/>
        <w:t>производства обрабатывающей промышленности по оценочным данным в размере 105,5% к 2016 году.</w:t>
      </w:r>
      <w:proofErr w:type="gramEnd"/>
    </w:p>
    <w:p w:rsidR="00843B99" w:rsidRPr="007F2209" w:rsidRDefault="00843B99" w:rsidP="000816A4">
      <w:pPr>
        <w:ind w:firstLine="709"/>
        <w:jc w:val="both"/>
      </w:pPr>
      <w:r w:rsidRPr="007F2209">
        <w:t xml:space="preserve">Индекс производства по виду деятельности «Обеспечение электрической энергией, газом и паром; кондиционирование воздуха» с учетом </w:t>
      </w:r>
      <w:proofErr w:type="spellStart"/>
      <w:r w:rsidRPr="007F2209">
        <w:t>среднеобластного</w:t>
      </w:r>
      <w:proofErr w:type="spellEnd"/>
      <w:r w:rsidRPr="007F2209">
        <w:t xml:space="preserve"> индекса-дефлятора по данному виду экономической деятельности оценочно составил 101,82%. В феврале 2017 года введена в эксплуатацию блочная комплектная трансформаторная подстанция ПАО «ГМК «Норильский Никель» по проезду Портов</w:t>
      </w:r>
      <w:r w:rsidR="00D44A8A">
        <w:t>ому</w:t>
      </w:r>
      <w:r w:rsidRPr="007F2209">
        <w:t xml:space="preserve">. Объем производства пара и горячей воды в натуральном выражении сократился до 1592,1 тыс. Гкал, составив 97,8% к уровню первого полугодия 2016 года. Отмечен значительный рост численности работников на предприятиях обеспечения электрической энергией, газом и паром, кондиционирования воздуха на 14,3% до 3963 человек по итогам первого полугодия 2017 года. </w:t>
      </w:r>
      <w:proofErr w:type="gramStart"/>
      <w:r w:rsidRPr="007F2209">
        <w:t>На конец</w:t>
      </w:r>
      <w:proofErr w:type="gramEnd"/>
      <w:r w:rsidRPr="007F2209">
        <w:t xml:space="preserve"> 2017 года с учетом ожидаемого замедления роста промышленного производства индекс промышленного производства оценочно составит 100,8%.</w:t>
      </w:r>
    </w:p>
    <w:p w:rsidR="00843B99" w:rsidRPr="007F2209" w:rsidRDefault="00843B99" w:rsidP="000816A4">
      <w:pPr>
        <w:ind w:firstLine="709"/>
        <w:jc w:val="both"/>
      </w:pPr>
      <w:r w:rsidRPr="007F2209">
        <w:t>Объем промышленного производства по виду деятельности «Водоснабжение; водоотведение, организация сбора и утилизации отходов, деятельность по ликвидации загрязнений» с учетом среднеобластных индексов-дефляторов по классам данного вида экономической деятельности оценочно составил 95,2% в связи с низким показателем по классу «Сбор, обработка и утилизация отходов; обработка вторичного сырья» (86,7%). В 2017 году по итогам трех месяцев сократился объем отпущенной воды (холодной до 93% к аналогичному периоду прошлого года, горячей до 92%) и пропущенных сточных вод (83,3%). Также отмечено снижение численности работников в сфере водоснабжения; водоотведения, организации сбора и утилизации отходов, деятельности по ликвидации загрязнений до 1951 человек</w:t>
      </w:r>
      <w:r w:rsidR="00D44A8A">
        <w:t>а</w:t>
      </w:r>
      <w:r w:rsidRPr="007F2209">
        <w:t xml:space="preserve"> (97,9% к первому полугодию 2016 года). С учетом сложившихся результатов по итогам первого полугодия к концу 2017 года индекс промышленного производства оценочно составит 96,68%.</w:t>
      </w:r>
    </w:p>
    <w:p w:rsidR="00843B99" w:rsidRPr="007F2209" w:rsidRDefault="00843B99" w:rsidP="000816A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Рынок товаров и услуг</w:t>
      </w:r>
    </w:p>
    <w:p w:rsidR="00843B99" w:rsidRPr="007F2209" w:rsidRDefault="00843B99" w:rsidP="000816A4">
      <w:pPr>
        <w:ind w:firstLine="709"/>
        <w:jc w:val="both"/>
        <w:rPr>
          <w:szCs w:val="28"/>
        </w:rPr>
      </w:pPr>
      <w:proofErr w:type="gramStart"/>
      <w:r w:rsidRPr="007F2209">
        <w:rPr>
          <w:szCs w:val="28"/>
        </w:rPr>
        <w:t>На потребительском рынке города Мурманска в первом полугодии 2017 года в условиях замедления снижения реальной заработной платы до 99,8% с 99,2% в аналогичном периоде 2016 года, снижения средневзвешенной процентной ставки по рублевым кредитам физическим лицам, которая в июне 2017 года оценивалась в 15,9%, сократившись</w:t>
      </w:r>
      <w:r w:rsidR="00D44A8A">
        <w:rPr>
          <w:szCs w:val="28"/>
        </w:rPr>
        <w:t xml:space="preserve"> с начала отчетного года на 0,1%</w:t>
      </w:r>
      <w:r w:rsidRPr="007F2209">
        <w:rPr>
          <w:szCs w:val="28"/>
        </w:rPr>
        <w:t>, отмечено заметное увеличение кредитной активности физических лиц по сравнению с</w:t>
      </w:r>
      <w:proofErr w:type="gramEnd"/>
      <w:r w:rsidRPr="007F2209">
        <w:rPr>
          <w:szCs w:val="28"/>
        </w:rPr>
        <w:t xml:space="preserve"> </w:t>
      </w:r>
      <w:proofErr w:type="gramStart"/>
      <w:r w:rsidRPr="007F2209">
        <w:rPr>
          <w:szCs w:val="28"/>
        </w:rPr>
        <w:t xml:space="preserve">аналогичным периодом 2016 года (рост выдачи на 18,0%). </w:t>
      </w:r>
      <w:proofErr w:type="gramEnd"/>
    </w:p>
    <w:p w:rsidR="00843B99" w:rsidRPr="007F2209" w:rsidRDefault="00843B99" w:rsidP="000816A4">
      <w:pPr>
        <w:ind w:firstLine="709"/>
        <w:jc w:val="both"/>
      </w:pPr>
      <w:proofErr w:type="gramStart"/>
      <w:r w:rsidRPr="007F2209">
        <w:rPr>
          <w:szCs w:val="28"/>
        </w:rPr>
        <w:t xml:space="preserve">Снижение процентных ставок по кредитам и вкладам обеспечило сокращение платы за пользование потребительским кредитом (процентная </w:t>
      </w:r>
      <w:r w:rsidRPr="007F2209">
        <w:t>ставка в стоимостном выражении) в среднем до 19619,52 руб. (84,92% к июню 2016 года), что составляет треть средней заработной платы по городу Мурманску, замедление прироста по вкладам физлиц (74,7%), общая сумма которых на 01.07.2017 составила 101,1% к первому полугодию 2016 года, и рост потребительских расходов</w:t>
      </w:r>
      <w:proofErr w:type="gramEnd"/>
      <w:r w:rsidRPr="007F2209">
        <w:t xml:space="preserve"> </w:t>
      </w:r>
      <w:proofErr w:type="gramStart"/>
      <w:r w:rsidRPr="007F2209">
        <w:t xml:space="preserve">населения (104,2%), в т.ч. платежей за товары с </w:t>
      </w:r>
      <w:r w:rsidRPr="007F2209">
        <w:lastRenderedPageBreak/>
        <w:t>использованием банковских карт за рубежом</w:t>
      </w:r>
      <w:proofErr w:type="gramEnd"/>
      <w:r w:rsidRPr="007F2209">
        <w:t xml:space="preserve"> (123,5%), доля которых в общем объеме потребительских расходов возросла с 2,5% до 3%. В целом отмечен рост количества операций с использованием платежных карт в январе-июне 2017, составивший 110,6% к аналогичному периоду предыдущего года. Их объем в стоимостном выражении составил 103,7% к первому полугодию 2016 года. При этом число транзакций и объем операций, совершенных с использований платежных карт по оплате товаров и услуг, увеличились на 14,1% и 14,4% соответственно. Количество и объем операций по получению наличных денег с использованием платежных карт, напротив, снизились на 5,1% и 2,3%.</w:t>
      </w:r>
    </w:p>
    <w:p w:rsidR="00843B99" w:rsidRPr="007F2209" w:rsidRDefault="00843B99" w:rsidP="000816A4">
      <w:pPr>
        <w:ind w:firstLine="709"/>
        <w:jc w:val="both"/>
        <w:rPr>
          <w:color w:val="000000"/>
        </w:rPr>
      </w:pPr>
      <w:r w:rsidRPr="007F2209">
        <w:t xml:space="preserve">Перечисленные факторы наряду со снижением индекса потребительских цен на товары и услуги до 104,9% по сравнению с аналогичным периодом 2016 года (108,1%) за счет непродовольственных товаров (до 107,3% с 111,6%) и платных услуг (до 101,9% с 108%) обусловили рост в первом полугодии </w:t>
      </w:r>
      <w:r w:rsidRPr="007F2209">
        <w:rPr>
          <w:color w:val="000000"/>
        </w:rPr>
        <w:t>в сопоставимых ценах оборота розничной торговли (104%) и общественного питания (111%)</w:t>
      </w:r>
      <w:r w:rsidRPr="007F2209">
        <w:t xml:space="preserve">. </w:t>
      </w:r>
    </w:p>
    <w:p w:rsidR="00843B99" w:rsidRPr="007F2209" w:rsidRDefault="00843B99" w:rsidP="000816A4">
      <w:pPr>
        <w:ind w:firstLine="709"/>
        <w:jc w:val="both"/>
        <w:rPr>
          <w:color w:val="000000"/>
        </w:rPr>
      </w:pPr>
      <w:r w:rsidRPr="007F2209">
        <w:rPr>
          <w:color w:val="000000"/>
        </w:rPr>
        <w:t xml:space="preserve">Общий объем платных услуг населению сократился до 9,5 млрд. рублей (92,1% в действующих ценах), в том числе коммунальных – до 3,7 млрд. рублей (85,1%), жилищных – до 235,1 млн. рублей (93,8%). Отмечено значительное сокращение в действующих ценах услуг учреждений культуры (в 3 раза), услуг почтовой </w:t>
      </w:r>
      <w:proofErr w:type="spellStart"/>
      <w:proofErr w:type="gramStart"/>
      <w:r w:rsidRPr="007F2209">
        <w:rPr>
          <w:color w:val="000000"/>
        </w:rPr>
        <w:t>c</w:t>
      </w:r>
      <w:proofErr w:type="gramEnd"/>
      <w:r w:rsidRPr="007F2209">
        <w:rPr>
          <w:color w:val="000000"/>
        </w:rPr>
        <w:t>вязи</w:t>
      </w:r>
      <w:proofErr w:type="spellEnd"/>
      <w:r w:rsidRPr="007F2209">
        <w:rPr>
          <w:color w:val="000000"/>
        </w:rPr>
        <w:t xml:space="preserve"> и курьерских услуг (в 4 раза), бытовых услуг (в 2 раза), главным образом, по техническому обслуживанию и ремонту транспортных средств, машин и оборудования (в 5 раз). Снижение отмечено по </w:t>
      </w:r>
      <w:r w:rsidRPr="007F2209">
        <w:t>услугам гостиниц и аналогичных средств размещения</w:t>
      </w:r>
      <w:r w:rsidRPr="007F2209">
        <w:rPr>
          <w:color w:val="000000"/>
        </w:rPr>
        <w:t xml:space="preserve"> (94,2%), медицинским (94,3%) и образовательным (89,4%) услугам. </w:t>
      </w:r>
    </w:p>
    <w:p w:rsidR="00843B99" w:rsidRPr="007F2209" w:rsidRDefault="00843B99" w:rsidP="000816A4">
      <w:pPr>
        <w:ind w:firstLine="709"/>
        <w:jc w:val="both"/>
        <w:rPr>
          <w:color w:val="000000"/>
        </w:rPr>
      </w:pPr>
      <w:r w:rsidRPr="007F2209">
        <w:rPr>
          <w:color w:val="000000"/>
        </w:rPr>
        <w:t xml:space="preserve">Рост платных услуг населению в действующих ценах коснулся транспортных услуг (105,8%) на фоне увеличения </w:t>
      </w:r>
      <w:r w:rsidRPr="007F2209">
        <w:t>числа перевезенных пассажиров автобусного транспорта (104,6%)</w:t>
      </w:r>
      <w:r w:rsidRPr="007F2209">
        <w:rPr>
          <w:color w:val="000000"/>
        </w:rPr>
        <w:t xml:space="preserve">, телекоммуникационных услуг (112%) с развитием электронной торговли, среди бытовых услуг - ремонта и технического обслуживания бытовой радиоэлектронной аппаратуры, бытовых машин и приборов, ремонта и изготовления металлоизделий (129%), </w:t>
      </w:r>
      <w:r w:rsidRPr="007F2209">
        <w:t>услуги бань, душевых и саун</w:t>
      </w:r>
      <w:r w:rsidRPr="007F2209">
        <w:rPr>
          <w:color w:val="000000"/>
        </w:rPr>
        <w:t xml:space="preserve"> (110,6%), ритуальных услуг (144,6%).</w:t>
      </w:r>
    </w:p>
    <w:p w:rsidR="00843B99" w:rsidRPr="007F2209" w:rsidRDefault="00843B99" w:rsidP="000816A4">
      <w:pPr>
        <w:ind w:firstLine="709"/>
        <w:jc w:val="both"/>
        <w:rPr>
          <w:color w:val="000000"/>
        </w:rPr>
      </w:pPr>
      <w:r w:rsidRPr="007F2209">
        <w:rPr>
          <w:color w:val="000000"/>
        </w:rPr>
        <w:t xml:space="preserve">Сохраняется тенденция </w:t>
      </w:r>
      <w:r w:rsidRPr="007F2209">
        <w:rPr>
          <w:szCs w:val="28"/>
        </w:rPr>
        <w:t xml:space="preserve">роста обеспеченности населения торговыми площадями. С начала года за </w:t>
      </w:r>
      <w:r w:rsidRPr="007F2209">
        <w:t>счет нового строительства введена 1 тыс. кв</w:t>
      </w:r>
      <w:proofErr w:type="gramStart"/>
      <w:r w:rsidRPr="007F2209">
        <w:t>.м</w:t>
      </w:r>
      <w:proofErr w:type="gramEnd"/>
      <w:r w:rsidRPr="007F2209">
        <w:t xml:space="preserve"> торговой площади торговых предприятий (в 10 раз больше к январю-июню 2016 года), реконструировано 0,5 тыс. кв.м торговых площадей. Помимо того в результате перевода жилых помещений в нежилые открыто 2 предприятия розничной торговли общей площадью 107,8 кв</w:t>
      </w:r>
      <w:proofErr w:type="gramStart"/>
      <w:r w:rsidRPr="007F2209">
        <w:t>.м</w:t>
      </w:r>
      <w:proofErr w:type="gramEnd"/>
      <w:r w:rsidRPr="007F2209">
        <w:t>, в т.ч. торговой площадью – 73,9 кв.м. Всего в первом полугодии 2016 года введено 7 коммерческих зданий (соответствует уровню аналогичного периода прошлого года) общей площадью 3,5 тыс. кв.м (в 4,6 раза больше).</w:t>
      </w:r>
    </w:p>
    <w:p w:rsidR="00843B99" w:rsidRPr="007F2209" w:rsidRDefault="00843B99" w:rsidP="000816A4">
      <w:pPr>
        <w:ind w:firstLine="709"/>
        <w:jc w:val="both"/>
        <w:rPr>
          <w:color w:val="000000"/>
        </w:rPr>
      </w:pPr>
      <w:r w:rsidRPr="007F2209">
        <w:rPr>
          <w:color w:val="000000"/>
        </w:rPr>
        <w:t xml:space="preserve">Согласно выданным разрешениям, всего до конца 2017 года в результате реконструкции и строительства ожидается ввод в строй 24 объектов потребительского рынка общей площадью 33,7 тыс. кв.м., самыми крупными из которых являются: многофункциональное здание общественного назначения по </w:t>
      </w:r>
      <w:r w:rsidRPr="007F2209">
        <w:rPr>
          <w:color w:val="000000"/>
        </w:rPr>
        <w:lastRenderedPageBreak/>
        <w:t>ул. Гвардейск</w:t>
      </w:r>
      <w:r w:rsidR="00D44A8A">
        <w:rPr>
          <w:color w:val="000000"/>
        </w:rPr>
        <w:t>ой</w:t>
      </w:r>
      <w:r w:rsidRPr="007F2209">
        <w:rPr>
          <w:color w:val="000000"/>
        </w:rPr>
        <w:t xml:space="preserve"> (10,2 тыс. кв</w:t>
      </w:r>
      <w:proofErr w:type="gramStart"/>
      <w:r w:rsidRPr="007F2209">
        <w:rPr>
          <w:color w:val="000000"/>
        </w:rPr>
        <w:t>.м</w:t>
      </w:r>
      <w:proofErr w:type="gramEnd"/>
      <w:r w:rsidRPr="007F2209">
        <w:rPr>
          <w:color w:val="000000"/>
        </w:rPr>
        <w:t>), предприятие розничной торговли по ул. </w:t>
      </w:r>
      <w:proofErr w:type="spellStart"/>
      <w:r w:rsidRPr="007F2209">
        <w:rPr>
          <w:color w:val="000000"/>
        </w:rPr>
        <w:t>Рогозерской</w:t>
      </w:r>
      <w:proofErr w:type="spellEnd"/>
      <w:r w:rsidRPr="007F2209">
        <w:rPr>
          <w:color w:val="000000"/>
        </w:rPr>
        <w:t xml:space="preserve">  (9,54 тыс. кв.м), автомобильный салон в районе дома № 130 по просп. Кольскому (2,108 тыс. кв.м), предпр</w:t>
      </w:r>
      <w:r w:rsidR="00D44A8A">
        <w:rPr>
          <w:color w:val="000000"/>
        </w:rPr>
        <w:t xml:space="preserve">иятия розничной торговли по ул. Юрия </w:t>
      </w:r>
      <w:r w:rsidRPr="007F2209">
        <w:rPr>
          <w:color w:val="000000"/>
        </w:rPr>
        <w:t>Гагарина, 33 (1,277 тыс. кв.м), по ул. Ломоносова, 11 (1,221 тыс. кв.м), по ул. Героев Рыбачьего, 40Б (1,134 тыс. кв.м).</w:t>
      </w:r>
    </w:p>
    <w:p w:rsidR="00843B99" w:rsidRPr="007F2209" w:rsidRDefault="00843B99" w:rsidP="000816A4">
      <w:pPr>
        <w:ind w:firstLine="709"/>
        <w:jc w:val="both"/>
        <w:rPr>
          <w:color w:val="000000"/>
        </w:rPr>
      </w:pPr>
      <w:r w:rsidRPr="007F2209">
        <w:rPr>
          <w:color w:val="000000"/>
        </w:rPr>
        <w:t xml:space="preserve">Помимо того, до конца 2017 года ожидается два понижения ключевой </w:t>
      </w:r>
      <w:r w:rsidRPr="007F2209">
        <w:t>ставки ЦБ РФ до 8,5% и сохранение реальной заработной платы на уровне предыдущего года, что позволяет</w:t>
      </w:r>
      <w:r w:rsidRPr="007F2209">
        <w:rPr>
          <w:color w:val="000000"/>
        </w:rPr>
        <w:t xml:space="preserve"> рассчитывать на дальнейшее сохранение кредитной и, соответственно, потребительской активности населения по итогам года. По оценочным данным, индекс физического объема оборота розничной торговли по сравнению к юбилейному 2016 году снизится до 102,7%, из-за чего оборот розничной торговли по итогам года не превысит 50 млрд. рублей. Несколько замедлится рост оборота общественного питания до 106,2%, который по оценочным данным достигнет почти 1,9 млрд. рублей. С учетом результатов первого полугодия 2017 года, несмотря на открытие крупного </w:t>
      </w:r>
      <w:r w:rsidRPr="007F2209">
        <w:t xml:space="preserve">торгово-развлекательного спортивного комплекса </w:t>
      </w:r>
      <w:proofErr w:type="gramStart"/>
      <w:r w:rsidRPr="007F2209">
        <w:rPr>
          <w:szCs w:val="28"/>
        </w:rPr>
        <w:t>бизнес-класса</w:t>
      </w:r>
      <w:proofErr w:type="gramEnd"/>
      <w:r w:rsidRPr="007F2209">
        <w:t>«X-</w:t>
      </w:r>
      <w:r w:rsidRPr="007F2209">
        <w:rPr>
          <w:lang w:val="en-US"/>
        </w:rPr>
        <w:t>Fit</w:t>
      </w:r>
      <w:r w:rsidRPr="007F2209">
        <w:t>»</w:t>
      </w:r>
      <w:r w:rsidRPr="007F2209">
        <w:rPr>
          <w:color w:val="000000"/>
        </w:rPr>
        <w:t>, к концу года ожидается сохранение снижения объема платных услуг (93,99% к 2016 году) до 19 млрд. рублей.</w:t>
      </w:r>
    </w:p>
    <w:p w:rsidR="00843B99" w:rsidRPr="007F2209" w:rsidRDefault="00843B99" w:rsidP="000816A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Малое и среднее предпринимательство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>В течение первого полугодия 2017 года наблюдается положительная динамика увеличения количества субъектов малого и среднего предпринимательства, общее число которых по данным Федеральной налоговой инспекции РФ достигло 16395 единиц, увеличившись с начала года  на 1216 единиц и составив 108% к 01.01.2017.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09">
        <w:rPr>
          <w:rFonts w:ascii="Times New Roman" w:hAnsi="Times New Roman"/>
          <w:sz w:val="28"/>
          <w:szCs w:val="28"/>
        </w:rPr>
        <w:t>В первом полугодии 2017 года резко возросла доля малого и среднего бизнеса в объеме выдачи кредитов юридическим лицам и индивидуальным предпринимателям в первом полугодии 2017 года к уровню 2014-2015 годов на 11,7 п.п. до 33,9%. Средневзвешенная процентная ставка по рублевым кредитам субъектам малого и среднего бизнеса в июне 2017 года при этом осталась без изменений и оценивалась в 13,2</w:t>
      </w:r>
      <w:proofErr w:type="gramEnd"/>
      <w:r w:rsidRPr="007F2209">
        <w:rPr>
          <w:rFonts w:ascii="Times New Roman" w:hAnsi="Times New Roman"/>
          <w:sz w:val="28"/>
          <w:szCs w:val="28"/>
        </w:rPr>
        <w:t xml:space="preserve">%. </w:t>
      </w:r>
      <w:proofErr w:type="gramStart"/>
      <w:r w:rsidRPr="007F2209">
        <w:rPr>
          <w:rFonts w:ascii="Times New Roman" w:hAnsi="Times New Roman"/>
          <w:sz w:val="28"/>
          <w:szCs w:val="28"/>
        </w:rPr>
        <w:t>Объем выданных кредитов индивидуальным предпринимателям возрос в 1,3 раза, доля показателя в общем объеме выданных кредитов хозяйствующим субъектам возросла</w:t>
      </w:r>
      <w:proofErr w:type="gramEnd"/>
      <w:r w:rsidRPr="007F2209">
        <w:rPr>
          <w:rFonts w:ascii="Times New Roman" w:hAnsi="Times New Roman"/>
          <w:sz w:val="28"/>
          <w:szCs w:val="28"/>
        </w:rPr>
        <w:t xml:space="preserve"> с 2% до 3,8%. Объем задолженности по выданным индивидуальным предпринимателям кредитам сократился почти на треть (70,56%). Отмечено сокращение поступления средств на счетах физлиц-предпринимателей (71,3%). 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>На этом фоне объем инвестиций средних предприятий города Мурманска в первом полугодии 2017 года сократился в 5 раз до 231 млн. рублей из-за снижения капиталовложений организаций рыболовства-рыбоводства в 20 раз до 7,6 млн. рублей. При этом отмечен пятикратный рост инвестиций торговых предприятий до 97,2 млн. рублей за счет оптовой торговли за исключением оптовой торговли автотранспортными средствами и мотоциклами до 84,9 млн. рублей. Число средних предприятий, осуществлявших инвестиции в 2016 году, составило 14 единиц, в т.ч. 3 рыболовных компании, 6 торговых организаций, из которых 3 предприятия оптовой торговли</w:t>
      </w:r>
      <w:r w:rsidR="00930FE5">
        <w:rPr>
          <w:rFonts w:ascii="Times New Roman" w:hAnsi="Times New Roman"/>
          <w:sz w:val="28"/>
          <w:szCs w:val="28"/>
        </w:rPr>
        <w:t>,</w:t>
      </w:r>
      <w:r w:rsidRPr="007F2209">
        <w:rPr>
          <w:rFonts w:ascii="Times New Roman" w:hAnsi="Times New Roman"/>
          <w:sz w:val="28"/>
          <w:szCs w:val="28"/>
        </w:rPr>
        <w:t xml:space="preserve"> за исключением оптовой торговли </w:t>
      </w:r>
      <w:r w:rsidRPr="007F2209">
        <w:rPr>
          <w:rFonts w:ascii="Times New Roman" w:hAnsi="Times New Roman"/>
          <w:sz w:val="28"/>
          <w:szCs w:val="28"/>
        </w:rPr>
        <w:lastRenderedPageBreak/>
        <w:t>автотранспортными средствами и мотоциклами.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По итогам первого полугодия 2017 года количество малых предприятий, включая </w:t>
      </w:r>
      <w:proofErr w:type="spellStart"/>
      <w:r w:rsidRPr="007F2209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7F2209">
        <w:rPr>
          <w:rFonts w:ascii="Times New Roman" w:hAnsi="Times New Roman"/>
          <w:sz w:val="28"/>
          <w:szCs w:val="28"/>
        </w:rPr>
        <w:t xml:space="preserve">, учтённых в Едином реестре субъектов малого и среднего предпринимательства составило 9 366 единиц. При этом за данный период в Единый реестр субъектов МСП включено 407 </w:t>
      </w:r>
      <w:proofErr w:type="spellStart"/>
      <w:r w:rsidRPr="007F2209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7F2209">
        <w:rPr>
          <w:rFonts w:ascii="Times New Roman" w:hAnsi="Times New Roman"/>
          <w:sz w:val="28"/>
          <w:szCs w:val="28"/>
        </w:rPr>
        <w:t>, а предприятий, относимых к типу «малые»</w:t>
      </w:r>
      <w:r w:rsidR="000816A4">
        <w:rPr>
          <w:rFonts w:ascii="Times New Roman" w:hAnsi="Times New Roman"/>
          <w:sz w:val="28"/>
          <w:szCs w:val="28"/>
        </w:rPr>
        <w:t>,</w:t>
      </w:r>
      <w:r w:rsidRPr="007F2209">
        <w:rPr>
          <w:rFonts w:ascii="Times New Roman" w:hAnsi="Times New Roman"/>
          <w:sz w:val="28"/>
          <w:szCs w:val="28"/>
        </w:rPr>
        <w:t xml:space="preserve"> не зарегистрировано. С учетом актуализации реестра до конца 2017 года ожидается увеличение количества предприятий до 9 497 единиц. 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Численность индивидуальных предпринимателей в 2017 году по данным </w:t>
      </w:r>
      <w:proofErr w:type="spellStart"/>
      <w:r w:rsidRPr="007F2209">
        <w:rPr>
          <w:rFonts w:ascii="Times New Roman" w:hAnsi="Times New Roman"/>
          <w:sz w:val="28"/>
          <w:szCs w:val="28"/>
        </w:rPr>
        <w:t>Мурманскстата</w:t>
      </w:r>
      <w:proofErr w:type="spellEnd"/>
      <w:r w:rsidRPr="007F2209">
        <w:rPr>
          <w:rFonts w:ascii="Times New Roman" w:hAnsi="Times New Roman"/>
          <w:sz w:val="28"/>
          <w:szCs w:val="28"/>
        </w:rPr>
        <w:t xml:space="preserve"> на фоне сокращения количества организаций сохранила тенденцию к росту и по итогам первого полугодия 2017 года достигла 8189 человек (103% к первому полугодию 2016 года). В Едином реестре субъектов малого и среднего предпринимательства по итогам 6 месяцев 2017 года числится 7 001 человек. При этом за период с 01.01.2017 по 01.07.2017 зарегистрировано 809 индивидуальных предпринимателей, из них количество вновь зарегистрированных составило 736 человек. До конца 2017 года ожидается сохранение роста численности предпринимателей до 7121 человека.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 xml:space="preserve">Количество средних предприятий в первом полугодии 2017 года по данным </w:t>
      </w:r>
      <w:proofErr w:type="spellStart"/>
      <w:r w:rsidRPr="007F2209">
        <w:rPr>
          <w:rFonts w:ascii="Times New Roman" w:hAnsi="Times New Roman"/>
          <w:sz w:val="28"/>
          <w:szCs w:val="28"/>
        </w:rPr>
        <w:t>Мурманскстата</w:t>
      </w:r>
      <w:proofErr w:type="spellEnd"/>
      <w:r w:rsidRPr="007F2209">
        <w:rPr>
          <w:rFonts w:ascii="Times New Roman" w:hAnsi="Times New Roman"/>
          <w:sz w:val="28"/>
          <w:szCs w:val="28"/>
        </w:rPr>
        <w:t xml:space="preserve"> составило 29 единиц, в Едином реестре субъектов малого и среднего предпринимательства по итогам 6 месяцев 2017 года числится 24 единицы. 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09">
        <w:rPr>
          <w:rFonts w:ascii="Times New Roman" w:hAnsi="Times New Roman"/>
          <w:sz w:val="28"/>
          <w:szCs w:val="28"/>
        </w:rPr>
        <w:t>С сокращением числа организаций в 2 раза сократился оборот средних предприятий до 12,8 млрд. рублей, в т.ч. объем отгруженных товаров собственного производства, выполнено работ и услуг собственными силами до 6 млрд. рублей (63,4% к январю-июню 2015 года), доля которого в обороте возросла до 47% с 39% в аналогичном периоде 2015 года из-за увеличения показателя в 3,7 раза по средним</w:t>
      </w:r>
      <w:proofErr w:type="gramEnd"/>
      <w:r w:rsidRPr="007F22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2209">
        <w:rPr>
          <w:rFonts w:ascii="Times New Roman" w:hAnsi="Times New Roman"/>
          <w:sz w:val="28"/>
          <w:szCs w:val="28"/>
        </w:rPr>
        <w:t>предприятиям в сфере транспорта до 3,3 млрд. рублей, торговли - почти на треть до 357 млн. рублей, из которых 251,6 млн</w:t>
      </w:r>
      <w:proofErr w:type="gramEnd"/>
      <w:r w:rsidRPr="007F2209">
        <w:rPr>
          <w:rFonts w:ascii="Times New Roman" w:hAnsi="Times New Roman"/>
          <w:sz w:val="28"/>
          <w:szCs w:val="28"/>
        </w:rPr>
        <w:t>. рублей - оптовая специализированная торговля, 102,2 млн. рублей - оптовая и розничная торговля автотранспортными средствами и мотоциклами и их ремонт. Объем проданных средними предприятиями товаров несобственного производства сократился более чем в 2 раза до 6,8 млрд. рублей (46,13% к январю-июню 2017 года), 99,1% которого приходится на торговые организации. Рост показателя отмечен у транспортных предприятий в 145 раз до 14,5 млн. рублей.</w:t>
      </w:r>
    </w:p>
    <w:p w:rsidR="00843B99" w:rsidRPr="007F2209" w:rsidRDefault="00843B99" w:rsidP="000816A4">
      <w:pPr>
        <w:pStyle w:val="af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209">
        <w:rPr>
          <w:rFonts w:ascii="Times New Roman" w:hAnsi="Times New Roman"/>
          <w:sz w:val="28"/>
          <w:szCs w:val="28"/>
        </w:rPr>
        <w:t>На фоне устойчивой тенденции снижения числа организаций, ужесточения конкуренции между торговыми предприятиями, которые составляют две трети средних организаций, с учетом пополнения Единого реестра субъектов малого и среднего предпринимательства Федеральной налоговой службой РФ по состоянию на конец года ожидается сохранение числа средних предприятий на уровне 33 единиц.</w:t>
      </w:r>
    </w:p>
    <w:p w:rsidR="00843B99" w:rsidRPr="007F2209" w:rsidRDefault="00843B99" w:rsidP="000816A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Инвестиции и строительство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Объем инвестиций в первом полугодии 2017 года в сопоставимых ценах увеличился в 1,3 раза до 17 млрд. рублей за счет модернизации оборудования и </w:t>
      </w:r>
      <w:r w:rsidRPr="007F2209">
        <w:lastRenderedPageBreak/>
        <w:t xml:space="preserve">транспортных средств (в 1,3 раза до 11,4 млрд. рублей), зданий и сооружений, улучшения земель. В три раза сократились инвестиции в жилищное строительство до 101 млн. рублей, в 14 раз прочие инвестиции – до 2,6 млн. рублей. </w:t>
      </w:r>
      <w:proofErr w:type="gramStart"/>
      <w:r w:rsidRPr="007F2209">
        <w:t xml:space="preserve">Количество организаций, осуществлявших инвестиции в первом полугодии 2017 года снизилось на 7 единиц до 478 единиц (98,56% к аналогичному периоду предыдущего года), из них около трети – организации образования, 12% - </w:t>
      </w:r>
      <w:proofErr w:type="spellStart"/>
      <w:r w:rsidRPr="007F2209">
        <w:t>госуправления</w:t>
      </w:r>
      <w:proofErr w:type="spellEnd"/>
      <w:r w:rsidRPr="007F2209">
        <w:t>, 8,8% - торговые организации, 8% - в сфере здравоохранения и социальных услуг, 7% - в области культуры, спорта, организации досуга и развлечений, 5,4% - транспортные компании, 5,2% - организации в сфере профессиональной, научной и технической</w:t>
      </w:r>
      <w:proofErr w:type="gramEnd"/>
      <w:r w:rsidRPr="007F2209">
        <w:t xml:space="preserve"> деятельности, 4,2% - рыбопромышленные компании.</w:t>
      </w:r>
    </w:p>
    <w:p w:rsidR="00843B99" w:rsidRPr="007F2209" w:rsidRDefault="00843B99" w:rsidP="000816A4">
      <w:pPr>
        <w:ind w:firstLine="709"/>
        <w:jc w:val="both"/>
      </w:pPr>
      <w:proofErr w:type="gramStart"/>
      <w:r w:rsidRPr="007F2209">
        <w:t xml:space="preserve">Наибольший объем инвестиций приходится на сферу транспорта (48,3% общего объема инвестиций или 8,3 млрд. рублей), сбора, обработки и утилизации отходов, обработки вторичного сырья (14,6% до 2,5 млрд. рублей), деятельности головных офисов, консультирования по вопросам управления (13,6% или 2,3 млрд. рублей), рыболовства, рыбоводства (7,7% или 1,3 млрд. рублей), </w:t>
      </w:r>
      <w:proofErr w:type="spellStart"/>
      <w:r w:rsidRPr="007F2209">
        <w:t>госуправление</w:t>
      </w:r>
      <w:proofErr w:type="spellEnd"/>
      <w:r w:rsidRPr="007F2209">
        <w:t xml:space="preserve"> (3,9% или 666,5 млн. рублей).</w:t>
      </w:r>
      <w:proofErr w:type="gramEnd"/>
    </w:p>
    <w:p w:rsidR="00843B99" w:rsidRPr="007F2209" w:rsidRDefault="00843B99" w:rsidP="000816A4">
      <w:pPr>
        <w:ind w:firstLine="709"/>
        <w:jc w:val="both"/>
      </w:pPr>
      <w:r w:rsidRPr="007F2209">
        <w:t xml:space="preserve">На фоне роста объема инвестиций по основным видам экономической деятельности отмечено снижение инвестиционной активности в сфере </w:t>
      </w:r>
      <w:proofErr w:type="spellStart"/>
      <w:r w:rsidRPr="007F2209">
        <w:t>гостинично-ресторанного</w:t>
      </w:r>
      <w:proofErr w:type="spellEnd"/>
      <w:r w:rsidRPr="007F2209">
        <w:t xml:space="preserve"> бизнеса (59,1% к январю-июню 2016 года с применением индекса-дефлятора инвестиций в основной капитал по Мурманской области в целом), образования (59,9%), предоставления прочих коммунальных,  социальных и персональных услуг (69,4%).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В структуре источников инвестиций отмечается рост доли собственных средств с 33,2% в первом полугодии 2016 года до 40,3% за аналогичный период 2017 года. </w:t>
      </w:r>
      <w:proofErr w:type="gramStart"/>
      <w:r w:rsidRPr="007F2209">
        <w:t>Объем инвестиций за счет собственных средств увеличился в 1,7 раза до 6,9 млрд. рублей, в т.ч. предприятиями рыболовства, рыбоводства в 2,1 раза до 1,3 млрд. рублей, транспорта - в 1,6 раза до 4,2 млрд. рублей, привлеченных в 1,3 раза до 7,9 млрд. рублей, главным образом, за счет привлечения прочих источников (в 6,5 раз) транспортными компаниями.</w:t>
      </w:r>
      <w:proofErr w:type="gramEnd"/>
    </w:p>
    <w:p w:rsidR="00843B99" w:rsidRPr="007F2209" w:rsidRDefault="00843B99" w:rsidP="000816A4">
      <w:pPr>
        <w:ind w:firstLine="709"/>
        <w:jc w:val="both"/>
      </w:pPr>
      <w:r w:rsidRPr="007F2209">
        <w:t>Объем бюджетного финансирования инвестиций в первом полугодии 2017 года увеличился до 3,4 млрд. рублей, составив 106,3% к аналогичному периоду предыдущего года, в том числе из средств федерального бюджета – 3,1 млрд. рублей (111,3%) за счет деятельности головных офисов, консультирования по вопросам управления (2,3 млрд. рублей). Почти на треть сократились инвестиции из-за рубежа до 2,5 млрд. рублей (70,78% к январю-июню 2016 года), направленные в сферу сбора, обработки и утилизации отходов, обработки вторичного сырья.</w:t>
      </w:r>
    </w:p>
    <w:p w:rsidR="00843B99" w:rsidRPr="007F2209" w:rsidRDefault="00843B99" w:rsidP="000816A4">
      <w:pPr>
        <w:ind w:firstLine="709"/>
        <w:jc w:val="both"/>
      </w:pPr>
      <w:proofErr w:type="gramStart"/>
      <w:r w:rsidRPr="007F2209">
        <w:t xml:space="preserve">С учетом завершения в первом полугодии 2017 года строительства здания спортивно-оздоровительного комплекса (фитнес-центра) по ул. Гвардейской, частного детского сада по ул. Калинина, 42, реконструкции южной горловины железнодорожной станции Мурманск, открытия перегрузочного терминала ПАО «ГМК «Норильский никель», а также реализации масштабных проектов по модернизации портовой инфраструктуры и строительству морских транспортных средств, до конца 2017 года ожидается сохранение тенденции </w:t>
      </w:r>
      <w:r w:rsidRPr="007F2209">
        <w:lastRenderedPageBreak/>
        <w:t>роста объема инвестиций</w:t>
      </w:r>
      <w:proofErr w:type="gramEnd"/>
      <w:r w:rsidRPr="007F2209">
        <w:t xml:space="preserve"> в сопоставимых ценах на уровне 121,02% к 2016 году, главным образом, за счет собственных сре</w:t>
      </w:r>
      <w:proofErr w:type="gramStart"/>
      <w:r w:rsidRPr="007F2209">
        <w:t>дств пр</w:t>
      </w:r>
      <w:proofErr w:type="gramEnd"/>
      <w:r w:rsidRPr="007F2209">
        <w:t>едприятий рыболовства, рыбоводства и транспорта при снижении бюджетного финансирования до 95,13%.</w:t>
      </w:r>
    </w:p>
    <w:p w:rsidR="00843B99" w:rsidRPr="007F2209" w:rsidRDefault="00843B99" w:rsidP="000816A4">
      <w:pPr>
        <w:ind w:firstLine="709"/>
        <w:jc w:val="both"/>
      </w:pPr>
      <w:r w:rsidRPr="007F2209">
        <w:t>Объем работ строительного подряда в январе-июне 2017 года в действующих ценах увеличился до 560,3 млн. рублей (144,1%). За 1 полугодие 2017 года введено 20 зданий (74.1% к январю-июню 2016 года) общей площадью около 13 тыс. кв</w:t>
      </w:r>
      <w:proofErr w:type="gramStart"/>
      <w:r w:rsidRPr="007F2209">
        <w:t>.м</w:t>
      </w:r>
      <w:proofErr w:type="gramEnd"/>
      <w:r w:rsidRPr="007F2209">
        <w:t xml:space="preserve"> (в 1,2 раза больше), в т.ч. 8 жилых домов (в 2 раза больше) общей площадью жилья 4,9 тыс. кв.м (в 8,1 раза больше), 7 коммерческих зданий (соответствует уровню аналогичного периода прошлого года) общей площадью 3,5 тыс. кв.м (в 4,6 раза больше) и 1 административное здание (100% к январю-июню 2016 года) площадью 923 кв</w:t>
      </w:r>
      <w:proofErr w:type="gramStart"/>
      <w:r w:rsidRPr="007F2209">
        <w:t>.м</w:t>
      </w:r>
      <w:proofErr w:type="gramEnd"/>
      <w:r w:rsidRPr="007F2209">
        <w:t xml:space="preserve"> (в 2,2 раза больше). За счет нового строительства введено 0,8 тыс. кв</w:t>
      </w:r>
      <w:proofErr w:type="gramStart"/>
      <w:r w:rsidRPr="007F2209">
        <w:t>.м</w:t>
      </w:r>
      <w:proofErr w:type="gramEnd"/>
      <w:r w:rsidRPr="007F2209">
        <w:t xml:space="preserve"> складской площади (53,3% к январю-июню 2016 года), 1 тыс. кв.м торговой площади торговых предприятий (в 10 раз больше), реконструировано 0,5 тыс. кв.м торговых площадей. 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Наиболее крупными объектами строительства в 2017 году являются 14-этажный жилой дом с многофункциональным комплексом «Молодежный» по проспекту Кольский, многоквартирный жилой дом по ул. Туристов, 28, здание Мурманского областного драматического театра, многофункциональный комплекс по ул. </w:t>
      </w:r>
      <w:proofErr w:type="spellStart"/>
      <w:r w:rsidRPr="007F2209">
        <w:t>Рогозерской</w:t>
      </w:r>
      <w:proofErr w:type="spellEnd"/>
      <w:r w:rsidRPr="007F2209">
        <w:t>, зона отдыха на Семеновском озере, объект благоустройства «Детский город</w:t>
      </w:r>
      <w:r w:rsidR="00930FE5">
        <w:t>ок» на пр. Героев-с</w:t>
      </w:r>
      <w:r w:rsidRPr="007F2209">
        <w:t>евероморцев, здание гарнизонного дома офицеров, реконструируемое для областного кукольного театра. Продолжаются капитальный ремонт объектов культурного наследия, многоквартирных домов, работы по обновлению кровли и фасадов при участии Фонда капитального ремонта общего имущества в многоквартирных домах в Мурманской области, ремонт дорог, лестниц и дворовых территорий в рамках муниципальных программ.</w:t>
      </w:r>
    </w:p>
    <w:p w:rsidR="00843B99" w:rsidRPr="007F2209" w:rsidRDefault="00843B99" w:rsidP="000816A4">
      <w:pPr>
        <w:ind w:firstLine="709"/>
        <w:jc w:val="both"/>
      </w:pPr>
      <w:r w:rsidRPr="007F2209">
        <w:t>С учетом оживления строительной деятельности в городе на фоне снижения в 2015-2016 годах по итогам 2017 года ожидается сохранение роста объема выполненных работ по виду деятельности «Строительство» в сопоставимых ценах до 158,2% к 2016 году.</w:t>
      </w:r>
    </w:p>
    <w:p w:rsidR="00843B99" w:rsidRPr="007F2209" w:rsidRDefault="00843B99" w:rsidP="000816A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Сальдированный финансовый результат (прибыль, убыток) деятельности крупных и средних предприятий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Снижение в январе-мае 2017 года сальдированного финансового результата деятельности организаций до 14,2 млрд. рублей (92,1% к январю-маю 2016 года) обусловлено снижением прибыли транспортных предприятий (82,5%). Рост прибыли и сальдированного результата сохраняется в сфере рыболовства, рыбоводства (115,7% и 124,3% соответственно), деятельности по операциям с недвижимым имуществом (181,6% и 150,8%), образования (183,2% и 210%). Отсутствуют убыточные организации в строительстве, где отмечен рост прибыли и сальдированного результата в 10,4 раза, в области здравоохранения и социальных услуг - в 1,6 раза, культуры, спорта, организации досуга и развлечений – в 1,3 раза. </w:t>
      </w:r>
    </w:p>
    <w:p w:rsidR="00843B99" w:rsidRPr="007F2209" w:rsidRDefault="00843B99" w:rsidP="000816A4">
      <w:pPr>
        <w:ind w:firstLine="709"/>
        <w:jc w:val="both"/>
      </w:pPr>
      <w:r w:rsidRPr="007F2209">
        <w:lastRenderedPageBreak/>
        <w:t xml:space="preserve">Отрицательный финансовый результат деятельности по итогам отчетного периода сложился у организаций профессиональной, научной и технической деятельности, две трети которых остались убыточными по сравнению с аналогичным периодом предыдущего года, в результате снижения прибыли в 5 раз и убытков в 2 раза. Отрицательный финансовый результат деятельности в организациях обрабатывающей промышленности, половина которых остались убыточными, и </w:t>
      </w:r>
      <w:proofErr w:type="spellStart"/>
      <w:r w:rsidRPr="007F2209">
        <w:t>гостинично-ресторанного</w:t>
      </w:r>
      <w:proofErr w:type="spellEnd"/>
      <w:r w:rsidRPr="007F2209">
        <w:t xml:space="preserve"> бизнеса, где две трети прибыльных предприятий стали убыточными </w:t>
      </w:r>
      <w:r w:rsidRPr="007F2209">
        <w:rPr>
          <w:color w:val="000000"/>
        </w:rPr>
        <w:t>на фоне сокращения стоимости проживания в гостинице до 1750,2 рублей сутки с человека (97,7%)</w:t>
      </w:r>
      <w:r w:rsidRPr="007F2209">
        <w:t>, сформировался в результате роста убытков на 20% и в 90,5 раз соответственно. С ростом затрат на производство значительный рост убытков отмечен в сфере обеспечения электрической энергией, газом и паром (в 99,2 раза) и водоснабжения, водоотведения, организации сбора и утилизации отходов, деятельности по ликвидации загрязнений (в 1093,8 раз). В целом доля убыточных организаций возросла на 1%.</w:t>
      </w:r>
    </w:p>
    <w:p w:rsidR="00843B99" w:rsidRPr="007F2209" w:rsidRDefault="00843B99" w:rsidP="000816A4">
      <w:pPr>
        <w:ind w:firstLine="709"/>
        <w:jc w:val="both"/>
      </w:pPr>
      <w:r w:rsidRPr="007F2209">
        <w:t xml:space="preserve">С учетом </w:t>
      </w:r>
      <w:proofErr w:type="gramStart"/>
      <w:r w:rsidRPr="007F2209">
        <w:t>замедления роста финансовых результатов деятельности предприятий транспорта</w:t>
      </w:r>
      <w:proofErr w:type="gramEnd"/>
      <w:r w:rsidRPr="007F2209">
        <w:t xml:space="preserve"> и рыболовства, рыбоводства, низких показателей деятельности торговых организаций, высокой убыточности в сфере профессиональной, научной и технической деятельности, на фоне сохранения стабильной успешной работы предприятий по обеспечению электрической энергией, газом и паром; кондиционированию воздуха, водоснабжению; </w:t>
      </w:r>
      <w:proofErr w:type="gramStart"/>
      <w:r w:rsidRPr="007F2209">
        <w:t>водоотведению, организации сбора и утилизации отходов, ликвидации загрязнений до конца года ожидается заметное снижение сальдированного финансового результата к 2015 году более чем на треть до 31046,02 млн. рублей.</w:t>
      </w:r>
      <w:proofErr w:type="gramEnd"/>
    </w:p>
    <w:p w:rsidR="00843B99" w:rsidRPr="007F2209" w:rsidRDefault="00843B99" w:rsidP="000816A4">
      <w:pPr>
        <w:pStyle w:val="1"/>
        <w:spacing w:before="240" w:after="240"/>
        <w:rPr>
          <w:b w:val="0"/>
          <w:caps w:val="0"/>
          <w:kern w:val="32"/>
          <w:sz w:val="28"/>
          <w:szCs w:val="28"/>
        </w:rPr>
      </w:pPr>
      <w:r w:rsidRPr="007F2209">
        <w:rPr>
          <w:b w:val="0"/>
          <w:caps w:val="0"/>
          <w:kern w:val="32"/>
          <w:sz w:val="28"/>
          <w:szCs w:val="28"/>
        </w:rPr>
        <w:t>Труд и занятость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 xml:space="preserve">Сложившаяся в городе Мурманске демографическая ситуация характеризуется, в частности, сокращением численности трудоспособного населения. Несмотря на присоединение в 2015 году к городу Мурманску п.г.т. </w:t>
      </w:r>
      <w:proofErr w:type="spellStart"/>
      <w:r w:rsidRPr="007F2209">
        <w:rPr>
          <w:szCs w:val="24"/>
        </w:rPr>
        <w:t>Росляково</w:t>
      </w:r>
      <w:proofErr w:type="spellEnd"/>
      <w:r w:rsidRPr="007F2209">
        <w:rPr>
          <w:szCs w:val="24"/>
        </w:rPr>
        <w:t xml:space="preserve">, в 2016 году был отмечен возврат к отрицательной динамике данного показателя - численность населения указанной категории сократилась на 3,7 тыс. человек или на 2,8% к 2015 году и составила 177,70 тыс. человек. 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>В 2017 году ожидается сохранение отрицательной динамики – среднегодовое значение численности населения в трудоспособном возрасте предположительно составит 174,11 тыс. человек.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>При этом в первом полугодии текущего года отмечено увеличение по сравнению с аналогичным периодом 2016 года численности работников организаций города Мурманска (без субъектов малого предпринимательства) на 4,4% до 89,97 тыс. человек. Тем не менее, к концу 2017 года ожидается сокращение численности работников организаций до 89,41 тыс. человек.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 xml:space="preserve">На фоне </w:t>
      </w:r>
      <w:proofErr w:type="gramStart"/>
      <w:r w:rsidRPr="007F2209">
        <w:rPr>
          <w:szCs w:val="24"/>
        </w:rPr>
        <w:t>сокращения численности работников организаций города Мурманска</w:t>
      </w:r>
      <w:proofErr w:type="gramEnd"/>
      <w:r w:rsidRPr="007F2209">
        <w:rPr>
          <w:szCs w:val="24"/>
        </w:rPr>
        <w:t xml:space="preserve"> ожидается рост среднемесячной номинальной начисленной заработной платы. В первом полугодии текущего года ее рост составил 4,6% к соответствующему периоду 2016 года.</w:t>
      </w:r>
    </w:p>
    <w:p w:rsidR="00843B99" w:rsidRPr="007F220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lastRenderedPageBreak/>
        <w:t xml:space="preserve">В 2017 году благодаря постепенному оздоровлению экономики города Мурманска ожидается увеличение среднемесячной заработной </w:t>
      </w:r>
      <w:proofErr w:type="gramStart"/>
      <w:r w:rsidRPr="007F2209">
        <w:rPr>
          <w:szCs w:val="24"/>
        </w:rPr>
        <w:t>платы</w:t>
      </w:r>
      <w:proofErr w:type="gramEnd"/>
      <w:r w:rsidRPr="007F2209">
        <w:rPr>
          <w:szCs w:val="24"/>
        </w:rPr>
        <w:t xml:space="preserve"> как в номинальном, так и в реальном выражении – до 60838 рублей и 58051 рубл</w:t>
      </w:r>
      <w:r w:rsidR="00CA083A">
        <w:rPr>
          <w:szCs w:val="24"/>
        </w:rPr>
        <w:t>я</w:t>
      </w:r>
      <w:r w:rsidRPr="007F2209">
        <w:rPr>
          <w:szCs w:val="24"/>
        </w:rPr>
        <w:t xml:space="preserve"> соответственно.</w:t>
      </w:r>
    </w:p>
    <w:p w:rsidR="00843B99" w:rsidRDefault="00843B99" w:rsidP="000816A4">
      <w:pPr>
        <w:ind w:firstLine="709"/>
        <w:jc w:val="both"/>
        <w:rPr>
          <w:szCs w:val="24"/>
        </w:rPr>
      </w:pPr>
      <w:r w:rsidRPr="007F2209">
        <w:rPr>
          <w:szCs w:val="24"/>
        </w:rPr>
        <w:t>Численность безработных, зарегистрированных в службах занятости, по итогам первого полугодия 2017 года составила 1,40 тыс. человек, снизившись на 15,7% к аналогичному периоду предыдущего года. К концу текущего года ожидается увеличение численности безработных, зарегистрированных в службах занятости населения, до 1,61 человек.</w:t>
      </w:r>
    </w:p>
    <w:p w:rsidR="00843B99" w:rsidRDefault="00843B99" w:rsidP="00843B99">
      <w:pPr>
        <w:ind w:firstLine="709"/>
        <w:jc w:val="both"/>
        <w:rPr>
          <w:szCs w:val="24"/>
        </w:rPr>
      </w:pPr>
    </w:p>
    <w:p w:rsidR="00843B99" w:rsidRPr="007F2209" w:rsidRDefault="00843B99" w:rsidP="00843B99">
      <w:pPr>
        <w:ind w:firstLine="709"/>
        <w:jc w:val="both"/>
        <w:rPr>
          <w:szCs w:val="24"/>
        </w:rPr>
      </w:pPr>
    </w:p>
    <w:p w:rsidR="00843B99" w:rsidRPr="00F65988" w:rsidRDefault="00843B99" w:rsidP="00843B99">
      <w:pPr>
        <w:jc w:val="center"/>
        <w:rPr>
          <w:szCs w:val="28"/>
        </w:rPr>
      </w:pPr>
      <w:r w:rsidRPr="0059431C">
        <w:rPr>
          <w:szCs w:val="28"/>
        </w:rPr>
        <w:t>____________________</w:t>
      </w:r>
    </w:p>
    <w:p w:rsidR="00843B99" w:rsidRPr="00165C07" w:rsidRDefault="00843B99" w:rsidP="00843B99">
      <w:pPr>
        <w:widowControl w:val="0"/>
        <w:jc w:val="center"/>
        <w:outlineLvl w:val="0"/>
        <w:rPr>
          <w:szCs w:val="28"/>
        </w:rPr>
      </w:pPr>
    </w:p>
    <w:p w:rsidR="001F4748" w:rsidRPr="00165C07" w:rsidRDefault="001F4748" w:rsidP="009853A0">
      <w:pPr>
        <w:widowControl w:val="0"/>
        <w:jc w:val="center"/>
        <w:outlineLvl w:val="0"/>
        <w:rPr>
          <w:szCs w:val="28"/>
        </w:rPr>
      </w:pPr>
    </w:p>
    <w:sectPr w:rsidR="001F4748" w:rsidRPr="00165C07" w:rsidSect="00502F25">
      <w:headerReference w:type="default" r:id="rId20"/>
      <w:headerReference w:type="first" r:id="rId21"/>
      <w:pgSz w:w="11906" w:h="16838"/>
      <w:pgMar w:top="1134" w:right="851" w:bottom="993" w:left="1418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B84" w:rsidRDefault="00026B84" w:rsidP="006468DF">
      <w:r>
        <w:separator/>
      </w:r>
    </w:p>
  </w:endnote>
  <w:endnote w:type="continuationSeparator" w:id="1">
    <w:p w:rsidR="00026B84" w:rsidRDefault="00026B84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10" w:rsidRDefault="007D5B07" w:rsidP="00CA4568">
    <w:pPr>
      <w:pStyle w:val="ab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03810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03810" w:rsidRDefault="00203810" w:rsidP="00CA456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Default="007D5B07" w:rsidP="00CA4568">
    <w:pPr>
      <w:pStyle w:val="ab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26B8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26B84" w:rsidRDefault="00026B84" w:rsidP="00CA456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B84" w:rsidRDefault="00026B84" w:rsidP="006468DF">
      <w:r>
        <w:separator/>
      </w:r>
    </w:p>
  </w:footnote>
  <w:footnote w:type="continuationSeparator" w:id="1">
    <w:p w:rsidR="00026B84" w:rsidRDefault="00026B84" w:rsidP="006468DF">
      <w:r>
        <w:continuationSeparator/>
      </w:r>
    </w:p>
  </w:footnote>
  <w:footnote w:id="2">
    <w:p w:rsidR="00026B84" w:rsidRDefault="00026B84" w:rsidP="00843B99">
      <w:pPr>
        <w:pStyle w:val="ae"/>
      </w:pPr>
      <w:r>
        <w:rPr>
          <w:rStyle w:val="af0"/>
        </w:rPr>
        <w:footnoteRef/>
      </w:r>
      <w:r>
        <w:t xml:space="preserve"> Здесь и далее по сноске оценочные данные.</w:t>
      </w:r>
    </w:p>
  </w:footnote>
  <w:footnote w:id="3">
    <w:p w:rsidR="00026B84" w:rsidRDefault="00026B84" w:rsidP="00843B99">
      <w:pPr>
        <w:pStyle w:val="ae"/>
      </w:pPr>
      <w:r>
        <w:rPr>
          <w:rStyle w:val="af0"/>
        </w:rPr>
        <w:footnoteRef/>
      </w:r>
      <w:r>
        <w:t xml:space="preserve"> 1-й вариант – базовый.</w:t>
      </w:r>
    </w:p>
  </w:footnote>
  <w:footnote w:id="4">
    <w:p w:rsidR="00026B84" w:rsidRDefault="00026B84" w:rsidP="00843B99">
      <w:pPr>
        <w:pStyle w:val="ae"/>
      </w:pPr>
      <w:r>
        <w:rPr>
          <w:rStyle w:val="af0"/>
        </w:rPr>
        <w:footnoteRef/>
      </w:r>
      <w:r>
        <w:t xml:space="preserve"> 2-й вариант – целевой.</w:t>
      </w:r>
    </w:p>
  </w:footnote>
  <w:footnote w:id="5">
    <w:p w:rsidR="00026B84" w:rsidRDefault="00026B84" w:rsidP="00843B99">
      <w:pPr>
        <w:pStyle w:val="ae"/>
      </w:pPr>
      <w:r>
        <w:rPr>
          <w:rStyle w:val="af0"/>
        </w:rPr>
        <w:footnoteRef/>
      </w:r>
      <w:proofErr w:type="gramStart"/>
      <w:r>
        <w:t xml:space="preserve">Отчётные данные по видам деятельности </w:t>
      </w:r>
      <w:r w:rsidRPr="00330845">
        <w:rPr>
          <w:rFonts w:eastAsia="Arial Unicode MS"/>
          <w:color w:val="000000"/>
          <w:sz w:val="22"/>
        </w:rPr>
        <w:t>D</w:t>
      </w:r>
      <w:r w:rsidRPr="00FC3AE2">
        <w:rPr>
          <w:rFonts w:eastAsia="Arial Unicode MS"/>
          <w:color w:val="000000"/>
          <w:sz w:val="22"/>
        </w:rPr>
        <w:t xml:space="preserve">, </w:t>
      </w:r>
      <w:r w:rsidRPr="00330845">
        <w:rPr>
          <w:rFonts w:eastAsia="Arial Unicode MS"/>
          <w:color w:val="000000"/>
          <w:sz w:val="22"/>
        </w:rPr>
        <w:t>E</w:t>
      </w:r>
      <w:r>
        <w:t xml:space="preserve"> в соответствии с введённым в действие с 2017 года ОКВЭД отсутствуют.</w:t>
      </w:r>
      <w:proofErr w:type="gramEnd"/>
    </w:p>
  </w:footnote>
  <w:footnote w:id="6">
    <w:p w:rsidR="00026B84" w:rsidRDefault="00026B84" w:rsidP="00843B99">
      <w:pPr>
        <w:pStyle w:val="ae"/>
        <w:jc w:val="both"/>
      </w:pPr>
      <w:r>
        <w:rPr>
          <w:rStyle w:val="af0"/>
        </w:rPr>
        <w:footnoteRef/>
      </w:r>
      <w:proofErr w:type="gramStart"/>
      <w:r>
        <w:t xml:space="preserve">Отчётные данные за 2015 год приведены по данным </w:t>
      </w:r>
      <w:proofErr w:type="spellStart"/>
      <w:r>
        <w:t>Мурманскстата</w:t>
      </w:r>
      <w:proofErr w:type="spellEnd"/>
      <w:r>
        <w:t xml:space="preserve">, за 2016 год - по данным Единого реестра субъектов малого и среднего предпринимательства Федеральной налоговой службы РФ в соответствии с Федеральным законом от 29.12.2015 № 408-ФЗ «О внесении изменений в отдельные законодательные акты Российской Федерации», методическими рекомендациями </w:t>
      </w:r>
      <w:r w:rsidRPr="00C9354E">
        <w:t>по разработке основных показателей прогноза социально-экономического развития муниципального образования Мурманской области</w:t>
      </w:r>
      <w:r>
        <w:t>.</w:t>
      </w:r>
      <w:proofErr w:type="gramEnd"/>
    </w:p>
  </w:footnote>
  <w:footnote w:id="7">
    <w:p w:rsidR="00026B84" w:rsidRDefault="00026B84" w:rsidP="00843B99">
      <w:pPr>
        <w:pStyle w:val="ae"/>
      </w:pPr>
      <w:r>
        <w:rPr>
          <w:rStyle w:val="af0"/>
        </w:rPr>
        <w:footnoteRef/>
      </w:r>
      <w:r>
        <w:rPr>
          <w:szCs w:val="28"/>
        </w:rPr>
        <w:t xml:space="preserve">доставка блюд на дом, в офисы, организация </w:t>
      </w:r>
      <w:r w:rsidRPr="00DD6F99">
        <w:rPr>
          <w:szCs w:val="28"/>
        </w:rPr>
        <w:t>выездн</w:t>
      </w:r>
      <w:r>
        <w:rPr>
          <w:szCs w:val="28"/>
        </w:rPr>
        <w:t>ых банкетов, фуршетов, барбекю.</w:t>
      </w:r>
    </w:p>
  </w:footnote>
  <w:footnote w:id="8">
    <w:p w:rsidR="00026B84" w:rsidRDefault="00026B84" w:rsidP="00A22AE9">
      <w:pPr>
        <w:pStyle w:val="ae"/>
        <w:jc w:val="both"/>
      </w:pPr>
      <w:r>
        <w:rPr>
          <w:rStyle w:val="af0"/>
        </w:rPr>
        <w:footnoteRef/>
      </w:r>
      <w:r>
        <w:t xml:space="preserve"> Единый реестр субъектов малого и среднего предпринимательства </w:t>
      </w:r>
      <w:r w:rsidRPr="007547FF">
        <w:t>(</w:t>
      </w:r>
      <w:hyperlink r:id="rId1" w:history="1">
        <w:r w:rsidRPr="007547FF">
          <w:t>https://rmsp.nalog.ru/search.html</w:t>
        </w:r>
      </w:hyperlink>
      <w:r w:rsidRPr="007547FF">
        <w:t xml:space="preserve">) </w:t>
      </w:r>
      <w:r>
        <w:t xml:space="preserve">создан и ведется Федеральной налоговой службой РФ с 01.08.2016 в соответствии с Федеральным законом от 29.12.2015 № 408-ФЗ «О внесении изменений в отдельные законодательные акты Российской Федерации» для учета субъектов малого и среднего предпринимательства. В этой связи </w:t>
      </w:r>
      <w:r w:rsidRPr="00F034F8">
        <w:t>отчетные данные за 2016 год и на плановый период приведены в соответствии с указанным реестром.</w:t>
      </w:r>
    </w:p>
  </w:footnote>
  <w:footnote w:id="9">
    <w:p w:rsidR="00026B84" w:rsidRPr="00B757D3" w:rsidRDefault="00026B84" w:rsidP="00843B99">
      <w:pPr>
        <w:rPr>
          <w:sz w:val="22"/>
          <w:szCs w:val="22"/>
        </w:rPr>
      </w:pPr>
      <w:r>
        <w:rPr>
          <w:rStyle w:val="af0"/>
        </w:rPr>
        <w:footnoteRef/>
      </w:r>
      <w:r w:rsidRPr="00B757D3">
        <w:rPr>
          <w:sz w:val="22"/>
          <w:szCs w:val="22"/>
        </w:rPr>
        <w:t>Реконструкция объектов муниципальных дошкольных образовательных учреждений г. Мурманска</w:t>
      </w:r>
    </w:p>
    <w:p w:rsidR="00026B84" w:rsidRPr="00B757D3" w:rsidRDefault="00026B84" w:rsidP="00843B99">
      <w:pPr>
        <w:rPr>
          <w:sz w:val="22"/>
          <w:szCs w:val="22"/>
        </w:rPr>
      </w:pPr>
      <w:r w:rsidRPr="00B757D3">
        <w:rPr>
          <w:sz w:val="22"/>
          <w:szCs w:val="22"/>
        </w:rPr>
        <w:t>Реконструкция объектов муниципальных спортивных школ г. Мурманска</w:t>
      </w:r>
      <w:r>
        <w:rPr>
          <w:sz w:val="22"/>
          <w:szCs w:val="22"/>
        </w:rPr>
        <w:t>.</w:t>
      </w:r>
    </w:p>
    <w:p w:rsidR="00026B84" w:rsidRPr="00B757D3" w:rsidRDefault="00026B84" w:rsidP="00843B99">
      <w:pPr>
        <w:rPr>
          <w:sz w:val="22"/>
          <w:szCs w:val="22"/>
        </w:rPr>
      </w:pPr>
      <w:r w:rsidRPr="00B757D3">
        <w:rPr>
          <w:sz w:val="22"/>
          <w:szCs w:val="22"/>
        </w:rPr>
        <w:t>Реконструкция областных учреждений культуры</w:t>
      </w:r>
      <w:r>
        <w:rPr>
          <w:sz w:val="22"/>
          <w:szCs w:val="22"/>
        </w:rPr>
        <w:t>.</w:t>
      </w:r>
    </w:p>
    <w:p w:rsidR="00026B84" w:rsidRPr="00B757D3" w:rsidRDefault="00026B84" w:rsidP="00843B99">
      <w:pPr>
        <w:rPr>
          <w:sz w:val="22"/>
          <w:szCs w:val="22"/>
        </w:rPr>
      </w:pPr>
      <w:r w:rsidRPr="00B757D3">
        <w:rPr>
          <w:sz w:val="22"/>
          <w:szCs w:val="22"/>
        </w:rPr>
        <w:t>Реконструкция здания Ледового дворца в г. Мурманске</w:t>
      </w:r>
      <w:r>
        <w:rPr>
          <w:sz w:val="22"/>
          <w:szCs w:val="22"/>
        </w:rPr>
        <w:t>.</w:t>
      </w:r>
    </w:p>
    <w:p w:rsidR="00026B84" w:rsidRPr="00B757D3" w:rsidRDefault="00026B84" w:rsidP="00843B99">
      <w:pPr>
        <w:rPr>
          <w:sz w:val="22"/>
          <w:szCs w:val="22"/>
        </w:rPr>
      </w:pPr>
      <w:r w:rsidRPr="00B757D3">
        <w:rPr>
          <w:sz w:val="22"/>
          <w:szCs w:val="22"/>
        </w:rPr>
        <w:t>Реконструкция здания плавательного бассейна по ул. Челюск</w:t>
      </w:r>
      <w:r>
        <w:rPr>
          <w:sz w:val="22"/>
          <w:szCs w:val="22"/>
        </w:rPr>
        <w:t xml:space="preserve">инцев, </w:t>
      </w:r>
      <w:r w:rsidRPr="00B757D3">
        <w:rPr>
          <w:sz w:val="22"/>
          <w:szCs w:val="22"/>
        </w:rPr>
        <w:t>2 в г. Мурманске</w:t>
      </w:r>
      <w:r>
        <w:rPr>
          <w:sz w:val="22"/>
          <w:szCs w:val="22"/>
        </w:rPr>
        <w:t>.</w:t>
      </w:r>
    </w:p>
    <w:p w:rsidR="00026B84" w:rsidRDefault="00026B84" w:rsidP="00843B99">
      <w:pPr>
        <w:pStyle w:val="ae"/>
      </w:pPr>
    </w:p>
  </w:footnote>
  <w:footnote w:id="10">
    <w:p w:rsidR="00026B84" w:rsidRDefault="00026B84" w:rsidP="00843B99">
      <w:pPr>
        <w:pStyle w:val="ae"/>
      </w:pPr>
      <w:r>
        <w:rPr>
          <w:rStyle w:val="af0"/>
        </w:rPr>
        <w:footnoteRef/>
      </w:r>
      <w:r>
        <w:t xml:space="preserve"> По данным Единого реестра субъектов малого и среднего предпринимательства Федеральной налоговой службы РФ.</w:t>
      </w:r>
    </w:p>
  </w:footnote>
  <w:footnote w:id="11">
    <w:p w:rsidR="00026B84" w:rsidRDefault="00026B84" w:rsidP="00843B99">
      <w:pPr>
        <w:pStyle w:val="ae"/>
      </w:pPr>
      <w:r>
        <w:rPr>
          <w:rStyle w:val="af0"/>
        </w:rPr>
        <w:footnoteRef/>
      </w:r>
      <w:r>
        <w:t xml:space="preserve"> Отчетные данные за январь-май соответствующего года.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10" w:rsidRDefault="007D5B07" w:rsidP="00CA4568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03810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03810" w:rsidRDefault="0020381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10" w:rsidRDefault="007D5B07" w:rsidP="00CA4568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03810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50DE0">
      <w:rPr>
        <w:rStyle w:val="af5"/>
        <w:noProof/>
      </w:rPr>
      <w:t>2</w:t>
    </w:r>
    <w:r>
      <w:rPr>
        <w:rStyle w:val="af5"/>
      </w:rPr>
      <w:fldChar w:fldCharType="end"/>
    </w:r>
  </w:p>
  <w:p w:rsidR="00203810" w:rsidRDefault="0020381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Default="007D5B07" w:rsidP="00CA4568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026B8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26B84" w:rsidRDefault="00026B84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Default="007D5B07" w:rsidP="00CA4568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026B84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50DE0">
      <w:rPr>
        <w:rStyle w:val="af5"/>
        <w:noProof/>
      </w:rPr>
      <w:t>6</w:t>
    </w:r>
    <w:r>
      <w:rPr>
        <w:rStyle w:val="af5"/>
      </w:rPr>
      <w:fldChar w:fldCharType="end"/>
    </w:r>
  </w:p>
  <w:p w:rsidR="00026B84" w:rsidRDefault="00026B84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Default="007D5B07" w:rsidP="00CA4568">
    <w:pPr>
      <w:pStyle w:val="a9"/>
      <w:spacing w:after="120"/>
      <w:jc w:val="center"/>
    </w:pPr>
    <w:r>
      <w:fldChar w:fldCharType="begin"/>
    </w:r>
    <w:r w:rsidR="00026B84">
      <w:instrText xml:space="preserve"> PAGE   \* MERGEFORMAT </w:instrText>
    </w:r>
    <w:r>
      <w:fldChar w:fldCharType="separate"/>
    </w:r>
    <w:r w:rsidR="00650DE0">
      <w:rPr>
        <w:noProof/>
      </w:rPr>
      <w:t>38</w:t>
    </w:r>
    <w:r>
      <w:rPr>
        <w:noProof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Pr="00F67951" w:rsidRDefault="00026B84" w:rsidP="00F67951">
    <w:pPr>
      <w:pStyle w:val="a9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Default="007D5B07" w:rsidP="00CA4568">
    <w:pPr>
      <w:pStyle w:val="a9"/>
      <w:spacing w:after="120"/>
      <w:jc w:val="center"/>
    </w:pPr>
    <w:r>
      <w:fldChar w:fldCharType="begin"/>
    </w:r>
    <w:r w:rsidR="00026B84">
      <w:instrText xml:space="preserve"> PAGE   \* MERGEFORMAT </w:instrText>
    </w:r>
    <w:r>
      <w:fldChar w:fldCharType="separate"/>
    </w:r>
    <w:r w:rsidR="00650DE0">
      <w:rPr>
        <w:noProof/>
      </w:rPr>
      <w:t>41</w:t>
    </w:r>
    <w:r>
      <w:rPr>
        <w:noProof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Pr="00ED3C00" w:rsidRDefault="007D5B07" w:rsidP="00CA4568">
    <w:pPr>
      <w:pStyle w:val="a9"/>
      <w:spacing w:after="120"/>
      <w:jc w:val="center"/>
    </w:pPr>
    <w:r>
      <w:fldChar w:fldCharType="begin"/>
    </w:r>
    <w:r w:rsidR="00026B84">
      <w:instrText xml:space="preserve"> PAGE   \* MERGEFORMAT </w:instrText>
    </w:r>
    <w:r>
      <w:fldChar w:fldCharType="separate"/>
    </w:r>
    <w:r w:rsidR="00650DE0">
      <w:rPr>
        <w:noProof/>
      </w:rPr>
      <w:t>51</w:t>
    </w:r>
    <w:r>
      <w:rPr>
        <w:noProof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84" w:rsidRDefault="00026B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52D3C"/>
    <w:multiLevelType w:val="multilevel"/>
    <w:tmpl w:val="84565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85CFF"/>
    <w:multiLevelType w:val="hybridMultilevel"/>
    <w:tmpl w:val="ECCA9652"/>
    <w:lvl w:ilvl="0" w:tplc="BBE6E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A6F65"/>
    <w:multiLevelType w:val="hybridMultilevel"/>
    <w:tmpl w:val="ABF45DE8"/>
    <w:lvl w:ilvl="0" w:tplc="D68C6C0C">
      <w:start w:val="1"/>
      <w:numFmt w:val="bullet"/>
      <w:lvlText w:val="–"/>
      <w:lvlJc w:val="left"/>
      <w:pPr>
        <w:ind w:left="75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1E0692A"/>
    <w:multiLevelType w:val="hybridMultilevel"/>
    <w:tmpl w:val="7D5E126A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C42F7D"/>
    <w:multiLevelType w:val="hybridMultilevel"/>
    <w:tmpl w:val="1EA06B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42892"/>
    <w:multiLevelType w:val="hybridMultilevel"/>
    <w:tmpl w:val="4A6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5F2192"/>
    <w:multiLevelType w:val="hybridMultilevel"/>
    <w:tmpl w:val="6056466C"/>
    <w:lvl w:ilvl="0" w:tplc="4126C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2"/>
  </w:num>
  <w:num w:numId="5">
    <w:abstractNumId w:val="28"/>
  </w:num>
  <w:num w:numId="6">
    <w:abstractNumId w:val="15"/>
  </w:num>
  <w:num w:numId="7">
    <w:abstractNumId w:val="13"/>
  </w:num>
  <w:num w:numId="8">
    <w:abstractNumId w:val="25"/>
  </w:num>
  <w:num w:numId="9">
    <w:abstractNumId w:val="6"/>
  </w:num>
  <w:num w:numId="10">
    <w:abstractNumId w:val="7"/>
  </w:num>
  <w:num w:numId="11">
    <w:abstractNumId w:val="32"/>
  </w:num>
  <w:num w:numId="12">
    <w:abstractNumId w:val="31"/>
  </w:num>
  <w:num w:numId="13">
    <w:abstractNumId w:val="9"/>
  </w:num>
  <w:num w:numId="14">
    <w:abstractNumId w:val="3"/>
  </w:num>
  <w:num w:numId="15">
    <w:abstractNumId w:val="0"/>
  </w:num>
  <w:num w:numId="16">
    <w:abstractNumId w:val="10"/>
  </w:num>
  <w:num w:numId="17">
    <w:abstractNumId w:val="12"/>
  </w:num>
  <w:num w:numId="18">
    <w:abstractNumId w:val="33"/>
  </w:num>
  <w:num w:numId="19">
    <w:abstractNumId w:val="29"/>
  </w:num>
  <w:num w:numId="20">
    <w:abstractNumId w:val="8"/>
  </w:num>
  <w:num w:numId="21">
    <w:abstractNumId w:val="20"/>
  </w:num>
  <w:num w:numId="22">
    <w:abstractNumId w:val="23"/>
  </w:num>
  <w:num w:numId="23">
    <w:abstractNumId w:val="24"/>
  </w:num>
  <w:num w:numId="24">
    <w:abstractNumId w:val="17"/>
  </w:num>
  <w:num w:numId="25">
    <w:abstractNumId w:val="5"/>
  </w:num>
  <w:num w:numId="26">
    <w:abstractNumId w:val="11"/>
  </w:num>
  <w:num w:numId="27">
    <w:abstractNumId w:val="2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4"/>
  </w:num>
  <w:num w:numId="31">
    <w:abstractNumId w:val="14"/>
  </w:num>
  <w:num w:numId="32">
    <w:abstractNumId w:val="14"/>
  </w:num>
  <w:num w:numId="33">
    <w:abstractNumId w:val="1"/>
  </w:num>
  <w:num w:numId="34">
    <w:abstractNumId w:val="16"/>
  </w:num>
  <w:num w:numId="35">
    <w:abstractNumId w:val="26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E37843"/>
    <w:rsid w:val="00000E52"/>
    <w:rsid w:val="000018A8"/>
    <w:rsid w:val="00002C43"/>
    <w:rsid w:val="00003A18"/>
    <w:rsid w:val="000046C5"/>
    <w:rsid w:val="000078DE"/>
    <w:rsid w:val="00010459"/>
    <w:rsid w:val="0001068C"/>
    <w:rsid w:val="00010BB7"/>
    <w:rsid w:val="00013C43"/>
    <w:rsid w:val="000140F8"/>
    <w:rsid w:val="0001465B"/>
    <w:rsid w:val="00014857"/>
    <w:rsid w:val="000148D4"/>
    <w:rsid w:val="00014C73"/>
    <w:rsid w:val="000155D0"/>
    <w:rsid w:val="00015A63"/>
    <w:rsid w:val="00015E27"/>
    <w:rsid w:val="00016110"/>
    <w:rsid w:val="000163DA"/>
    <w:rsid w:val="00016C6A"/>
    <w:rsid w:val="00017012"/>
    <w:rsid w:val="00017469"/>
    <w:rsid w:val="000202EF"/>
    <w:rsid w:val="0002215E"/>
    <w:rsid w:val="0002414A"/>
    <w:rsid w:val="00025BDF"/>
    <w:rsid w:val="00026B84"/>
    <w:rsid w:val="00027D11"/>
    <w:rsid w:val="00032037"/>
    <w:rsid w:val="00034BA2"/>
    <w:rsid w:val="0003718F"/>
    <w:rsid w:val="00041CA1"/>
    <w:rsid w:val="0004426F"/>
    <w:rsid w:val="00044E88"/>
    <w:rsid w:val="000516C1"/>
    <w:rsid w:val="00053478"/>
    <w:rsid w:val="00053B70"/>
    <w:rsid w:val="0005461E"/>
    <w:rsid w:val="00055458"/>
    <w:rsid w:val="00055A0E"/>
    <w:rsid w:val="0005714B"/>
    <w:rsid w:val="00057E9C"/>
    <w:rsid w:val="00060032"/>
    <w:rsid w:val="00060521"/>
    <w:rsid w:val="0006187B"/>
    <w:rsid w:val="00061C6F"/>
    <w:rsid w:val="00062172"/>
    <w:rsid w:val="00062321"/>
    <w:rsid w:val="000634DD"/>
    <w:rsid w:val="000636F8"/>
    <w:rsid w:val="00063813"/>
    <w:rsid w:val="000652E8"/>
    <w:rsid w:val="00065817"/>
    <w:rsid w:val="00066573"/>
    <w:rsid w:val="00066F16"/>
    <w:rsid w:val="00067149"/>
    <w:rsid w:val="000677E9"/>
    <w:rsid w:val="00067EFC"/>
    <w:rsid w:val="00071A36"/>
    <w:rsid w:val="00071AB9"/>
    <w:rsid w:val="00072875"/>
    <w:rsid w:val="00073760"/>
    <w:rsid w:val="00074A48"/>
    <w:rsid w:val="00074E88"/>
    <w:rsid w:val="0007522D"/>
    <w:rsid w:val="00075388"/>
    <w:rsid w:val="000761B4"/>
    <w:rsid w:val="00076A61"/>
    <w:rsid w:val="00076C6E"/>
    <w:rsid w:val="00080A80"/>
    <w:rsid w:val="000816A4"/>
    <w:rsid w:val="0008382E"/>
    <w:rsid w:val="000924EC"/>
    <w:rsid w:val="000950E1"/>
    <w:rsid w:val="00096D91"/>
    <w:rsid w:val="00096E2C"/>
    <w:rsid w:val="00096F8D"/>
    <w:rsid w:val="00097681"/>
    <w:rsid w:val="00097D84"/>
    <w:rsid w:val="000A1239"/>
    <w:rsid w:val="000A1D6D"/>
    <w:rsid w:val="000A2B97"/>
    <w:rsid w:val="000A487D"/>
    <w:rsid w:val="000A4B14"/>
    <w:rsid w:val="000A6207"/>
    <w:rsid w:val="000A7F04"/>
    <w:rsid w:val="000B05AC"/>
    <w:rsid w:val="000B1838"/>
    <w:rsid w:val="000B2647"/>
    <w:rsid w:val="000B3322"/>
    <w:rsid w:val="000B3E56"/>
    <w:rsid w:val="000B5426"/>
    <w:rsid w:val="000B593A"/>
    <w:rsid w:val="000B685D"/>
    <w:rsid w:val="000B755C"/>
    <w:rsid w:val="000C05F9"/>
    <w:rsid w:val="000C08B8"/>
    <w:rsid w:val="000C2E3A"/>
    <w:rsid w:val="000C3C94"/>
    <w:rsid w:val="000C7EB8"/>
    <w:rsid w:val="000D0291"/>
    <w:rsid w:val="000D02B4"/>
    <w:rsid w:val="000D3D04"/>
    <w:rsid w:val="000D6F3B"/>
    <w:rsid w:val="000D7F66"/>
    <w:rsid w:val="000E10FF"/>
    <w:rsid w:val="000E1237"/>
    <w:rsid w:val="000E3A00"/>
    <w:rsid w:val="000F17B8"/>
    <w:rsid w:val="000F242A"/>
    <w:rsid w:val="000F4145"/>
    <w:rsid w:val="000F45EE"/>
    <w:rsid w:val="000F4C9E"/>
    <w:rsid w:val="000F6759"/>
    <w:rsid w:val="00100AF8"/>
    <w:rsid w:val="0010189A"/>
    <w:rsid w:val="00102B59"/>
    <w:rsid w:val="001057D1"/>
    <w:rsid w:val="00105C49"/>
    <w:rsid w:val="00105EF3"/>
    <w:rsid w:val="0011023D"/>
    <w:rsid w:val="0011146B"/>
    <w:rsid w:val="001116FF"/>
    <w:rsid w:val="00112323"/>
    <w:rsid w:val="00113F93"/>
    <w:rsid w:val="00114B57"/>
    <w:rsid w:val="00114C8E"/>
    <w:rsid w:val="001151EF"/>
    <w:rsid w:val="00115385"/>
    <w:rsid w:val="00115657"/>
    <w:rsid w:val="001208D9"/>
    <w:rsid w:val="00120B70"/>
    <w:rsid w:val="0012273B"/>
    <w:rsid w:val="0012280C"/>
    <w:rsid w:val="00122EBC"/>
    <w:rsid w:val="00123695"/>
    <w:rsid w:val="0012533A"/>
    <w:rsid w:val="00125839"/>
    <w:rsid w:val="001306E7"/>
    <w:rsid w:val="00135D81"/>
    <w:rsid w:val="0013668F"/>
    <w:rsid w:val="001405C5"/>
    <w:rsid w:val="00140BFC"/>
    <w:rsid w:val="00140D0A"/>
    <w:rsid w:val="00142C9C"/>
    <w:rsid w:val="0014436D"/>
    <w:rsid w:val="00144AE0"/>
    <w:rsid w:val="00146BC9"/>
    <w:rsid w:val="001476B7"/>
    <w:rsid w:val="00150795"/>
    <w:rsid w:val="00155012"/>
    <w:rsid w:val="00156699"/>
    <w:rsid w:val="00156790"/>
    <w:rsid w:val="00156857"/>
    <w:rsid w:val="00160C70"/>
    <w:rsid w:val="00160D66"/>
    <w:rsid w:val="00161AE5"/>
    <w:rsid w:val="0016219F"/>
    <w:rsid w:val="00163FD4"/>
    <w:rsid w:val="001642CD"/>
    <w:rsid w:val="0016500F"/>
    <w:rsid w:val="00165C07"/>
    <w:rsid w:val="001664EC"/>
    <w:rsid w:val="00167992"/>
    <w:rsid w:val="00167D37"/>
    <w:rsid w:val="00170CAA"/>
    <w:rsid w:val="00171741"/>
    <w:rsid w:val="001718A8"/>
    <w:rsid w:val="00174C94"/>
    <w:rsid w:val="00175BD7"/>
    <w:rsid w:val="00175C5F"/>
    <w:rsid w:val="00176A7B"/>
    <w:rsid w:val="00181695"/>
    <w:rsid w:val="00183072"/>
    <w:rsid w:val="001831C4"/>
    <w:rsid w:val="00183448"/>
    <w:rsid w:val="00184077"/>
    <w:rsid w:val="001848E4"/>
    <w:rsid w:val="00186107"/>
    <w:rsid w:val="001867EB"/>
    <w:rsid w:val="00191E77"/>
    <w:rsid w:val="00192075"/>
    <w:rsid w:val="00193A0B"/>
    <w:rsid w:val="00193D77"/>
    <w:rsid w:val="001948BB"/>
    <w:rsid w:val="00196444"/>
    <w:rsid w:val="00196561"/>
    <w:rsid w:val="001976ED"/>
    <w:rsid w:val="00197CA9"/>
    <w:rsid w:val="001A0C21"/>
    <w:rsid w:val="001A213D"/>
    <w:rsid w:val="001A3D23"/>
    <w:rsid w:val="001A487C"/>
    <w:rsid w:val="001A5376"/>
    <w:rsid w:val="001A5599"/>
    <w:rsid w:val="001A61D9"/>
    <w:rsid w:val="001A67BC"/>
    <w:rsid w:val="001A75C8"/>
    <w:rsid w:val="001B0ADC"/>
    <w:rsid w:val="001B0F51"/>
    <w:rsid w:val="001B26B8"/>
    <w:rsid w:val="001B33CF"/>
    <w:rsid w:val="001B44BA"/>
    <w:rsid w:val="001B592D"/>
    <w:rsid w:val="001B594F"/>
    <w:rsid w:val="001B6A32"/>
    <w:rsid w:val="001B6A90"/>
    <w:rsid w:val="001B7A32"/>
    <w:rsid w:val="001C1DFA"/>
    <w:rsid w:val="001C336C"/>
    <w:rsid w:val="001C3644"/>
    <w:rsid w:val="001C3A68"/>
    <w:rsid w:val="001C40B8"/>
    <w:rsid w:val="001C694D"/>
    <w:rsid w:val="001C7762"/>
    <w:rsid w:val="001D1089"/>
    <w:rsid w:val="001D2B57"/>
    <w:rsid w:val="001D3436"/>
    <w:rsid w:val="001D576E"/>
    <w:rsid w:val="001D6BBB"/>
    <w:rsid w:val="001E04FA"/>
    <w:rsid w:val="001E3026"/>
    <w:rsid w:val="001E7800"/>
    <w:rsid w:val="001F153B"/>
    <w:rsid w:val="001F4748"/>
    <w:rsid w:val="001F4C14"/>
    <w:rsid w:val="001F6266"/>
    <w:rsid w:val="001F6EFB"/>
    <w:rsid w:val="001F7C54"/>
    <w:rsid w:val="002002BF"/>
    <w:rsid w:val="002025A6"/>
    <w:rsid w:val="00202B83"/>
    <w:rsid w:val="002031FE"/>
    <w:rsid w:val="00203810"/>
    <w:rsid w:val="002046A2"/>
    <w:rsid w:val="00204D63"/>
    <w:rsid w:val="00206CFE"/>
    <w:rsid w:val="00211830"/>
    <w:rsid w:val="0021189F"/>
    <w:rsid w:val="002131F6"/>
    <w:rsid w:val="00213579"/>
    <w:rsid w:val="002144EE"/>
    <w:rsid w:val="00214B95"/>
    <w:rsid w:val="0022011E"/>
    <w:rsid w:val="002202C2"/>
    <w:rsid w:val="002203E2"/>
    <w:rsid w:val="00223F43"/>
    <w:rsid w:val="002261B7"/>
    <w:rsid w:val="002266C6"/>
    <w:rsid w:val="002267A1"/>
    <w:rsid w:val="002271A3"/>
    <w:rsid w:val="00230CC4"/>
    <w:rsid w:val="00231EB8"/>
    <w:rsid w:val="00233881"/>
    <w:rsid w:val="002365C0"/>
    <w:rsid w:val="00242697"/>
    <w:rsid w:val="00242FED"/>
    <w:rsid w:val="00243876"/>
    <w:rsid w:val="00244A13"/>
    <w:rsid w:val="0024616F"/>
    <w:rsid w:val="002475AB"/>
    <w:rsid w:val="00247F2F"/>
    <w:rsid w:val="002516BA"/>
    <w:rsid w:val="002516EA"/>
    <w:rsid w:val="00251AD4"/>
    <w:rsid w:val="00252398"/>
    <w:rsid w:val="00252E07"/>
    <w:rsid w:val="00253FE8"/>
    <w:rsid w:val="00255E57"/>
    <w:rsid w:val="00256180"/>
    <w:rsid w:val="00257984"/>
    <w:rsid w:val="00257EE7"/>
    <w:rsid w:val="00260068"/>
    <w:rsid w:val="0026007A"/>
    <w:rsid w:val="00260110"/>
    <w:rsid w:val="00261627"/>
    <w:rsid w:val="00265C9D"/>
    <w:rsid w:val="00266842"/>
    <w:rsid w:val="00266E79"/>
    <w:rsid w:val="00267451"/>
    <w:rsid w:val="00267471"/>
    <w:rsid w:val="002702BD"/>
    <w:rsid w:val="00275666"/>
    <w:rsid w:val="002762E6"/>
    <w:rsid w:val="00280554"/>
    <w:rsid w:val="00282E32"/>
    <w:rsid w:val="00285011"/>
    <w:rsid w:val="00285662"/>
    <w:rsid w:val="002868B2"/>
    <w:rsid w:val="00290329"/>
    <w:rsid w:val="00292B34"/>
    <w:rsid w:val="00292D48"/>
    <w:rsid w:val="002936F0"/>
    <w:rsid w:val="002945B3"/>
    <w:rsid w:val="002950E8"/>
    <w:rsid w:val="00295166"/>
    <w:rsid w:val="0029787E"/>
    <w:rsid w:val="002A00A8"/>
    <w:rsid w:val="002A0ECD"/>
    <w:rsid w:val="002A1792"/>
    <w:rsid w:val="002A388C"/>
    <w:rsid w:val="002A396F"/>
    <w:rsid w:val="002A3D8F"/>
    <w:rsid w:val="002A416B"/>
    <w:rsid w:val="002A50F2"/>
    <w:rsid w:val="002A5429"/>
    <w:rsid w:val="002A5B76"/>
    <w:rsid w:val="002A63D3"/>
    <w:rsid w:val="002A7A1D"/>
    <w:rsid w:val="002B0056"/>
    <w:rsid w:val="002B0270"/>
    <w:rsid w:val="002B0C98"/>
    <w:rsid w:val="002B17C8"/>
    <w:rsid w:val="002B3132"/>
    <w:rsid w:val="002B3629"/>
    <w:rsid w:val="002B3DD6"/>
    <w:rsid w:val="002B49F1"/>
    <w:rsid w:val="002B5C5A"/>
    <w:rsid w:val="002B68BC"/>
    <w:rsid w:val="002B6D26"/>
    <w:rsid w:val="002C166E"/>
    <w:rsid w:val="002C2B46"/>
    <w:rsid w:val="002C3848"/>
    <w:rsid w:val="002C6931"/>
    <w:rsid w:val="002C7B63"/>
    <w:rsid w:val="002D1986"/>
    <w:rsid w:val="002D230B"/>
    <w:rsid w:val="002D2868"/>
    <w:rsid w:val="002D3917"/>
    <w:rsid w:val="002D5868"/>
    <w:rsid w:val="002E038E"/>
    <w:rsid w:val="002E2F6A"/>
    <w:rsid w:val="002E3B46"/>
    <w:rsid w:val="002E4EAA"/>
    <w:rsid w:val="002E50A6"/>
    <w:rsid w:val="002E517D"/>
    <w:rsid w:val="002E5645"/>
    <w:rsid w:val="002E7FA2"/>
    <w:rsid w:val="002F06DA"/>
    <w:rsid w:val="002F116F"/>
    <w:rsid w:val="002F2132"/>
    <w:rsid w:val="002F393F"/>
    <w:rsid w:val="002F433D"/>
    <w:rsid w:val="002F4C5A"/>
    <w:rsid w:val="002F58F9"/>
    <w:rsid w:val="002F604A"/>
    <w:rsid w:val="002F7250"/>
    <w:rsid w:val="00301089"/>
    <w:rsid w:val="003019B2"/>
    <w:rsid w:val="00301E5A"/>
    <w:rsid w:val="00302C88"/>
    <w:rsid w:val="003034ED"/>
    <w:rsid w:val="00307AAE"/>
    <w:rsid w:val="0031323B"/>
    <w:rsid w:val="003156A8"/>
    <w:rsid w:val="003162B4"/>
    <w:rsid w:val="00317B7F"/>
    <w:rsid w:val="00324194"/>
    <w:rsid w:val="003246DB"/>
    <w:rsid w:val="00324E80"/>
    <w:rsid w:val="00330845"/>
    <w:rsid w:val="003317A2"/>
    <w:rsid w:val="00332E3A"/>
    <w:rsid w:val="0033307F"/>
    <w:rsid w:val="00337418"/>
    <w:rsid w:val="0034110D"/>
    <w:rsid w:val="00341175"/>
    <w:rsid w:val="00343505"/>
    <w:rsid w:val="00344879"/>
    <w:rsid w:val="003457BD"/>
    <w:rsid w:val="00345E34"/>
    <w:rsid w:val="00350F2B"/>
    <w:rsid w:val="0035130E"/>
    <w:rsid w:val="003537C5"/>
    <w:rsid w:val="003554DC"/>
    <w:rsid w:val="003575C8"/>
    <w:rsid w:val="00360FB0"/>
    <w:rsid w:val="00361242"/>
    <w:rsid w:val="00363586"/>
    <w:rsid w:val="00363D25"/>
    <w:rsid w:val="00365F4D"/>
    <w:rsid w:val="00366892"/>
    <w:rsid w:val="00367FED"/>
    <w:rsid w:val="00371353"/>
    <w:rsid w:val="00371902"/>
    <w:rsid w:val="003719A0"/>
    <w:rsid w:val="00371F86"/>
    <w:rsid w:val="0037257D"/>
    <w:rsid w:val="00373195"/>
    <w:rsid w:val="00375C3F"/>
    <w:rsid w:val="0038072F"/>
    <w:rsid w:val="00383BA2"/>
    <w:rsid w:val="00383F24"/>
    <w:rsid w:val="0038483B"/>
    <w:rsid w:val="00386800"/>
    <w:rsid w:val="00387181"/>
    <w:rsid w:val="00387952"/>
    <w:rsid w:val="00390A25"/>
    <w:rsid w:val="00391760"/>
    <w:rsid w:val="0039187C"/>
    <w:rsid w:val="003934A8"/>
    <w:rsid w:val="00393EB1"/>
    <w:rsid w:val="00396048"/>
    <w:rsid w:val="00397760"/>
    <w:rsid w:val="003A1B9B"/>
    <w:rsid w:val="003A2446"/>
    <w:rsid w:val="003A2E3F"/>
    <w:rsid w:val="003A4365"/>
    <w:rsid w:val="003A7F28"/>
    <w:rsid w:val="003B1187"/>
    <w:rsid w:val="003B1C3B"/>
    <w:rsid w:val="003B2BAB"/>
    <w:rsid w:val="003B2CF2"/>
    <w:rsid w:val="003B392F"/>
    <w:rsid w:val="003B45FB"/>
    <w:rsid w:val="003B5861"/>
    <w:rsid w:val="003B5BC2"/>
    <w:rsid w:val="003B610A"/>
    <w:rsid w:val="003C0175"/>
    <w:rsid w:val="003C2C7E"/>
    <w:rsid w:val="003C5795"/>
    <w:rsid w:val="003C5AEA"/>
    <w:rsid w:val="003D12A2"/>
    <w:rsid w:val="003D2B51"/>
    <w:rsid w:val="003D3275"/>
    <w:rsid w:val="003D3D69"/>
    <w:rsid w:val="003D781E"/>
    <w:rsid w:val="003E097F"/>
    <w:rsid w:val="003E1063"/>
    <w:rsid w:val="003E3CB1"/>
    <w:rsid w:val="003E5044"/>
    <w:rsid w:val="003E5AAA"/>
    <w:rsid w:val="003E5C89"/>
    <w:rsid w:val="003E64A7"/>
    <w:rsid w:val="003F2AF6"/>
    <w:rsid w:val="003F3F33"/>
    <w:rsid w:val="00402A0E"/>
    <w:rsid w:val="0040547B"/>
    <w:rsid w:val="00411C83"/>
    <w:rsid w:val="00413463"/>
    <w:rsid w:val="00415D3E"/>
    <w:rsid w:val="00415DD0"/>
    <w:rsid w:val="00417AE2"/>
    <w:rsid w:val="00421127"/>
    <w:rsid w:val="00421483"/>
    <w:rsid w:val="00421F9A"/>
    <w:rsid w:val="0042265C"/>
    <w:rsid w:val="00424303"/>
    <w:rsid w:val="004265CC"/>
    <w:rsid w:val="004268D3"/>
    <w:rsid w:val="00426D31"/>
    <w:rsid w:val="00426E04"/>
    <w:rsid w:val="0042718F"/>
    <w:rsid w:val="00427C21"/>
    <w:rsid w:val="00430101"/>
    <w:rsid w:val="0043106E"/>
    <w:rsid w:val="00431793"/>
    <w:rsid w:val="00432589"/>
    <w:rsid w:val="004336F4"/>
    <w:rsid w:val="00433C52"/>
    <w:rsid w:val="0043586B"/>
    <w:rsid w:val="00435B37"/>
    <w:rsid w:val="00436D94"/>
    <w:rsid w:val="004374AA"/>
    <w:rsid w:val="004421C0"/>
    <w:rsid w:val="004428BB"/>
    <w:rsid w:val="004439E0"/>
    <w:rsid w:val="004440DB"/>
    <w:rsid w:val="0044556C"/>
    <w:rsid w:val="00445AD1"/>
    <w:rsid w:val="00447221"/>
    <w:rsid w:val="004515C3"/>
    <w:rsid w:val="00452AA0"/>
    <w:rsid w:val="00460088"/>
    <w:rsid w:val="00461B33"/>
    <w:rsid w:val="00466713"/>
    <w:rsid w:val="00467F1E"/>
    <w:rsid w:val="00470147"/>
    <w:rsid w:val="00472766"/>
    <w:rsid w:val="00472F95"/>
    <w:rsid w:val="004746D4"/>
    <w:rsid w:val="00474A32"/>
    <w:rsid w:val="004750F7"/>
    <w:rsid w:val="0047525D"/>
    <w:rsid w:val="00477532"/>
    <w:rsid w:val="004777C0"/>
    <w:rsid w:val="00484350"/>
    <w:rsid w:val="0048444F"/>
    <w:rsid w:val="00484D38"/>
    <w:rsid w:val="00484DE5"/>
    <w:rsid w:val="00485AF9"/>
    <w:rsid w:val="00485BF5"/>
    <w:rsid w:val="004862AB"/>
    <w:rsid w:val="00491C34"/>
    <w:rsid w:val="00492662"/>
    <w:rsid w:val="004927C3"/>
    <w:rsid w:val="0049312D"/>
    <w:rsid w:val="00493AFF"/>
    <w:rsid w:val="00493CEE"/>
    <w:rsid w:val="00495EB2"/>
    <w:rsid w:val="004A142D"/>
    <w:rsid w:val="004A2D55"/>
    <w:rsid w:val="004A3D34"/>
    <w:rsid w:val="004A4DDB"/>
    <w:rsid w:val="004A57F4"/>
    <w:rsid w:val="004B1D11"/>
    <w:rsid w:val="004B2BFC"/>
    <w:rsid w:val="004B536A"/>
    <w:rsid w:val="004B566A"/>
    <w:rsid w:val="004B5A07"/>
    <w:rsid w:val="004B7D93"/>
    <w:rsid w:val="004C1627"/>
    <w:rsid w:val="004C1E73"/>
    <w:rsid w:val="004C20BA"/>
    <w:rsid w:val="004C229A"/>
    <w:rsid w:val="004C258F"/>
    <w:rsid w:val="004C5B67"/>
    <w:rsid w:val="004C5FC9"/>
    <w:rsid w:val="004C6AD7"/>
    <w:rsid w:val="004D0557"/>
    <w:rsid w:val="004D2073"/>
    <w:rsid w:val="004D63DE"/>
    <w:rsid w:val="004E25F0"/>
    <w:rsid w:val="004E27FD"/>
    <w:rsid w:val="004E3CCD"/>
    <w:rsid w:val="004E59CA"/>
    <w:rsid w:val="004E6FE7"/>
    <w:rsid w:val="004E74ED"/>
    <w:rsid w:val="004F0906"/>
    <w:rsid w:val="004F1DB5"/>
    <w:rsid w:val="004F2132"/>
    <w:rsid w:val="004F2234"/>
    <w:rsid w:val="004F44A5"/>
    <w:rsid w:val="004F6904"/>
    <w:rsid w:val="004F7CA3"/>
    <w:rsid w:val="005003DA"/>
    <w:rsid w:val="00502653"/>
    <w:rsid w:val="00502F25"/>
    <w:rsid w:val="0050404B"/>
    <w:rsid w:val="005043B5"/>
    <w:rsid w:val="005046B2"/>
    <w:rsid w:val="00505B86"/>
    <w:rsid w:val="00511190"/>
    <w:rsid w:val="00511218"/>
    <w:rsid w:val="00513023"/>
    <w:rsid w:val="00513236"/>
    <w:rsid w:val="005133E6"/>
    <w:rsid w:val="005149CE"/>
    <w:rsid w:val="00515C57"/>
    <w:rsid w:val="00515C5D"/>
    <w:rsid w:val="00516314"/>
    <w:rsid w:val="0052082D"/>
    <w:rsid w:val="00522E31"/>
    <w:rsid w:val="0052320A"/>
    <w:rsid w:val="00526BB3"/>
    <w:rsid w:val="005273F2"/>
    <w:rsid w:val="00532D12"/>
    <w:rsid w:val="00535145"/>
    <w:rsid w:val="005359D1"/>
    <w:rsid w:val="00537675"/>
    <w:rsid w:val="00537705"/>
    <w:rsid w:val="00537B27"/>
    <w:rsid w:val="00537BF7"/>
    <w:rsid w:val="00541C2B"/>
    <w:rsid w:val="0054201F"/>
    <w:rsid w:val="005440AA"/>
    <w:rsid w:val="00544CCC"/>
    <w:rsid w:val="00544CE8"/>
    <w:rsid w:val="0054550A"/>
    <w:rsid w:val="00546E2B"/>
    <w:rsid w:val="00547340"/>
    <w:rsid w:val="005500D1"/>
    <w:rsid w:val="00552E2F"/>
    <w:rsid w:val="00553A30"/>
    <w:rsid w:val="005543C9"/>
    <w:rsid w:val="00554952"/>
    <w:rsid w:val="00555E0B"/>
    <w:rsid w:val="0055613C"/>
    <w:rsid w:val="005564C7"/>
    <w:rsid w:val="0055682F"/>
    <w:rsid w:val="005575A7"/>
    <w:rsid w:val="00560B2D"/>
    <w:rsid w:val="005615C0"/>
    <w:rsid w:val="005675D8"/>
    <w:rsid w:val="00567A1E"/>
    <w:rsid w:val="00570DF8"/>
    <w:rsid w:val="00571B29"/>
    <w:rsid w:val="0057512E"/>
    <w:rsid w:val="005777B1"/>
    <w:rsid w:val="005779A6"/>
    <w:rsid w:val="00580B3C"/>
    <w:rsid w:val="00581137"/>
    <w:rsid w:val="0058193A"/>
    <w:rsid w:val="00581DCB"/>
    <w:rsid w:val="00581F85"/>
    <w:rsid w:val="00582BE2"/>
    <w:rsid w:val="00583A5C"/>
    <w:rsid w:val="00584ED2"/>
    <w:rsid w:val="00585E12"/>
    <w:rsid w:val="00586BD0"/>
    <w:rsid w:val="00586F4B"/>
    <w:rsid w:val="005926F7"/>
    <w:rsid w:val="00593B0F"/>
    <w:rsid w:val="0059431C"/>
    <w:rsid w:val="00594614"/>
    <w:rsid w:val="0059487F"/>
    <w:rsid w:val="00596437"/>
    <w:rsid w:val="005970EF"/>
    <w:rsid w:val="0059753A"/>
    <w:rsid w:val="005978A5"/>
    <w:rsid w:val="00597D54"/>
    <w:rsid w:val="005A0F0F"/>
    <w:rsid w:val="005A14D9"/>
    <w:rsid w:val="005A3307"/>
    <w:rsid w:val="005A3CAB"/>
    <w:rsid w:val="005A42AD"/>
    <w:rsid w:val="005A4894"/>
    <w:rsid w:val="005A4C51"/>
    <w:rsid w:val="005A5D07"/>
    <w:rsid w:val="005A6546"/>
    <w:rsid w:val="005B032D"/>
    <w:rsid w:val="005B0620"/>
    <w:rsid w:val="005B0C46"/>
    <w:rsid w:val="005B12D8"/>
    <w:rsid w:val="005B2AC0"/>
    <w:rsid w:val="005B4A85"/>
    <w:rsid w:val="005C1539"/>
    <w:rsid w:val="005C3251"/>
    <w:rsid w:val="005C3438"/>
    <w:rsid w:val="005C3485"/>
    <w:rsid w:val="005C4EB5"/>
    <w:rsid w:val="005D113F"/>
    <w:rsid w:val="005D1F48"/>
    <w:rsid w:val="005D28B9"/>
    <w:rsid w:val="005D413D"/>
    <w:rsid w:val="005D41EA"/>
    <w:rsid w:val="005D43EA"/>
    <w:rsid w:val="005D4645"/>
    <w:rsid w:val="005D57F5"/>
    <w:rsid w:val="005D67C3"/>
    <w:rsid w:val="005E0439"/>
    <w:rsid w:val="005E3FEC"/>
    <w:rsid w:val="005E58FA"/>
    <w:rsid w:val="005E62F4"/>
    <w:rsid w:val="005F0BD9"/>
    <w:rsid w:val="005F1222"/>
    <w:rsid w:val="005F37B8"/>
    <w:rsid w:val="005F41DE"/>
    <w:rsid w:val="005F715D"/>
    <w:rsid w:val="005F7886"/>
    <w:rsid w:val="00600678"/>
    <w:rsid w:val="00600D9F"/>
    <w:rsid w:val="00601A2E"/>
    <w:rsid w:val="00601F41"/>
    <w:rsid w:val="006023FE"/>
    <w:rsid w:val="00602941"/>
    <w:rsid w:val="00602D3C"/>
    <w:rsid w:val="0060366F"/>
    <w:rsid w:val="0060416D"/>
    <w:rsid w:val="006064D1"/>
    <w:rsid w:val="00606D01"/>
    <w:rsid w:val="006071AA"/>
    <w:rsid w:val="00611F5C"/>
    <w:rsid w:val="00612961"/>
    <w:rsid w:val="00613165"/>
    <w:rsid w:val="00615C1D"/>
    <w:rsid w:val="00615CD4"/>
    <w:rsid w:val="00616A4F"/>
    <w:rsid w:val="0061779D"/>
    <w:rsid w:val="006179F2"/>
    <w:rsid w:val="00617EB6"/>
    <w:rsid w:val="00620D16"/>
    <w:rsid w:val="0062257D"/>
    <w:rsid w:val="00624857"/>
    <w:rsid w:val="00625AEC"/>
    <w:rsid w:val="00626970"/>
    <w:rsid w:val="00627CA8"/>
    <w:rsid w:val="006303FE"/>
    <w:rsid w:val="00631E25"/>
    <w:rsid w:val="0063323A"/>
    <w:rsid w:val="006335CC"/>
    <w:rsid w:val="00634312"/>
    <w:rsid w:val="006356E8"/>
    <w:rsid w:val="0063641B"/>
    <w:rsid w:val="00636919"/>
    <w:rsid w:val="00637324"/>
    <w:rsid w:val="006374A8"/>
    <w:rsid w:val="0064194B"/>
    <w:rsid w:val="00643AD3"/>
    <w:rsid w:val="0064453D"/>
    <w:rsid w:val="006455D2"/>
    <w:rsid w:val="006468DF"/>
    <w:rsid w:val="00647B0D"/>
    <w:rsid w:val="00647DC6"/>
    <w:rsid w:val="00650DE0"/>
    <w:rsid w:val="00651B9D"/>
    <w:rsid w:val="00651BD6"/>
    <w:rsid w:val="00653645"/>
    <w:rsid w:val="00655711"/>
    <w:rsid w:val="006559A6"/>
    <w:rsid w:val="00657524"/>
    <w:rsid w:val="00662422"/>
    <w:rsid w:val="00664616"/>
    <w:rsid w:val="0066600C"/>
    <w:rsid w:val="006665FF"/>
    <w:rsid w:val="00667144"/>
    <w:rsid w:val="00667EFC"/>
    <w:rsid w:val="00670CFE"/>
    <w:rsid w:val="006726C5"/>
    <w:rsid w:val="00672965"/>
    <w:rsid w:val="0067476A"/>
    <w:rsid w:val="00676A1C"/>
    <w:rsid w:val="00676B5F"/>
    <w:rsid w:val="00677013"/>
    <w:rsid w:val="00677278"/>
    <w:rsid w:val="00677428"/>
    <w:rsid w:val="00680272"/>
    <w:rsid w:val="006817CB"/>
    <w:rsid w:val="00681EE3"/>
    <w:rsid w:val="00682419"/>
    <w:rsid w:val="00683208"/>
    <w:rsid w:val="0068417A"/>
    <w:rsid w:val="00684DCC"/>
    <w:rsid w:val="006852A8"/>
    <w:rsid w:val="00685CD0"/>
    <w:rsid w:val="0068675B"/>
    <w:rsid w:val="0068736E"/>
    <w:rsid w:val="0069017F"/>
    <w:rsid w:val="006911D4"/>
    <w:rsid w:val="00691E71"/>
    <w:rsid w:val="006923C3"/>
    <w:rsid w:val="00693D56"/>
    <w:rsid w:val="006948F8"/>
    <w:rsid w:val="006950FF"/>
    <w:rsid w:val="006955F4"/>
    <w:rsid w:val="00696425"/>
    <w:rsid w:val="006977AC"/>
    <w:rsid w:val="00697866"/>
    <w:rsid w:val="006A0520"/>
    <w:rsid w:val="006A077B"/>
    <w:rsid w:val="006A181A"/>
    <w:rsid w:val="006A25B5"/>
    <w:rsid w:val="006A291F"/>
    <w:rsid w:val="006A6D84"/>
    <w:rsid w:val="006B0C9D"/>
    <w:rsid w:val="006B1B6F"/>
    <w:rsid w:val="006B2152"/>
    <w:rsid w:val="006B2F96"/>
    <w:rsid w:val="006B3731"/>
    <w:rsid w:val="006B44A4"/>
    <w:rsid w:val="006B4E0C"/>
    <w:rsid w:val="006B5F2C"/>
    <w:rsid w:val="006B66C8"/>
    <w:rsid w:val="006C1008"/>
    <w:rsid w:val="006C4BD1"/>
    <w:rsid w:val="006C4C37"/>
    <w:rsid w:val="006C68BF"/>
    <w:rsid w:val="006D2272"/>
    <w:rsid w:val="006D3573"/>
    <w:rsid w:val="006D5B4D"/>
    <w:rsid w:val="006D5EFA"/>
    <w:rsid w:val="006D78EE"/>
    <w:rsid w:val="006E28E9"/>
    <w:rsid w:val="006E29B3"/>
    <w:rsid w:val="006E313F"/>
    <w:rsid w:val="006E32D3"/>
    <w:rsid w:val="006E41DB"/>
    <w:rsid w:val="006E511E"/>
    <w:rsid w:val="006E638B"/>
    <w:rsid w:val="006E6A4A"/>
    <w:rsid w:val="006F169B"/>
    <w:rsid w:val="006F1EF6"/>
    <w:rsid w:val="006F4228"/>
    <w:rsid w:val="006F4509"/>
    <w:rsid w:val="006F4E06"/>
    <w:rsid w:val="006F6C44"/>
    <w:rsid w:val="006F7927"/>
    <w:rsid w:val="0070188F"/>
    <w:rsid w:val="00701CCB"/>
    <w:rsid w:val="00701EBB"/>
    <w:rsid w:val="00702066"/>
    <w:rsid w:val="007026B1"/>
    <w:rsid w:val="00704F82"/>
    <w:rsid w:val="00705ACC"/>
    <w:rsid w:val="00705D63"/>
    <w:rsid w:val="00707232"/>
    <w:rsid w:val="0070779A"/>
    <w:rsid w:val="0071113D"/>
    <w:rsid w:val="00712491"/>
    <w:rsid w:val="0071263A"/>
    <w:rsid w:val="00714FFA"/>
    <w:rsid w:val="00715974"/>
    <w:rsid w:val="007172B7"/>
    <w:rsid w:val="00717F39"/>
    <w:rsid w:val="00720164"/>
    <w:rsid w:val="0072060F"/>
    <w:rsid w:val="00721B14"/>
    <w:rsid w:val="0072393B"/>
    <w:rsid w:val="00723999"/>
    <w:rsid w:val="007240D7"/>
    <w:rsid w:val="00726FE7"/>
    <w:rsid w:val="0073022D"/>
    <w:rsid w:val="007321FB"/>
    <w:rsid w:val="00736A77"/>
    <w:rsid w:val="00737A78"/>
    <w:rsid w:val="00737EB3"/>
    <w:rsid w:val="00740B80"/>
    <w:rsid w:val="00743008"/>
    <w:rsid w:val="007461C6"/>
    <w:rsid w:val="00747C94"/>
    <w:rsid w:val="00750F8D"/>
    <w:rsid w:val="0075154C"/>
    <w:rsid w:val="007518ED"/>
    <w:rsid w:val="0075390A"/>
    <w:rsid w:val="007547FF"/>
    <w:rsid w:val="00754ABD"/>
    <w:rsid w:val="00755484"/>
    <w:rsid w:val="00756048"/>
    <w:rsid w:val="007639C9"/>
    <w:rsid w:val="007652C3"/>
    <w:rsid w:val="00766410"/>
    <w:rsid w:val="00770DF2"/>
    <w:rsid w:val="00773C4A"/>
    <w:rsid w:val="007742C5"/>
    <w:rsid w:val="00774646"/>
    <w:rsid w:val="0077527C"/>
    <w:rsid w:val="00780913"/>
    <w:rsid w:val="00780BB8"/>
    <w:rsid w:val="007820D8"/>
    <w:rsid w:val="0078391C"/>
    <w:rsid w:val="00783ECF"/>
    <w:rsid w:val="007845D5"/>
    <w:rsid w:val="00784640"/>
    <w:rsid w:val="00784BED"/>
    <w:rsid w:val="007877E1"/>
    <w:rsid w:val="00791274"/>
    <w:rsid w:val="00792030"/>
    <w:rsid w:val="007936F5"/>
    <w:rsid w:val="0079413F"/>
    <w:rsid w:val="00796CB1"/>
    <w:rsid w:val="007974D4"/>
    <w:rsid w:val="007A324A"/>
    <w:rsid w:val="007A38B0"/>
    <w:rsid w:val="007A3E8D"/>
    <w:rsid w:val="007A6C24"/>
    <w:rsid w:val="007A6F97"/>
    <w:rsid w:val="007A7491"/>
    <w:rsid w:val="007A7D8B"/>
    <w:rsid w:val="007B2AC8"/>
    <w:rsid w:val="007B2D16"/>
    <w:rsid w:val="007B41DE"/>
    <w:rsid w:val="007B4834"/>
    <w:rsid w:val="007B4A67"/>
    <w:rsid w:val="007B5D45"/>
    <w:rsid w:val="007B7E94"/>
    <w:rsid w:val="007C0F8D"/>
    <w:rsid w:val="007C1B4D"/>
    <w:rsid w:val="007C2356"/>
    <w:rsid w:val="007C3EC2"/>
    <w:rsid w:val="007C4CA9"/>
    <w:rsid w:val="007D2477"/>
    <w:rsid w:val="007D3C9F"/>
    <w:rsid w:val="007D3F74"/>
    <w:rsid w:val="007D48A9"/>
    <w:rsid w:val="007D4B17"/>
    <w:rsid w:val="007D4BEE"/>
    <w:rsid w:val="007D4C5C"/>
    <w:rsid w:val="007D5540"/>
    <w:rsid w:val="007D5B07"/>
    <w:rsid w:val="007E0292"/>
    <w:rsid w:val="007E0BE4"/>
    <w:rsid w:val="007E332B"/>
    <w:rsid w:val="007E33CE"/>
    <w:rsid w:val="007E4A94"/>
    <w:rsid w:val="007E520A"/>
    <w:rsid w:val="007E7587"/>
    <w:rsid w:val="007F2A60"/>
    <w:rsid w:val="007F3096"/>
    <w:rsid w:val="007F4B69"/>
    <w:rsid w:val="007F4BA9"/>
    <w:rsid w:val="007F5174"/>
    <w:rsid w:val="007F6CAD"/>
    <w:rsid w:val="0080051A"/>
    <w:rsid w:val="00801131"/>
    <w:rsid w:val="008022D2"/>
    <w:rsid w:val="0080244F"/>
    <w:rsid w:val="00803BCE"/>
    <w:rsid w:val="00804AD7"/>
    <w:rsid w:val="00805D16"/>
    <w:rsid w:val="00810023"/>
    <w:rsid w:val="008109F0"/>
    <w:rsid w:val="008115D7"/>
    <w:rsid w:val="0081184A"/>
    <w:rsid w:val="00812484"/>
    <w:rsid w:val="008151E0"/>
    <w:rsid w:val="0081669B"/>
    <w:rsid w:val="00820F82"/>
    <w:rsid w:val="008228E5"/>
    <w:rsid w:val="00822C8F"/>
    <w:rsid w:val="00822C97"/>
    <w:rsid w:val="00823149"/>
    <w:rsid w:val="00823959"/>
    <w:rsid w:val="00824CC4"/>
    <w:rsid w:val="00824DB5"/>
    <w:rsid w:val="00827577"/>
    <w:rsid w:val="00830821"/>
    <w:rsid w:val="008324CE"/>
    <w:rsid w:val="00833FC9"/>
    <w:rsid w:val="008351BA"/>
    <w:rsid w:val="0084004C"/>
    <w:rsid w:val="0084026F"/>
    <w:rsid w:val="008404FE"/>
    <w:rsid w:val="008416CB"/>
    <w:rsid w:val="00841FE3"/>
    <w:rsid w:val="00843AEE"/>
    <w:rsid w:val="00843B99"/>
    <w:rsid w:val="00844ECC"/>
    <w:rsid w:val="00850DC0"/>
    <w:rsid w:val="008517CC"/>
    <w:rsid w:val="0085235F"/>
    <w:rsid w:val="0085257C"/>
    <w:rsid w:val="00852EB8"/>
    <w:rsid w:val="00854875"/>
    <w:rsid w:val="00854C07"/>
    <w:rsid w:val="008553E2"/>
    <w:rsid w:val="00856F43"/>
    <w:rsid w:val="00860800"/>
    <w:rsid w:val="008619CE"/>
    <w:rsid w:val="00861CAF"/>
    <w:rsid w:val="00862A91"/>
    <w:rsid w:val="0086351D"/>
    <w:rsid w:val="00863FC4"/>
    <w:rsid w:val="0086478E"/>
    <w:rsid w:val="00865457"/>
    <w:rsid w:val="00867AEB"/>
    <w:rsid w:val="0087030A"/>
    <w:rsid w:val="008707C8"/>
    <w:rsid w:val="00871BB6"/>
    <w:rsid w:val="0087292B"/>
    <w:rsid w:val="00872E54"/>
    <w:rsid w:val="008743AE"/>
    <w:rsid w:val="00875DAA"/>
    <w:rsid w:val="00875F28"/>
    <w:rsid w:val="008773CB"/>
    <w:rsid w:val="00886002"/>
    <w:rsid w:val="008875F6"/>
    <w:rsid w:val="008900B2"/>
    <w:rsid w:val="008904B8"/>
    <w:rsid w:val="00892130"/>
    <w:rsid w:val="0089238A"/>
    <w:rsid w:val="00892FAF"/>
    <w:rsid w:val="00895292"/>
    <w:rsid w:val="00895B04"/>
    <w:rsid w:val="00896D65"/>
    <w:rsid w:val="008A0893"/>
    <w:rsid w:val="008A1D9F"/>
    <w:rsid w:val="008A391D"/>
    <w:rsid w:val="008A46CF"/>
    <w:rsid w:val="008A61A9"/>
    <w:rsid w:val="008A61E8"/>
    <w:rsid w:val="008B09D0"/>
    <w:rsid w:val="008B1AF7"/>
    <w:rsid w:val="008B3838"/>
    <w:rsid w:val="008B475D"/>
    <w:rsid w:val="008B517B"/>
    <w:rsid w:val="008B784B"/>
    <w:rsid w:val="008B7ABB"/>
    <w:rsid w:val="008C0A0E"/>
    <w:rsid w:val="008C1251"/>
    <w:rsid w:val="008C2762"/>
    <w:rsid w:val="008C40B1"/>
    <w:rsid w:val="008C600A"/>
    <w:rsid w:val="008C7A68"/>
    <w:rsid w:val="008D2C53"/>
    <w:rsid w:val="008E2BD8"/>
    <w:rsid w:val="008E30E2"/>
    <w:rsid w:val="008E510B"/>
    <w:rsid w:val="008E59CF"/>
    <w:rsid w:val="008E7A08"/>
    <w:rsid w:val="008F0183"/>
    <w:rsid w:val="008F159D"/>
    <w:rsid w:val="008F5D9A"/>
    <w:rsid w:val="008F73F6"/>
    <w:rsid w:val="008F77FB"/>
    <w:rsid w:val="009000DC"/>
    <w:rsid w:val="009004B8"/>
    <w:rsid w:val="00901387"/>
    <w:rsid w:val="00907122"/>
    <w:rsid w:val="0090723A"/>
    <w:rsid w:val="00911C74"/>
    <w:rsid w:val="00911FF8"/>
    <w:rsid w:val="009120DA"/>
    <w:rsid w:val="00913B85"/>
    <w:rsid w:val="00913D32"/>
    <w:rsid w:val="00914461"/>
    <w:rsid w:val="00915905"/>
    <w:rsid w:val="00916005"/>
    <w:rsid w:val="009162A2"/>
    <w:rsid w:val="0092096C"/>
    <w:rsid w:val="009225B3"/>
    <w:rsid w:val="0092753D"/>
    <w:rsid w:val="0092796F"/>
    <w:rsid w:val="00930883"/>
    <w:rsid w:val="00930E48"/>
    <w:rsid w:val="00930FE5"/>
    <w:rsid w:val="009321D3"/>
    <w:rsid w:val="00936399"/>
    <w:rsid w:val="00936F01"/>
    <w:rsid w:val="009402B5"/>
    <w:rsid w:val="00940983"/>
    <w:rsid w:val="00940C92"/>
    <w:rsid w:val="009418D6"/>
    <w:rsid w:val="00942865"/>
    <w:rsid w:val="00943FEF"/>
    <w:rsid w:val="00951FE5"/>
    <w:rsid w:val="00952366"/>
    <w:rsid w:val="00955580"/>
    <w:rsid w:val="00955D12"/>
    <w:rsid w:val="00955E26"/>
    <w:rsid w:val="00960F3D"/>
    <w:rsid w:val="009613AE"/>
    <w:rsid w:val="00961754"/>
    <w:rsid w:val="009645AB"/>
    <w:rsid w:val="00965DAC"/>
    <w:rsid w:val="00967917"/>
    <w:rsid w:val="009706C9"/>
    <w:rsid w:val="009733A3"/>
    <w:rsid w:val="00974878"/>
    <w:rsid w:val="00975292"/>
    <w:rsid w:val="009768CE"/>
    <w:rsid w:val="00981833"/>
    <w:rsid w:val="00984DD8"/>
    <w:rsid w:val="009853A0"/>
    <w:rsid w:val="00986FB1"/>
    <w:rsid w:val="0098706A"/>
    <w:rsid w:val="00987702"/>
    <w:rsid w:val="00990198"/>
    <w:rsid w:val="00992254"/>
    <w:rsid w:val="00996FEE"/>
    <w:rsid w:val="009976F0"/>
    <w:rsid w:val="009A13AD"/>
    <w:rsid w:val="009A1A4A"/>
    <w:rsid w:val="009A277F"/>
    <w:rsid w:val="009A2E31"/>
    <w:rsid w:val="009A3AC3"/>
    <w:rsid w:val="009A3C1C"/>
    <w:rsid w:val="009A5E4B"/>
    <w:rsid w:val="009A6442"/>
    <w:rsid w:val="009A7AFB"/>
    <w:rsid w:val="009A7FF5"/>
    <w:rsid w:val="009B12A0"/>
    <w:rsid w:val="009B2415"/>
    <w:rsid w:val="009B31C1"/>
    <w:rsid w:val="009B3DD1"/>
    <w:rsid w:val="009B4F06"/>
    <w:rsid w:val="009B73CA"/>
    <w:rsid w:val="009B77DC"/>
    <w:rsid w:val="009C11F9"/>
    <w:rsid w:val="009C4FCF"/>
    <w:rsid w:val="009C5A6D"/>
    <w:rsid w:val="009C6F22"/>
    <w:rsid w:val="009D01E4"/>
    <w:rsid w:val="009D223D"/>
    <w:rsid w:val="009D2B11"/>
    <w:rsid w:val="009D2BA5"/>
    <w:rsid w:val="009D3904"/>
    <w:rsid w:val="009D3DBC"/>
    <w:rsid w:val="009D3F26"/>
    <w:rsid w:val="009D4266"/>
    <w:rsid w:val="009D46E2"/>
    <w:rsid w:val="009D4B05"/>
    <w:rsid w:val="009D641D"/>
    <w:rsid w:val="009D7E94"/>
    <w:rsid w:val="009E0AF2"/>
    <w:rsid w:val="009E1000"/>
    <w:rsid w:val="009E18EA"/>
    <w:rsid w:val="009E1AF1"/>
    <w:rsid w:val="009E1E6D"/>
    <w:rsid w:val="009E2472"/>
    <w:rsid w:val="009E25D9"/>
    <w:rsid w:val="009E415F"/>
    <w:rsid w:val="009E4B5F"/>
    <w:rsid w:val="009E5BD3"/>
    <w:rsid w:val="009E6014"/>
    <w:rsid w:val="009E6BB5"/>
    <w:rsid w:val="009E6CFE"/>
    <w:rsid w:val="009E6EB3"/>
    <w:rsid w:val="009E73F5"/>
    <w:rsid w:val="009F0C3D"/>
    <w:rsid w:val="009F0D31"/>
    <w:rsid w:val="009F0D87"/>
    <w:rsid w:val="009F10BB"/>
    <w:rsid w:val="009F154D"/>
    <w:rsid w:val="009F381A"/>
    <w:rsid w:val="00A00DE7"/>
    <w:rsid w:val="00A035A4"/>
    <w:rsid w:val="00A0590D"/>
    <w:rsid w:val="00A068FF"/>
    <w:rsid w:val="00A06CBE"/>
    <w:rsid w:val="00A1191E"/>
    <w:rsid w:val="00A1401A"/>
    <w:rsid w:val="00A143DD"/>
    <w:rsid w:val="00A14869"/>
    <w:rsid w:val="00A14D89"/>
    <w:rsid w:val="00A16658"/>
    <w:rsid w:val="00A16B84"/>
    <w:rsid w:val="00A16D7E"/>
    <w:rsid w:val="00A171E4"/>
    <w:rsid w:val="00A173F2"/>
    <w:rsid w:val="00A17ACC"/>
    <w:rsid w:val="00A21D32"/>
    <w:rsid w:val="00A22A87"/>
    <w:rsid w:val="00A22AE9"/>
    <w:rsid w:val="00A2431D"/>
    <w:rsid w:val="00A24494"/>
    <w:rsid w:val="00A25B05"/>
    <w:rsid w:val="00A27AC9"/>
    <w:rsid w:val="00A306A4"/>
    <w:rsid w:val="00A30B12"/>
    <w:rsid w:val="00A31D16"/>
    <w:rsid w:val="00A32E5E"/>
    <w:rsid w:val="00A343B6"/>
    <w:rsid w:val="00A35393"/>
    <w:rsid w:val="00A37F3A"/>
    <w:rsid w:val="00A404A2"/>
    <w:rsid w:val="00A405F1"/>
    <w:rsid w:val="00A421E0"/>
    <w:rsid w:val="00A42451"/>
    <w:rsid w:val="00A44604"/>
    <w:rsid w:val="00A469AE"/>
    <w:rsid w:val="00A52544"/>
    <w:rsid w:val="00A535D6"/>
    <w:rsid w:val="00A5424F"/>
    <w:rsid w:val="00A54449"/>
    <w:rsid w:val="00A558B3"/>
    <w:rsid w:val="00A56E27"/>
    <w:rsid w:val="00A57D90"/>
    <w:rsid w:val="00A62019"/>
    <w:rsid w:val="00A6229A"/>
    <w:rsid w:val="00A6525A"/>
    <w:rsid w:val="00A67247"/>
    <w:rsid w:val="00A7082B"/>
    <w:rsid w:val="00A70887"/>
    <w:rsid w:val="00A70D16"/>
    <w:rsid w:val="00A718D6"/>
    <w:rsid w:val="00A727B9"/>
    <w:rsid w:val="00A73271"/>
    <w:rsid w:val="00A74A68"/>
    <w:rsid w:val="00A75B62"/>
    <w:rsid w:val="00A75BAA"/>
    <w:rsid w:val="00A76E05"/>
    <w:rsid w:val="00A81DD2"/>
    <w:rsid w:val="00A86A05"/>
    <w:rsid w:val="00A87420"/>
    <w:rsid w:val="00A87E2C"/>
    <w:rsid w:val="00A91303"/>
    <w:rsid w:val="00A922E7"/>
    <w:rsid w:val="00A929E3"/>
    <w:rsid w:val="00A94AEA"/>
    <w:rsid w:val="00A967A8"/>
    <w:rsid w:val="00AA299B"/>
    <w:rsid w:val="00AA29EB"/>
    <w:rsid w:val="00AA2D58"/>
    <w:rsid w:val="00AA4417"/>
    <w:rsid w:val="00AA4AE1"/>
    <w:rsid w:val="00AA5705"/>
    <w:rsid w:val="00AA67C4"/>
    <w:rsid w:val="00AB0186"/>
    <w:rsid w:val="00AB05FC"/>
    <w:rsid w:val="00AB0884"/>
    <w:rsid w:val="00AB0BFA"/>
    <w:rsid w:val="00AB11EB"/>
    <w:rsid w:val="00AB1833"/>
    <w:rsid w:val="00AB33E0"/>
    <w:rsid w:val="00AB4CD8"/>
    <w:rsid w:val="00AB7068"/>
    <w:rsid w:val="00AB7407"/>
    <w:rsid w:val="00AC0B7E"/>
    <w:rsid w:val="00AC1F25"/>
    <w:rsid w:val="00AC23F6"/>
    <w:rsid w:val="00AC3C0A"/>
    <w:rsid w:val="00AC40DE"/>
    <w:rsid w:val="00AC43FB"/>
    <w:rsid w:val="00AC50A2"/>
    <w:rsid w:val="00AC52E6"/>
    <w:rsid w:val="00AC7CE8"/>
    <w:rsid w:val="00AD171E"/>
    <w:rsid w:val="00AD18CC"/>
    <w:rsid w:val="00AD1DBE"/>
    <w:rsid w:val="00AD2062"/>
    <w:rsid w:val="00AD472D"/>
    <w:rsid w:val="00AD4FCA"/>
    <w:rsid w:val="00AE37DD"/>
    <w:rsid w:val="00AE3C9A"/>
    <w:rsid w:val="00AE7D30"/>
    <w:rsid w:val="00AF0516"/>
    <w:rsid w:val="00AF0AF5"/>
    <w:rsid w:val="00AF0CDB"/>
    <w:rsid w:val="00AF3412"/>
    <w:rsid w:val="00AF47D6"/>
    <w:rsid w:val="00AF5810"/>
    <w:rsid w:val="00AF5F21"/>
    <w:rsid w:val="00B00FC6"/>
    <w:rsid w:val="00B01977"/>
    <w:rsid w:val="00B035F3"/>
    <w:rsid w:val="00B047C8"/>
    <w:rsid w:val="00B064B5"/>
    <w:rsid w:val="00B072D5"/>
    <w:rsid w:val="00B07628"/>
    <w:rsid w:val="00B07B08"/>
    <w:rsid w:val="00B07EBE"/>
    <w:rsid w:val="00B12033"/>
    <w:rsid w:val="00B163BB"/>
    <w:rsid w:val="00B20ABD"/>
    <w:rsid w:val="00B2170D"/>
    <w:rsid w:val="00B2339C"/>
    <w:rsid w:val="00B23647"/>
    <w:rsid w:val="00B236FF"/>
    <w:rsid w:val="00B24227"/>
    <w:rsid w:val="00B243C5"/>
    <w:rsid w:val="00B25770"/>
    <w:rsid w:val="00B275C8"/>
    <w:rsid w:val="00B302D0"/>
    <w:rsid w:val="00B31654"/>
    <w:rsid w:val="00B3196F"/>
    <w:rsid w:val="00B32B6E"/>
    <w:rsid w:val="00B35AFC"/>
    <w:rsid w:val="00B362A3"/>
    <w:rsid w:val="00B40154"/>
    <w:rsid w:val="00B410D6"/>
    <w:rsid w:val="00B436DA"/>
    <w:rsid w:val="00B43878"/>
    <w:rsid w:val="00B45361"/>
    <w:rsid w:val="00B4587B"/>
    <w:rsid w:val="00B45937"/>
    <w:rsid w:val="00B4669A"/>
    <w:rsid w:val="00B51248"/>
    <w:rsid w:val="00B51812"/>
    <w:rsid w:val="00B518C8"/>
    <w:rsid w:val="00B52D55"/>
    <w:rsid w:val="00B53FA6"/>
    <w:rsid w:val="00B55FD0"/>
    <w:rsid w:val="00B567D3"/>
    <w:rsid w:val="00B56DD3"/>
    <w:rsid w:val="00B60B01"/>
    <w:rsid w:val="00B62ABF"/>
    <w:rsid w:val="00B65E90"/>
    <w:rsid w:val="00B664B3"/>
    <w:rsid w:val="00B6759B"/>
    <w:rsid w:val="00B7025A"/>
    <w:rsid w:val="00B716C5"/>
    <w:rsid w:val="00B72345"/>
    <w:rsid w:val="00B72D1D"/>
    <w:rsid w:val="00B73FA2"/>
    <w:rsid w:val="00B7444D"/>
    <w:rsid w:val="00B757D3"/>
    <w:rsid w:val="00B759E4"/>
    <w:rsid w:val="00B7737D"/>
    <w:rsid w:val="00B77ADC"/>
    <w:rsid w:val="00B8108B"/>
    <w:rsid w:val="00B843CF"/>
    <w:rsid w:val="00B84AA5"/>
    <w:rsid w:val="00B84DE4"/>
    <w:rsid w:val="00B86033"/>
    <w:rsid w:val="00B86485"/>
    <w:rsid w:val="00B866DE"/>
    <w:rsid w:val="00B91055"/>
    <w:rsid w:val="00B91555"/>
    <w:rsid w:val="00B91C3C"/>
    <w:rsid w:val="00B9322A"/>
    <w:rsid w:val="00B93BE9"/>
    <w:rsid w:val="00B93E52"/>
    <w:rsid w:val="00B9497D"/>
    <w:rsid w:val="00B95414"/>
    <w:rsid w:val="00B9563F"/>
    <w:rsid w:val="00B96525"/>
    <w:rsid w:val="00B96689"/>
    <w:rsid w:val="00B96CE4"/>
    <w:rsid w:val="00B96EFB"/>
    <w:rsid w:val="00B9731E"/>
    <w:rsid w:val="00B97C8A"/>
    <w:rsid w:val="00BA0B1D"/>
    <w:rsid w:val="00BA1776"/>
    <w:rsid w:val="00BA2C28"/>
    <w:rsid w:val="00BA371B"/>
    <w:rsid w:val="00BA3D39"/>
    <w:rsid w:val="00BA4ADD"/>
    <w:rsid w:val="00BA51E5"/>
    <w:rsid w:val="00BB0502"/>
    <w:rsid w:val="00BB0AA4"/>
    <w:rsid w:val="00BB2916"/>
    <w:rsid w:val="00BB3658"/>
    <w:rsid w:val="00BB36D2"/>
    <w:rsid w:val="00BB3DD1"/>
    <w:rsid w:val="00BB5BFE"/>
    <w:rsid w:val="00BB7381"/>
    <w:rsid w:val="00BC0E9F"/>
    <w:rsid w:val="00BC1822"/>
    <w:rsid w:val="00BC3850"/>
    <w:rsid w:val="00BC4039"/>
    <w:rsid w:val="00BC503C"/>
    <w:rsid w:val="00BC5146"/>
    <w:rsid w:val="00BC560D"/>
    <w:rsid w:val="00BC5BC0"/>
    <w:rsid w:val="00BC5ED7"/>
    <w:rsid w:val="00BD3408"/>
    <w:rsid w:val="00BD5B57"/>
    <w:rsid w:val="00BD7869"/>
    <w:rsid w:val="00BE1539"/>
    <w:rsid w:val="00BE37BF"/>
    <w:rsid w:val="00BE3D1E"/>
    <w:rsid w:val="00BE477C"/>
    <w:rsid w:val="00BE4F59"/>
    <w:rsid w:val="00BF1E67"/>
    <w:rsid w:val="00BF1FBE"/>
    <w:rsid w:val="00BF4BDB"/>
    <w:rsid w:val="00BF5610"/>
    <w:rsid w:val="00BF5634"/>
    <w:rsid w:val="00BF6B28"/>
    <w:rsid w:val="00C02255"/>
    <w:rsid w:val="00C03ED1"/>
    <w:rsid w:val="00C0406F"/>
    <w:rsid w:val="00C040A1"/>
    <w:rsid w:val="00C04534"/>
    <w:rsid w:val="00C06483"/>
    <w:rsid w:val="00C06571"/>
    <w:rsid w:val="00C065A8"/>
    <w:rsid w:val="00C0692E"/>
    <w:rsid w:val="00C06E36"/>
    <w:rsid w:val="00C07034"/>
    <w:rsid w:val="00C1088C"/>
    <w:rsid w:val="00C109FF"/>
    <w:rsid w:val="00C1120F"/>
    <w:rsid w:val="00C1345D"/>
    <w:rsid w:val="00C13641"/>
    <w:rsid w:val="00C14308"/>
    <w:rsid w:val="00C143C3"/>
    <w:rsid w:val="00C164A3"/>
    <w:rsid w:val="00C16B52"/>
    <w:rsid w:val="00C20B2B"/>
    <w:rsid w:val="00C212A4"/>
    <w:rsid w:val="00C2166F"/>
    <w:rsid w:val="00C21C24"/>
    <w:rsid w:val="00C21D34"/>
    <w:rsid w:val="00C22446"/>
    <w:rsid w:val="00C22C85"/>
    <w:rsid w:val="00C24AF1"/>
    <w:rsid w:val="00C30959"/>
    <w:rsid w:val="00C30E54"/>
    <w:rsid w:val="00C32145"/>
    <w:rsid w:val="00C32B95"/>
    <w:rsid w:val="00C34B8E"/>
    <w:rsid w:val="00C35452"/>
    <w:rsid w:val="00C36056"/>
    <w:rsid w:val="00C360EA"/>
    <w:rsid w:val="00C40953"/>
    <w:rsid w:val="00C414C3"/>
    <w:rsid w:val="00C429D4"/>
    <w:rsid w:val="00C434B7"/>
    <w:rsid w:val="00C4381D"/>
    <w:rsid w:val="00C44C17"/>
    <w:rsid w:val="00C44D63"/>
    <w:rsid w:val="00C469BF"/>
    <w:rsid w:val="00C47974"/>
    <w:rsid w:val="00C522A7"/>
    <w:rsid w:val="00C55E75"/>
    <w:rsid w:val="00C56939"/>
    <w:rsid w:val="00C577C1"/>
    <w:rsid w:val="00C62560"/>
    <w:rsid w:val="00C62A3D"/>
    <w:rsid w:val="00C633FC"/>
    <w:rsid w:val="00C6366B"/>
    <w:rsid w:val="00C64942"/>
    <w:rsid w:val="00C65535"/>
    <w:rsid w:val="00C66270"/>
    <w:rsid w:val="00C66710"/>
    <w:rsid w:val="00C74D5A"/>
    <w:rsid w:val="00C77855"/>
    <w:rsid w:val="00C77AB9"/>
    <w:rsid w:val="00C77AD1"/>
    <w:rsid w:val="00C81E19"/>
    <w:rsid w:val="00C83C91"/>
    <w:rsid w:val="00C84A38"/>
    <w:rsid w:val="00C87039"/>
    <w:rsid w:val="00C921CD"/>
    <w:rsid w:val="00C9309D"/>
    <w:rsid w:val="00C935A9"/>
    <w:rsid w:val="00C93EC5"/>
    <w:rsid w:val="00C9407B"/>
    <w:rsid w:val="00C94168"/>
    <w:rsid w:val="00C9418A"/>
    <w:rsid w:val="00C95B79"/>
    <w:rsid w:val="00C96B80"/>
    <w:rsid w:val="00CA083A"/>
    <w:rsid w:val="00CA0B21"/>
    <w:rsid w:val="00CA155C"/>
    <w:rsid w:val="00CA3D40"/>
    <w:rsid w:val="00CA4568"/>
    <w:rsid w:val="00CA68A5"/>
    <w:rsid w:val="00CA7B8C"/>
    <w:rsid w:val="00CB2CDA"/>
    <w:rsid w:val="00CB5536"/>
    <w:rsid w:val="00CB669F"/>
    <w:rsid w:val="00CB7F25"/>
    <w:rsid w:val="00CC12FF"/>
    <w:rsid w:val="00CC14AD"/>
    <w:rsid w:val="00CC2885"/>
    <w:rsid w:val="00CC37C8"/>
    <w:rsid w:val="00CC3D00"/>
    <w:rsid w:val="00CC6FD6"/>
    <w:rsid w:val="00CD1543"/>
    <w:rsid w:val="00CD21D8"/>
    <w:rsid w:val="00CD32D2"/>
    <w:rsid w:val="00CD397F"/>
    <w:rsid w:val="00CD3B76"/>
    <w:rsid w:val="00CD47B1"/>
    <w:rsid w:val="00CD680B"/>
    <w:rsid w:val="00CE05D0"/>
    <w:rsid w:val="00CE19EA"/>
    <w:rsid w:val="00CE30C0"/>
    <w:rsid w:val="00CE3459"/>
    <w:rsid w:val="00CE416A"/>
    <w:rsid w:val="00CE4B91"/>
    <w:rsid w:val="00CE5F8B"/>
    <w:rsid w:val="00CE6994"/>
    <w:rsid w:val="00CE6C27"/>
    <w:rsid w:val="00CE7A35"/>
    <w:rsid w:val="00CF0A04"/>
    <w:rsid w:val="00CF0C3C"/>
    <w:rsid w:val="00CF155D"/>
    <w:rsid w:val="00CF1B17"/>
    <w:rsid w:val="00CF3338"/>
    <w:rsid w:val="00CF45E5"/>
    <w:rsid w:val="00CF477C"/>
    <w:rsid w:val="00CF5D32"/>
    <w:rsid w:val="00CF621F"/>
    <w:rsid w:val="00CF6F33"/>
    <w:rsid w:val="00D0207D"/>
    <w:rsid w:val="00D06ECC"/>
    <w:rsid w:val="00D10B95"/>
    <w:rsid w:val="00D1126C"/>
    <w:rsid w:val="00D11344"/>
    <w:rsid w:val="00D1374A"/>
    <w:rsid w:val="00D14302"/>
    <w:rsid w:val="00D14C2C"/>
    <w:rsid w:val="00D15176"/>
    <w:rsid w:val="00D1633E"/>
    <w:rsid w:val="00D22BA4"/>
    <w:rsid w:val="00D22FD4"/>
    <w:rsid w:val="00D23CE4"/>
    <w:rsid w:val="00D25925"/>
    <w:rsid w:val="00D26173"/>
    <w:rsid w:val="00D300EE"/>
    <w:rsid w:val="00D31072"/>
    <w:rsid w:val="00D31558"/>
    <w:rsid w:val="00D315EA"/>
    <w:rsid w:val="00D3230E"/>
    <w:rsid w:val="00D34B00"/>
    <w:rsid w:val="00D34F3C"/>
    <w:rsid w:val="00D40CC5"/>
    <w:rsid w:val="00D421AB"/>
    <w:rsid w:val="00D42C90"/>
    <w:rsid w:val="00D44A8A"/>
    <w:rsid w:val="00D46024"/>
    <w:rsid w:val="00D4723F"/>
    <w:rsid w:val="00D500DC"/>
    <w:rsid w:val="00D5029F"/>
    <w:rsid w:val="00D53597"/>
    <w:rsid w:val="00D53B6B"/>
    <w:rsid w:val="00D559DC"/>
    <w:rsid w:val="00D6004D"/>
    <w:rsid w:val="00D607A7"/>
    <w:rsid w:val="00D608F7"/>
    <w:rsid w:val="00D61498"/>
    <w:rsid w:val="00D61AC9"/>
    <w:rsid w:val="00D64551"/>
    <w:rsid w:val="00D64809"/>
    <w:rsid w:val="00D64AD4"/>
    <w:rsid w:val="00D65A29"/>
    <w:rsid w:val="00D6641E"/>
    <w:rsid w:val="00D671B1"/>
    <w:rsid w:val="00D7514A"/>
    <w:rsid w:val="00D76798"/>
    <w:rsid w:val="00D77C03"/>
    <w:rsid w:val="00D80595"/>
    <w:rsid w:val="00D81999"/>
    <w:rsid w:val="00D83AEF"/>
    <w:rsid w:val="00D8680E"/>
    <w:rsid w:val="00D878BA"/>
    <w:rsid w:val="00D90A99"/>
    <w:rsid w:val="00D910F5"/>
    <w:rsid w:val="00D91CE3"/>
    <w:rsid w:val="00D925DD"/>
    <w:rsid w:val="00D9261B"/>
    <w:rsid w:val="00D92CFC"/>
    <w:rsid w:val="00D93BA0"/>
    <w:rsid w:val="00D94BA4"/>
    <w:rsid w:val="00D94BAC"/>
    <w:rsid w:val="00D95118"/>
    <w:rsid w:val="00D95320"/>
    <w:rsid w:val="00D968DE"/>
    <w:rsid w:val="00DA2E3B"/>
    <w:rsid w:val="00DA3847"/>
    <w:rsid w:val="00DA6260"/>
    <w:rsid w:val="00DB064C"/>
    <w:rsid w:val="00DB1782"/>
    <w:rsid w:val="00DB6B38"/>
    <w:rsid w:val="00DB6FC5"/>
    <w:rsid w:val="00DC0610"/>
    <w:rsid w:val="00DC0ADF"/>
    <w:rsid w:val="00DC27B0"/>
    <w:rsid w:val="00DC3A3F"/>
    <w:rsid w:val="00DC606F"/>
    <w:rsid w:val="00DC630E"/>
    <w:rsid w:val="00DC6AB2"/>
    <w:rsid w:val="00DD0136"/>
    <w:rsid w:val="00DD19A9"/>
    <w:rsid w:val="00DD31AE"/>
    <w:rsid w:val="00DD3557"/>
    <w:rsid w:val="00DD5285"/>
    <w:rsid w:val="00DD6D02"/>
    <w:rsid w:val="00DD7D66"/>
    <w:rsid w:val="00DE2895"/>
    <w:rsid w:val="00DE2AC4"/>
    <w:rsid w:val="00DE3D02"/>
    <w:rsid w:val="00DE4C4A"/>
    <w:rsid w:val="00DE78DA"/>
    <w:rsid w:val="00DF031E"/>
    <w:rsid w:val="00DF1865"/>
    <w:rsid w:val="00DF3204"/>
    <w:rsid w:val="00DF42F2"/>
    <w:rsid w:val="00DF6915"/>
    <w:rsid w:val="00DF7468"/>
    <w:rsid w:val="00DF7FB6"/>
    <w:rsid w:val="00E00095"/>
    <w:rsid w:val="00E002B8"/>
    <w:rsid w:val="00E01C2C"/>
    <w:rsid w:val="00E020E6"/>
    <w:rsid w:val="00E07498"/>
    <w:rsid w:val="00E10B87"/>
    <w:rsid w:val="00E11093"/>
    <w:rsid w:val="00E12143"/>
    <w:rsid w:val="00E126CF"/>
    <w:rsid w:val="00E13D3F"/>
    <w:rsid w:val="00E141B5"/>
    <w:rsid w:val="00E146AE"/>
    <w:rsid w:val="00E156C2"/>
    <w:rsid w:val="00E1584A"/>
    <w:rsid w:val="00E15C82"/>
    <w:rsid w:val="00E229D6"/>
    <w:rsid w:val="00E23588"/>
    <w:rsid w:val="00E244D1"/>
    <w:rsid w:val="00E26CDD"/>
    <w:rsid w:val="00E27C4A"/>
    <w:rsid w:val="00E317CA"/>
    <w:rsid w:val="00E31937"/>
    <w:rsid w:val="00E34E33"/>
    <w:rsid w:val="00E358D4"/>
    <w:rsid w:val="00E3593A"/>
    <w:rsid w:val="00E35C2C"/>
    <w:rsid w:val="00E360BD"/>
    <w:rsid w:val="00E37843"/>
    <w:rsid w:val="00E41E48"/>
    <w:rsid w:val="00E42894"/>
    <w:rsid w:val="00E429B7"/>
    <w:rsid w:val="00E42EAD"/>
    <w:rsid w:val="00E46A4F"/>
    <w:rsid w:val="00E50C2B"/>
    <w:rsid w:val="00E51FB6"/>
    <w:rsid w:val="00E51FC5"/>
    <w:rsid w:val="00E528D2"/>
    <w:rsid w:val="00E535F1"/>
    <w:rsid w:val="00E567C8"/>
    <w:rsid w:val="00E56DC3"/>
    <w:rsid w:val="00E60E23"/>
    <w:rsid w:val="00E61729"/>
    <w:rsid w:val="00E62A01"/>
    <w:rsid w:val="00E6381F"/>
    <w:rsid w:val="00E638B0"/>
    <w:rsid w:val="00E64843"/>
    <w:rsid w:val="00E65467"/>
    <w:rsid w:val="00E664F4"/>
    <w:rsid w:val="00E671F5"/>
    <w:rsid w:val="00E702A8"/>
    <w:rsid w:val="00E706F4"/>
    <w:rsid w:val="00E73969"/>
    <w:rsid w:val="00E73ECC"/>
    <w:rsid w:val="00E74167"/>
    <w:rsid w:val="00E75563"/>
    <w:rsid w:val="00E75C35"/>
    <w:rsid w:val="00E7721E"/>
    <w:rsid w:val="00E77626"/>
    <w:rsid w:val="00E777D2"/>
    <w:rsid w:val="00E80432"/>
    <w:rsid w:val="00E81659"/>
    <w:rsid w:val="00E822FE"/>
    <w:rsid w:val="00E82EFB"/>
    <w:rsid w:val="00E83EC9"/>
    <w:rsid w:val="00E8508F"/>
    <w:rsid w:val="00E85BFA"/>
    <w:rsid w:val="00E9161C"/>
    <w:rsid w:val="00E961E1"/>
    <w:rsid w:val="00EA1D75"/>
    <w:rsid w:val="00EA1FB6"/>
    <w:rsid w:val="00EA5533"/>
    <w:rsid w:val="00EA61AB"/>
    <w:rsid w:val="00EA6391"/>
    <w:rsid w:val="00EA7A7C"/>
    <w:rsid w:val="00EA7B46"/>
    <w:rsid w:val="00EB0BE0"/>
    <w:rsid w:val="00EB0EE2"/>
    <w:rsid w:val="00EB21DC"/>
    <w:rsid w:val="00EB2719"/>
    <w:rsid w:val="00EB2F59"/>
    <w:rsid w:val="00EB32AD"/>
    <w:rsid w:val="00EB36BE"/>
    <w:rsid w:val="00EB45BC"/>
    <w:rsid w:val="00EB4F41"/>
    <w:rsid w:val="00EB501C"/>
    <w:rsid w:val="00EB6924"/>
    <w:rsid w:val="00EB74FB"/>
    <w:rsid w:val="00EC0FFC"/>
    <w:rsid w:val="00EC1E4A"/>
    <w:rsid w:val="00EC2E30"/>
    <w:rsid w:val="00EC433A"/>
    <w:rsid w:val="00EC55F4"/>
    <w:rsid w:val="00EC610B"/>
    <w:rsid w:val="00EC617A"/>
    <w:rsid w:val="00EC795D"/>
    <w:rsid w:val="00EC7D77"/>
    <w:rsid w:val="00ED364D"/>
    <w:rsid w:val="00ED4A8E"/>
    <w:rsid w:val="00ED4B70"/>
    <w:rsid w:val="00ED76C9"/>
    <w:rsid w:val="00EE221C"/>
    <w:rsid w:val="00EF0009"/>
    <w:rsid w:val="00EF075F"/>
    <w:rsid w:val="00EF1461"/>
    <w:rsid w:val="00EF3117"/>
    <w:rsid w:val="00EF3398"/>
    <w:rsid w:val="00EF341F"/>
    <w:rsid w:val="00F01137"/>
    <w:rsid w:val="00F0215A"/>
    <w:rsid w:val="00F034F8"/>
    <w:rsid w:val="00F05390"/>
    <w:rsid w:val="00F054C1"/>
    <w:rsid w:val="00F070F3"/>
    <w:rsid w:val="00F10247"/>
    <w:rsid w:val="00F11B8E"/>
    <w:rsid w:val="00F1360D"/>
    <w:rsid w:val="00F136E7"/>
    <w:rsid w:val="00F14DF6"/>
    <w:rsid w:val="00F16B4A"/>
    <w:rsid w:val="00F200F1"/>
    <w:rsid w:val="00F20492"/>
    <w:rsid w:val="00F2163A"/>
    <w:rsid w:val="00F26A6C"/>
    <w:rsid w:val="00F32567"/>
    <w:rsid w:val="00F32BCD"/>
    <w:rsid w:val="00F32D94"/>
    <w:rsid w:val="00F40901"/>
    <w:rsid w:val="00F418BA"/>
    <w:rsid w:val="00F41944"/>
    <w:rsid w:val="00F424F4"/>
    <w:rsid w:val="00F42578"/>
    <w:rsid w:val="00F42A96"/>
    <w:rsid w:val="00F42C08"/>
    <w:rsid w:val="00F43D4C"/>
    <w:rsid w:val="00F43DF1"/>
    <w:rsid w:val="00F43F08"/>
    <w:rsid w:val="00F444CF"/>
    <w:rsid w:val="00F462DE"/>
    <w:rsid w:val="00F46F5C"/>
    <w:rsid w:val="00F50A67"/>
    <w:rsid w:val="00F53CDA"/>
    <w:rsid w:val="00F5631E"/>
    <w:rsid w:val="00F571AD"/>
    <w:rsid w:val="00F617B7"/>
    <w:rsid w:val="00F61D7B"/>
    <w:rsid w:val="00F61E05"/>
    <w:rsid w:val="00F62B71"/>
    <w:rsid w:val="00F63F93"/>
    <w:rsid w:val="00F648E3"/>
    <w:rsid w:val="00F65988"/>
    <w:rsid w:val="00F667BC"/>
    <w:rsid w:val="00F67951"/>
    <w:rsid w:val="00F707B0"/>
    <w:rsid w:val="00F75312"/>
    <w:rsid w:val="00F7588D"/>
    <w:rsid w:val="00F75DE1"/>
    <w:rsid w:val="00F767E5"/>
    <w:rsid w:val="00F80AB5"/>
    <w:rsid w:val="00F81851"/>
    <w:rsid w:val="00F824CE"/>
    <w:rsid w:val="00F829BD"/>
    <w:rsid w:val="00F831CF"/>
    <w:rsid w:val="00F8464E"/>
    <w:rsid w:val="00F90469"/>
    <w:rsid w:val="00F90D1D"/>
    <w:rsid w:val="00F91D8D"/>
    <w:rsid w:val="00F93729"/>
    <w:rsid w:val="00F95D2E"/>
    <w:rsid w:val="00FA3B29"/>
    <w:rsid w:val="00FA497B"/>
    <w:rsid w:val="00FA4C98"/>
    <w:rsid w:val="00FA5FD6"/>
    <w:rsid w:val="00FA7891"/>
    <w:rsid w:val="00FB0B70"/>
    <w:rsid w:val="00FB691F"/>
    <w:rsid w:val="00FC03FC"/>
    <w:rsid w:val="00FC1DC8"/>
    <w:rsid w:val="00FC3AE2"/>
    <w:rsid w:val="00FC53EB"/>
    <w:rsid w:val="00FC5BFA"/>
    <w:rsid w:val="00FC5C0F"/>
    <w:rsid w:val="00FC6D4C"/>
    <w:rsid w:val="00FD1798"/>
    <w:rsid w:val="00FD1976"/>
    <w:rsid w:val="00FD2CE3"/>
    <w:rsid w:val="00FD6697"/>
    <w:rsid w:val="00FD6CD6"/>
    <w:rsid w:val="00FE0E2A"/>
    <w:rsid w:val="00FE3E5E"/>
    <w:rsid w:val="00FE421C"/>
    <w:rsid w:val="00FE5150"/>
    <w:rsid w:val="00FE7FCA"/>
    <w:rsid w:val="00FF0163"/>
    <w:rsid w:val="00FF0E1C"/>
    <w:rsid w:val="00FF1387"/>
    <w:rsid w:val="00FF2F59"/>
    <w:rsid w:val="00FF37D7"/>
    <w:rsid w:val="00FF508F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1B44BA"/>
    <w:pPr>
      <w:ind w:left="720"/>
      <w:contextualSpacing/>
    </w:pPr>
    <w:rPr>
      <w:sz w:val="20"/>
    </w:rPr>
  </w:style>
  <w:style w:type="character" w:customStyle="1" w:styleId="a8">
    <w:name w:val="Абзац списка Знак"/>
    <w:link w:val="a7"/>
    <w:uiPriority w:val="34"/>
    <w:locked/>
    <w:rsid w:val="00475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DD0136"/>
    <w:rPr>
      <w:sz w:val="20"/>
    </w:rPr>
  </w:style>
  <w:style w:type="character" w:customStyle="1" w:styleId="af">
    <w:name w:val="Текст сноски Знак"/>
    <w:basedOn w:val="a0"/>
    <w:link w:val="ae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DD0136"/>
    <w:rPr>
      <w:vertAlign w:val="superscript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1">
    <w:name w:val="Body Text"/>
    <w:basedOn w:val="a"/>
    <w:link w:val="af2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2">
    <w:name w:val="Основной текст Знак"/>
    <w:basedOn w:val="a0"/>
    <w:link w:val="af1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4">
    <w:name w:val="Основной текст с отступом Знак"/>
    <w:basedOn w:val="a0"/>
    <w:link w:val="af3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8B7ABB"/>
  </w:style>
  <w:style w:type="paragraph" w:styleId="af6">
    <w:name w:val="endnote text"/>
    <w:basedOn w:val="a"/>
    <w:link w:val="af7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7">
    <w:name w:val="Текст концевой сноски Знак"/>
    <w:basedOn w:val="a0"/>
    <w:link w:val="af6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rsid w:val="008B7ABB"/>
    <w:rPr>
      <w:vertAlign w:val="superscript"/>
    </w:rPr>
  </w:style>
  <w:style w:type="paragraph" w:styleId="af9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a">
    <w:name w:val="Emphasis"/>
    <w:basedOn w:val="a0"/>
    <w:uiPriority w:val="20"/>
    <w:qFormat/>
    <w:rsid w:val="008B7ABB"/>
    <w:rPr>
      <w:i/>
      <w:iCs/>
    </w:rPr>
  </w:style>
  <w:style w:type="paragraph" w:styleId="afb">
    <w:name w:val="Normal (Web)"/>
    <w:aliases w:val="Обычный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e-datetime">
    <w:name w:val="e-datetime"/>
    <w:basedOn w:val="a0"/>
    <w:rsid w:val="003554DC"/>
  </w:style>
  <w:style w:type="paragraph" w:customStyle="1" w:styleId="e-hidden">
    <w:name w:val="e-hidden"/>
    <w:basedOn w:val="a"/>
    <w:rsid w:val="003554DC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текст осн."/>
    <w:basedOn w:val="a"/>
    <w:rsid w:val="008900B2"/>
    <w:pPr>
      <w:ind w:firstLine="720"/>
      <w:jc w:val="both"/>
    </w:pPr>
    <w:rPr>
      <w:rFonts w:eastAsia="Trebuchet MS"/>
      <w:sz w:val="22"/>
    </w:rPr>
  </w:style>
  <w:style w:type="character" w:customStyle="1" w:styleId="green">
    <w:name w:val="green"/>
    <w:basedOn w:val="a0"/>
    <w:rsid w:val="00A306A4"/>
  </w:style>
  <w:style w:type="character" w:customStyle="1" w:styleId="red">
    <w:name w:val="red"/>
    <w:basedOn w:val="a0"/>
    <w:rsid w:val="00A306A4"/>
  </w:style>
  <w:style w:type="paragraph" w:customStyle="1" w:styleId="viewinfo">
    <w:name w:val="viewinfo"/>
    <w:basedOn w:val="a"/>
    <w:rsid w:val="00A306A4"/>
    <w:pPr>
      <w:spacing w:before="100" w:beforeAutospacing="1" w:after="100" w:afterAutospacing="1"/>
    </w:pPr>
    <w:rPr>
      <w:sz w:val="24"/>
      <w:szCs w:val="24"/>
    </w:rPr>
  </w:style>
  <w:style w:type="character" w:customStyle="1" w:styleId="viewinfo2">
    <w:name w:val="viewinfo2"/>
    <w:basedOn w:val="a0"/>
    <w:rsid w:val="00A306A4"/>
  </w:style>
  <w:style w:type="paragraph" w:customStyle="1" w:styleId="red1">
    <w:name w:val="red1"/>
    <w:basedOn w:val="a"/>
    <w:rsid w:val="00A306A4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06A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306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06A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306A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A306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664B3"/>
  </w:style>
  <w:style w:type="paragraph" w:customStyle="1" w:styleId="aff">
    <w:name w:val="шапка"/>
    <w:basedOn w:val="a"/>
    <w:rsid w:val="00072875"/>
    <w:pPr>
      <w:jc w:val="center"/>
    </w:pPr>
    <w:rPr>
      <w:rFonts w:eastAsia="Trebuchet MS"/>
      <w:sz w:val="20"/>
    </w:rPr>
  </w:style>
  <w:style w:type="character" w:customStyle="1" w:styleId="FontStyle24">
    <w:name w:val="Font Style24"/>
    <w:basedOn w:val="a0"/>
    <w:uiPriority w:val="99"/>
    <w:rsid w:val="005B4A85"/>
    <w:rPr>
      <w:rFonts w:ascii="Times New Roman" w:hAnsi="Times New Roman" w:cs="Times New Roman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8875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big">
    <w:name w:val="big"/>
    <w:basedOn w:val="a0"/>
    <w:rsid w:val="00F64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bloger51.com/wp-content/uploads/2013/10/%D0%A1%D0%BD%D0%B8%D0%BC%D0%BE%D0%BA-%D1%8D%D0%BA%D1%80%D0%B0%D0%BD%D0%B0-2013-10-18-%D0%B2-9.50.15.png" TargetMode="Externa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www.citymurmansk.ru/img/all/175_reshenie_o_strateg_planir__utv.docx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msp.nalog.ru/sear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ED55-55AB-49DC-B533-DE8457BC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19870</Words>
  <Characters>113259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132864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DubininaDA</cp:lastModifiedBy>
  <cp:revision>5</cp:revision>
  <cp:lastPrinted>2017-11-02T13:30:00Z</cp:lastPrinted>
  <dcterms:created xsi:type="dcterms:W3CDTF">2017-11-01T14:08:00Z</dcterms:created>
  <dcterms:modified xsi:type="dcterms:W3CDTF">2017-11-14T07:16:00Z</dcterms:modified>
</cp:coreProperties>
</file>