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0" w:rsidRPr="00165C07" w:rsidRDefault="00203810" w:rsidP="00203810">
      <w:pPr>
        <w:pStyle w:val="3"/>
        <w:ind w:right="-141"/>
        <w:jc w:val="center"/>
        <w:rPr>
          <w:sz w:val="26"/>
        </w:rPr>
      </w:pPr>
      <w:r w:rsidRPr="00165C0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10" w:rsidRPr="00165C07" w:rsidRDefault="00203810" w:rsidP="00203810">
      <w:pPr>
        <w:pStyle w:val="3"/>
        <w:jc w:val="center"/>
        <w:rPr>
          <w:sz w:val="16"/>
        </w:rPr>
      </w:pPr>
    </w:p>
    <w:p w:rsidR="00203810" w:rsidRPr="00165C07" w:rsidRDefault="00203810" w:rsidP="00203810">
      <w:pPr>
        <w:pStyle w:val="3"/>
        <w:ind w:right="0"/>
        <w:jc w:val="center"/>
        <w:rPr>
          <w:sz w:val="32"/>
        </w:rPr>
      </w:pPr>
      <w:r w:rsidRPr="00165C07">
        <w:rPr>
          <w:sz w:val="32"/>
        </w:rPr>
        <w:t>АДМИНИСТРАЦИЯ ГОРОДА МУРМАНСКА</w:t>
      </w: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203810" w:rsidP="00203810">
      <w:pPr>
        <w:pStyle w:val="5"/>
      </w:pPr>
      <w:proofErr w:type="gramStart"/>
      <w:r w:rsidRPr="00165C07">
        <w:t>П</w:t>
      </w:r>
      <w:proofErr w:type="gramEnd"/>
      <w:r w:rsidRPr="00165C07">
        <w:t xml:space="preserve"> О С Т А Н О В Л Е Н И Е </w:t>
      </w: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D93BA0" w:rsidP="00D93BA0">
      <w:pPr>
        <w:rPr>
          <w:b/>
        </w:rPr>
      </w:pPr>
      <w:r>
        <w:t>14.11.2017</w:t>
      </w:r>
      <w:r w:rsidR="00203810" w:rsidRPr="00165C07">
        <w:t xml:space="preserve">                                                                                                          </w:t>
      </w:r>
      <w:r w:rsidR="00203810" w:rsidRPr="00165C07">
        <w:rPr>
          <w:szCs w:val="28"/>
        </w:rPr>
        <w:t xml:space="preserve">№ </w:t>
      </w:r>
      <w:r>
        <w:t>3630</w:t>
      </w:r>
    </w:p>
    <w:p w:rsidR="00203810" w:rsidRPr="00165C07" w:rsidRDefault="00203810" w:rsidP="00203810"/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szCs w:val="28"/>
        </w:rPr>
        <w:t xml:space="preserve">О прогнозе </w:t>
      </w:r>
      <w:r w:rsidRPr="00165C07">
        <w:rPr>
          <w:b/>
          <w:bCs/>
          <w:szCs w:val="28"/>
        </w:rPr>
        <w:t xml:space="preserve">социально-экономического развития </w:t>
      </w:r>
    </w:p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bCs/>
          <w:szCs w:val="28"/>
        </w:rPr>
        <w:t xml:space="preserve">муниципального образования город Мурманск на 2018 год </w:t>
      </w:r>
    </w:p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bCs/>
          <w:szCs w:val="28"/>
        </w:rPr>
        <w:t>и плановый период 2019 и 2020 годов</w:t>
      </w:r>
    </w:p>
    <w:p w:rsidR="00203810" w:rsidRPr="00165C07" w:rsidRDefault="00203810" w:rsidP="00203810"/>
    <w:p w:rsidR="00203810" w:rsidRPr="00165C07" w:rsidRDefault="00203810" w:rsidP="00203810"/>
    <w:p w:rsidR="00203810" w:rsidRPr="00165C07" w:rsidRDefault="00203810" w:rsidP="00203810">
      <w:pPr>
        <w:ind w:firstLine="709"/>
        <w:jc w:val="both"/>
        <w:rPr>
          <w:b/>
          <w:spacing w:val="20"/>
          <w:szCs w:val="28"/>
        </w:rPr>
      </w:pPr>
      <w:proofErr w:type="gramStart"/>
      <w:r w:rsidRPr="00165C07">
        <w:rPr>
          <w:spacing w:val="4"/>
          <w:szCs w:val="28"/>
        </w:rPr>
        <w:t>В соответствии со статьей 173 Бюджетного кодекса Российской Федерации, статьей 17 Федерального закона от 06.10.2003 №131-ФЗ «Об общих принципах организации местного самоуправления в Российской Федерации», постановлением Правительства Мурманской области от 04.08.2015 №331-ПП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статьей 45 Устава муниципального образования город Мурманск, решениями Советадепутатов</w:t>
      </w:r>
      <w:proofErr w:type="gramEnd"/>
      <w:r w:rsidRPr="00165C07">
        <w:rPr>
          <w:spacing w:val="4"/>
          <w:szCs w:val="28"/>
        </w:rPr>
        <w:t xml:space="preserve"> </w:t>
      </w:r>
      <w:proofErr w:type="gramStart"/>
      <w:r w:rsidRPr="00165C07">
        <w:rPr>
          <w:spacing w:val="4"/>
          <w:szCs w:val="28"/>
        </w:rPr>
        <w:t xml:space="preserve">города Мурманска от 26.05.2008 №50-618 «Об утверждении «Положения о бюджетном устройстве и бюджетном процессе в муниципальном образовании город Мурманск», </w:t>
      </w:r>
      <w:hyperlink r:id="rId9" w:history="1">
        <w:r w:rsidRPr="00165C07">
          <w:rPr>
            <w:spacing w:val="4"/>
            <w:szCs w:val="28"/>
          </w:rPr>
          <w:t>от 27.03.2015 № 10-135 «Об утверждении положения о стратегическом планировании в городе Мурманске</w:t>
        </w:r>
      </w:hyperlink>
      <w:r w:rsidRPr="00165C07">
        <w:rPr>
          <w:spacing w:val="4"/>
          <w:szCs w:val="28"/>
        </w:rPr>
        <w:t>», постановлением администрации города Мурманска от 10.06.2015 №1524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периоды», в целях осуществления бюджетного процесса в</w:t>
      </w:r>
      <w:proofErr w:type="gramEnd"/>
      <w:r w:rsidRPr="00165C07">
        <w:rPr>
          <w:spacing w:val="4"/>
          <w:szCs w:val="28"/>
        </w:rPr>
        <w:t xml:space="preserve"> муниципальном образовании город Мурманск </w:t>
      </w:r>
      <w:proofErr w:type="gramStart"/>
      <w:r w:rsidRPr="00165C07">
        <w:rPr>
          <w:b/>
          <w:spacing w:val="20"/>
          <w:szCs w:val="28"/>
        </w:rPr>
        <w:t>п</w:t>
      </w:r>
      <w:proofErr w:type="gramEnd"/>
      <w:r w:rsidRPr="00165C07">
        <w:rPr>
          <w:b/>
          <w:spacing w:val="20"/>
          <w:szCs w:val="28"/>
        </w:rPr>
        <w:t xml:space="preserve"> о с т а н о в л я ю:</w:t>
      </w:r>
    </w:p>
    <w:p w:rsidR="00203810" w:rsidRPr="00165C07" w:rsidRDefault="00203810" w:rsidP="00203810">
      <w:pPr>
        <w:ind w:firstLine="709"/>
        <w:jc w:val="both"/>
        <w:rPr>
          <w:szCs w:val="28"/>
        </w:rPr>
      </w:pP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 xml:space="preserve"> Одобрить прогноз социально-экономического развития муниципального образования город Мурманск на 2018 год и плановый период 2019 и 2020 годов согласно приложению к настоящему постановлению.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5C07">
        <w:rPr>
          <w:sz w:val="28"/>
          <w:szCs w:val="28"/>
        </w:rPr>
        <w:t>разместить</w:t>
      </w:r>
      <w:proofErr w:type="gramEnd"/>
      <w:r w:rsidRPr="00165C07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>Редакции газеты «Вечерний Мурманск» (</w:t>
      </w:r>
      <w:proofErr w:type="gramStart"/>
      <w:r w:rsidRPr="00165C07">
        <w:rPr>
          <w:sz w:val="28"/>
          <w:szCs w:val="28"/>
        </w:rPr>
        <w:t>Хабаров</w:t>
      </w:r>
      <w:proofErr w:type="gramEnd"/>
      <w:r w:rsidRPr="00165C07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65C07">
        <w:rPr>
          <w:sz w:val="28"/>
          <w:szCs w:val="28"/>
        </w:rPr>
        <w:t>Контроль за</w:t>
      </w:r>
      <w:proofErr w:type="gramEnd"/>
      <w:r w:rsidRPr="00165C0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rPr>
          <w:szCs w:val="28"/>
        </w:rPr>
      </w:pPr>
    </w:p>
    <w:tbl>
      <w:tblPr>
        <w:tblW w:w="9889" w:type="dxa"/>
        <w:tblLook w:val="0000"/>
      </w:tblPr>
      <w:tblGrid>
        <w:gridCol w:w="5920"/>
        <w:gridCol w:w="668"/>
        <w:gridCol w:w="3301"/>
      </w:tblGrid>
      <w:tr w:rsidR="00203810" w:rsidRPr="00165C07" w:rsidTr="00650DE0">
        <w:tc>
          <w:tcPr>
            <w:tcW w:w="5920" w:type="dxa"/>
          </w:tcPr>
          <w:p w:rsidR="00650DE0" w:rsidRDefault="00650DE0" w:rsidP="00595BE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 </w:t>
            </w:r>
          </w:p>
          <w:p w:rsidR="00203810" w:rsidRPr="00165C07" w:rsidRDefault="00650DE0" w:rsidP="00595BE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главы администрации города Мурманска</w:t>
            </w:r>
          </w:p>
        </w:tc>
        <w:tc>
          <w:tcPr>
            <w:tcW w:w="668" w:type="dxa"/>
          </w:tcPr>
          <w:p w:rsidR="00203810" w:rsidRPr="00165C07" w:rsidRDefault="00203810" w:rsidP="00595BE6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203810" w:rsidRPr="00165C07" w:rsidRDefault="00203810" w:rsidP="00595BE6">
            <w:pPr>
              <w:jc w:val="right"/>
              <w:rPr>
                <w:b/>
                <w:bCs/>
                <w:szCs w:val="28"/>
              </w:rPr>
            </w:pPr>
          </w:p>
          <w:p w:rsidR="00203810" w:rsidRPr="00165C07" w:rsidRDefault="00650DE0" w:rsidP="00595BE6">
            <w:pPr>
              <w:jc w:val="right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А.Г. Лыженков</w:t>
            </w:r>
          </w:p>
        </w:tc>
      </w:tr>
    </w:tbl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  <w:sectPr w:rsidR="00203810" w:rsidRPr="00165C07" w:rsidSect="006A291F">
          <w:headerReference w:type="even" r:id="rId10"/>
          <w:headerReference w:type="default" r:id="rId11"/>
          <w:footerReference w:type="even" r:id="rId12"/>
          <w:pgSz w:w="11907" w:h="16840" w:code="9"/>
          <w:pgMar w:top="1134" w:right="851" w:bottom="1134" w:left="1418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10287"/>
        <w:gridCol w:w="4501"/>
      </w:tblGrid>
      <w:tr w:rsidR="00843B99" w:rsidRPr="00165C07" w:rsidTr="00D93BA0">
        <w:trPr>
          <w:trHeight w:val="1276"/>
        </w:trPr>
        <w:tc>
          <w:tcPr>
            <w:tcW w:w="10287" w:type="dxa"/>
          </w:tcPr>
          <w:p w:rsidR="00843B99" w:rsidRPr="00165C07" w:rsidRDefault="00843B99" w:rsidP="00203810">
            <w:pPr>
              <w:spacing w:after="200" w:line="276" w:lineRule="auto"/>
              <w:rPr>
                <w:spacing w:val="-3"/>
                <w:szCs w:val="28"/>
              </w:rPr>
            </w:pPr>
          </w:p>
        </w:tc>
        <w:tc>
          <w:tcPr>
            <w:tcW w:w="4501" w:type="dxa"/>
          </w:tcPr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Приложение</w:t>
            </w:r>
          </w:p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к постановлению администрации</w:t>
            </w:r>
          </w:p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города Мурманска</w:t>
            </w:r>
          </w:p>
          <w:p w:rsidR="00843B99" w:rsidRPr="00165C07" w:rsidRDefault="00843B99" w:rsidP="00D93BA0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 xml:space="preserve">от </w:t>
            </w:r>
            <w:r w:rsidR="00D93BA0">
              <w:t>14.11.2017</w:t>
            </w:r>
            <w:r w:rsidRPr="00165C07">
              <w:t xml:space="preserve"> </w:t>
            </w:r>
            <w:r w:rsidRPr="00165C07">
              <w:rPr>
                <w:spacing w:val="-3"/>
                <w:szCs w:val="28"/>
              </w:rPr>
              <w:t xml:space="preserve">№ </w:t>
            </w:r>
            <w:r w:rsidR="00D93BA0">
              <w:t>3630</w:t>
            </w:r>
          </w:p>
        </w:tc>
      </w:tr>
    </w:tbl>
    <w:p w:rsidR="00843B99" w:rsidRPr="00585E12" w:rsidRDefault="00843B99" w:rsidP="00843B99">
      <w:pPr>
        <w:pStyle w:val="1"/>
        <w:spacing w:before="0" w:after="0"/>
        <w:jc w:val="center"/>
        <w:rPr>
          <w:b w:val="0"/>
          <w:caps w:val="0"/>
          <w:sz w:val="22"/>
          <w:szCs w:val="22"/>
        </w:rPr>
      </w:pPr>
    </w:p>
    <w:p w:rsidR="00843B99" w:rsidRPr="00585E12" w:rsidRDefault="00843B99" w:rsidP="00843B99">
      <w:pPr>
        <w:pStyle w:val="1"/>
        <w:spacing w:before="0" w:after="0"/>
        <w:jc w:val="center"/>
        <w:rPr>
          <w:b w:val="0"/>
          <w:caps w:val="0"/>
          <w:sz w:val="22"/>
          <w:szCs w:val="22"/>
        </w:rPr>
      </w:pPr>
    </w:p>
    <w:p w:rsidR="00843B99" w:rsidRPr="00511190" w:rsidRDefault="00843B99" w:rsidP="00843B99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  <w:r w:rsidRPr="00511190">
        <w:rPr>
          <w:b w:val="0"/>
          <w:caps w:val="0"/>
          <w:sz w:val="28"/>
          <w:szCs w:val="28"/>
        </w:rPr>
        <w:t xml:space="preserve">Прогноз социально-экономического развития муниципального образования город Мурманск </w:t>
      </w:r>
    </w:p>
    <w:p w:rsidR="00843B99" w:rsidRDefault="00843B99" w:rsidP="00843B99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  <w:r w:rsidRPr="00511190">
        <w:rPr>
          <w:b w:val="0"/>
          <w:caps w:val="0"/>
          <w:sz w:val="28"/>
          <w:szCs w:val="28"/>
        </w:rPr>
        <w:t>на 2018 год и плановый период 2019 и 2020 годов</w:t>
      </w:r>
    </w:p>
    <w:p w:rsidR="00843B99" w:rsidRPr="00EF3117" w:rsidRDefault="00843B99" w:rsidP="00843B99">
      <w:pPr>
        <w:rPr>
          <w:sz w:val="16"/>
          <w:szCs w:val="16"/>
        </w:rPr>
      </w:pPr>
    </w:p>
    <w:tbl>
      <w:tblPr>
        <w:tblW w:w="14602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78"/>
        <w:gridCol w:w="1419"/>
        <w:gridCol w:w="849"/>
        <w:gridCol w:w="851"/>
        <w:gridCol w:w="850"/>
        <w:gridCol w:w="992"/>
        <w:gridCol w:w="993"/>
        <w:gridCol w:w="993"/>
        <w:gridCol w:w="992"/>
        <w:gridCol w:w="992"/>
        <w:gridCol w:w="993"/>
      </w:tblGrid>
      <w:tr w:rsidR="00843B99" w:rsidTr="00A54449">
        <w:trPr>
          <w:trHeight w:val="20"/>
          <w:tblHeader/>
        </w:trPr>
        <w:tc>
          <w:tcPr>
            <w:tcW w:w="4678" w:type="dxa"/>
            <w:vMerge w:val="restart"/>
            <w:vAlign w:val="center"/>
            <w:hideMark/>
          </w:tcPr>
          <w:p w:rsidR="00843B99" w:rsidRDefault="00843B99" w:rsidP="004A3D34">
            <w:pPr>
              <w:tabs>
                <w:tab w:val="left" w:pos="1060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43B99" w:rsidRDefault="00843B99" w:rsidP="004A3D34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изм. 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  <w:hideMark/>
          </w:tcPr>
          <w:p w:rsidR="00843B99" w:rsidRDefault="00843B99" w:rsidP="004A3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43B99" w:rsidRPr="004A3D34" w:rsidRDefault="00843B99" w:rsidP="004A3D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D34">
              <w:rPr>
                <w:sz w:val="18"/>
                <w:szCs w:val="18"/>
              </w:rPr>
              <w:t>Оценка</w:t>
            </w:r>
            <w:r w:rsidRPr="004A3D34">
              <w:rPr>
                <w:rStyle w:val="af0"/>
                <w:sz w:val="22"/>
                <w:szCs w:val="22"/>
              </w:rPr>
              <w:footnoteReference w:id="2"/>
            </w:r>
          </w:p>
        </w:tc>
        <w:tc>
          <w:tcPr>
            <w:tcW w:w="5955" w:type="dxa"/>
            <w:gridSpan w:val="6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bCs/>
                <w:iCs/>
                <w:sz w:val="18"/>
                <w:szCs w:val="18"/>
              </w:rPr>
            </w:pPr>
            <w:r w:rsidRPr="004A3D34">
              <w:rPr>
                <w:bCs/>
                <w:iCs/>
                <w:sz w:val="18"/>
                <w:szCs w:val="18"/>
              </w:rPr>
              <w:t>Прогноз</w:t>
            </w:r>
          </w:p>
        </w:tc>
      </w:tr>
      <w:tr w:rsidR="00843B99" w:rsidTr="00A54449">
        <w:trPr>
          <w:trHeight w:val="20"/>
          <w:tblHeader/>
        </w:trPr>
        <w:tc>
          <w:tcPr>
            <w:tcW w:w="4678" w:type="dxa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43B99" w:rsidRDefault="00843B99" w:rsidP="004A3D34">
            <w:pPr>
              <w:ind w:left="-1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3B99" w:rsidRPr="004A3D34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2020</w:t>
            </w:r>
          </w:p>
        </w:tc>
      </w:tr>
      <w:tr w:rsidR="00843B99" w:rsidTr="00A54449">
        <w:trPr>
          <w:trHeight w:val="20"/>
          <w:tblHeader/>
        </w:trPr>
        <w:tc>
          <w:tcPr>
            <w:tcW w:w="4678" w:type="dxa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43B99" w:rsidRDefault="00843B99" w:rsidP="004A3D34">
            <w:pPr>
              <w:ind w:left="-18"/>
              <w:rPr>
                <w:sz w:val="18"/>
                <w:szCs w:val="18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843B99" w:rsidRPr="005D1F48" w:rsidRDefault="00843B99" w:rsidP="004A3D34">
            <w:pPr>
              <w:jc w:val="center"/>
              <w:rPr>
                <w:sz w:val="18"/>
                <w:szCs w:val="18"/>
              </w:rPr>
            </w:pPr>
            <w:r w:rsidRPr="005D1F48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noWrap/>
            <w:vAlign w:val="bottom"/>
            <w:hideMark/>
          </w:tcPr>
          <w:p w:rsidR="00843B99" w:rsidRPr="005D1F48" w:rsidRDefault="00843B99" w:rsidP="004A3D34">
            <w:pPr>
              <w:jc w:val="center"/>
              <w:rPr>
                <w:sz w:val="18"/>
                <w:szCs w:val="18"/>
              </w:rPr>
            </w:pPr>
            <w:r w:rsidRPr="005D1F48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850" w:type="dxa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r w:rsidRPr="004A3D34">
              <w:rPr>
                <w:rStyle w:val="af0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2-й вариант</w:t>
            </w:r>
            <w:r w:rsidRPr="004A3D34">
              <w:rPr>
                <w:rStyle w:val="af0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proofErr w:type="gramStart"/>
            <w:r w:rsidRPr="004A3D34">
              <w:rPr>
                <w:i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2-й вариант</w:t>
            </w:r>
            <w:r w:rsidRPr="004A3D34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proofErr w:type="gramStart"/>
            <w:r w:rsidRPr="004A3D34">
              <w:rPr>
                <w:i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noWrap/>
            <w:vAlign w:val="center"/>
            <w:hideMark/>
          </w:tcPr>
          <w:p w:rsidR="00843B99" w:rsidRPr="008F159D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-й</w:t>
            </w:r>
            <w:r w:rsidRPr="008F159D">
              <w:rPr>
                <w:iCs/>
                <w:sz w:val="16"/>
                <w:szCs w:val="16"/>
              </w:rPr>
              <w:t xml:space="preserve"> вариант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</w:tr>
    </w:tbl>
    <w:p w:rsidR="00843B99" w:rsidRPr="00C414C3" w:rsidRDefault="00843B99" w:rsidP="00843B99">
      <w:pPr>
        <w:rPr>
          <w:vanish/>
        </w:rPr>
      </w:pPr>
    </w:p>
    <w:tbl>
      <w:tblPr>
        <w:tblW w:w="1458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67"/>
        <w:gridCol w:w="1418"/>
        <w:gridCol w:w="850"/>
        <w:gridCol w:w="851"/>
        <w:gridCol w:w="850"/>
        <w:gridCol w:w="992"/>
        <w:gridCol w:w="992"/>
        <w:gridCol w:w="993"/>
        <w:gridCol w:w="992"/>
        <w:gridCol w:w="1008"/>
        <w:gridCol w:w="976"/>
      </w:tblGrid>
      <w:tr w:rsidR="00843B99" w:rsidRPr="007F2209" w:rsidTr="00A54449">
        <w:trPr>
          <w:trHeight w:val="20"/>
          <w:tblHeader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4A3D34" w:rsidRDefault="00843B99" w:rsidP="00585E12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A3D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1. Демографические 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09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F2209">
              <w:rPr>
                <w:rFonts w:ascii="Arial" w:hAnsi="Arial" w:cs="Arial"/>
                <w:color w:val="FFFFFF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F2209">
              <w:rPr>
                <w:rFonts w:ascii="Arial" w:hAnsi="Arial" w:cs="Arial"/>
                <w:color w:val="FFFFFF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Численность населения (среднегодовая) -всего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303,40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299,83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296,29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292,87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289,93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287,08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287,21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bCs/>
                <w:color w:val="000000"/>
                <w:sz w:val="20"/>
              </w:rPr>
              <w:t>в</w:t>
            </w:r>
            <w:proofErr w:type="gramEnd"/>
            <w:r w:rsidRPr="007F2209">
              <w:rPr>
                <w:bCs/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bCs/>
                <w:color w:val="000000"/>
                <w:sz w:val="20"/>
              </w:rPr>
              <w:t>к</w:t>
            </w:r>
            <w:proofErr w:type="gramEnd"/>
            <w:r w:rsidRPr="007F2209">
              <w:rPr>
                <w:bCs/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</w:rPr>
              <w:t>98,9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  <w:lang w:val="en-US"/>
              </w:rPr>
              <w:t>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</w:rPr>
              <w:t>99,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10,87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11,08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Коэффициент естественного прироста (убыли)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-0,13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-0,29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Коэффициент миграционного прироста (убыли)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-12,58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-11,47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-10,19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-9,76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-9,39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-8,96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-8,57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bCs/>
                <w:color w:val="000000"/>
                <w:sz w:val="22"/>
              </w:rPr>
              <w:t>2. Производство товаров и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rFonts w:eastAsia="Arial Unicode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2.1</w:t>
            </w:r>
            <w:r w:rsidR="004A3D34">
              <w:rPr>
                <w:color w:val="000000"/>
                <w:sz w:val="22"/>
              </w:rPr>
              <w:t>.</w:t>
            </w:r>
            <w:r w:rsidRPr="004A3D34">
              <w:rPr>
                <w:color w:val="000000"/>
                <w:sz w:val="22"/>
              </w:rPr>
              <w:t xml:space="preserve"> Промышленное производство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72107,67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69946,54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80467,08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84241,70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88402,84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88420,39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95859,74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93086,84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102898,74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lastRenderedPageBreak/>
              <w:t>Индекс промышленного производства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97,76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4A3D34" w:rsidP="00585E12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</w:rPr>
              <w:t>Раздел C: о</w:t>
            </w:r>
            <w:r w:rsidR="00843B99" w:rsidRPr="004A3D34">
              <w:rPr>
                <w:rFonts w:eastAsia="Arial Unicode MS"/>
                <w:color w:val="000000"/>
                <w:sz w:val="22"/>
              </w:rPr>
              <w:t>брабатывающие производства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57464,7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59209,6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64559,36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68121,11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72216,35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71628,89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78967,37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75675,31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85339,74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–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C: </w:t>
            </w:r>
            <w:r w:rsidR="004A3D34">
              <w:rPr>
                <w:color w:val="000000"/>
                <w:sz w:val="22"/>
              </w:rPr>
              <w:t>о</w:t>
            </w:r>
            <w:r w:rsidRPr="004A3D34">
              <w:rPr>
                <w:color w:val="000000"/>
                <w:sz w:val="22"/>
              </w:rPr>
              <w:t>брабатывающие производства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104,21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color w:val="000000"/>
                <w:sz w:val="22"/>
              </w:rPr>
              <w:t xml:space="preserve">Раздел D: </w:t>
            </w:r>
            <w:r w:rsidR="004A3D34">
              <w:rPr>
                <w:rFonts w:eastAsia="Arial Unicode MS"/>
                <w:color w:val="000000"/>
                <w:sz w:val="22"/>
              </w:rPr>
              <w:t>о</w:t>
            </w:r>
            <w:r w:rsidRPr="004A3D34">
              <w:rPr>
                <w:rFonts w:eastAsia="Arial Unicode MS"/>
                <w:color w:val="000000"/>
                <w:sz w:val="22"/>
              </w:rPr>
              <w:t>беспечение электрической энергией, газом и паром; кондиционирование воздуха</w:t>
            </w:r>
            <w:r w:rsidRPr="004A3D34">
              <w:rPr>
                <w:rStyle w:val="af0"/>
                <w:rFonts w:eastAsia="Arial Unicode MS"/>
                <w:color w:val="000000"/>
                <w:sz w:val="22"/>
              </w:rPr>
              <w:footnoteReference w:id="5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11158,85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11616,36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11639,15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12186,79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12222,23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12664,60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12712,47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-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D: </w:t>
            </w:r>
            <w:r w:rsidR="004A3D34">
              <w:rPr>
                <w:color w:val="000000"/>
                <w:sz w:val="22"/>
              </w:rPr>
              <w:t>о</w:t>
            </w:r>
            <w:r w:rsidRPr="004A3D34">
              <w:rPr>
                <w:color w:val="000000"/>
                <w:sz w:val="22"/>
              </w:rPr>
              <w:t>беспечение электрической энергией, газом и паром; кондиционирование воздуха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100,30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color w:val="000000"/>
                <w:sz w:val="22"/>
              </w:rPr>
              <w:t xml:space="preserve">Раздел E: </w:t>
            </w:r>
            <w:r w:rsidR="004A3D34">
              <w:rPr>
                <w:rFonts w:eastAsia="Arial Unicode MS"/>
                <w:color w:val="000000"/>
                <w:sz w:val="22"/>
              </w:rPr>
              <w:t>в</w:t>
            </w:r>
            <w:r w:rsidRPr="004A3D34">
              <w:rPr>
                <w:rFonts w:eastAsia="Arial Unicode MS"/>
                <w:color w:val="000000"/>
                <w:sz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1997,06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2037,65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2039,68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2078,85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2089,23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2123,00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2144,25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–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E: </w:t>
            </w:r>
            <w:r w:rsidR="004A3D34">
              <w:rPr>
                <w:color w:val="000000"/>
                <w:sz w:val="22"/>
              </w:rPr>
              <w:t>в</w:t>
            </w:r>
            <w:r w:rsidRPr="004A3D34">
              <w:rPr>
                <w:color w:val="000000"/>
                <w:sz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98,49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98,69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2.2 Сельское хозяйство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2751,81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2466,58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2507,66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2525,87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2580,91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2623,93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2702,27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86,62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– дефлятор -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133,97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112,03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103,70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lastRenderedPageBreak/>
              <w:t>3. Рынок товаров и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39951,4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46002,8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49985,08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52702,67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53170,13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55182,12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56223,79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60779,68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62457,16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оборота розничной торговли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1532,6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1700,1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1881,34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2040,71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2048,44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2192,40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2226,19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2382,70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2514,35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оборота общественного питания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20026,4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19411,8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19029,21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19174,09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19689,63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19998,58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20517,41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21525,99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22255,68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платных услуг населению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4. Малое и среднее предпринимательство</w:t>
            </w:r>
            <w:r w:rsidRPr="004A3D34">
              <w:rPr>
                <w:rStyle w:val="af0"/>
                <w:bCs/>
                <w:color w:val="000000"/>
                <w:sz w:val="22"/>
              </w:rPr>
              <w:footnoteReference w:id="6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10988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9497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10470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10993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t>Среднесписочная численность работников (без внешних совместителей) по малым предприятиям - всего</w:t>
            </w:r>
            <w:proofErr w:type="gramStart"/>
            <w:r w:rsidRPr="004A3D34">
              <w:rPr>
                <w:color w:val="000000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46461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37628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39885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41082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43584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46172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16"/>
              </w:rPr>
            </w:pPr>
            <w:r w:rsidRPr="004A3D34">
              <w:rPr>
                <w:color w:val="000000"/>
                <w:sz w:val="22"/>
                <w:szCs w:val="16"/>
              </w:rPr>
              <w:t>Численность индивидуальных предпринимателей - по состоянию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7121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7334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7477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7554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7851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8243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t xml:space="preserve">Среднесписочная численность работников индивидуальных предпринимателей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Количество средних предприятий –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lastRenderedPageBreak/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4212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6142,5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16"/>
              </w:rPr>
              <w:t>5. Инвестиции и строительство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23099,90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19310,85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29855,04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55424,85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63066,66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70065,50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71963,13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123377,50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131499,61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53885,10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42436,95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52229,33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72730,36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83382,76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80049,57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91779,65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132425,54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151577,75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Индекс физического объема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  <w:r w:rsidR="002261B7">
              <w:rPr>
                <w:color w:val="000000"/>
                <w:sz w:val="20"/>
              </w:rPr>
              <w:t xml:space="preserve"> к предыдущему году в сопостави</w:t>
            </w:r>
            <w:r w:rsidRPr="007F2209">
              <w:rPr>
                <w:color w:val="000000"/>
                <w:sz w:val="20"/>
              </w:rPr>
              <w:t>мых ценах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121,02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134,28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154,25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160,19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114,93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110,46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Инвестиции в основной капитал  по источникам финансирования: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  бюджетные средства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30785,3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23126,2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22374,29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17305,5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20316,1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9984,07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19816,51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9048,04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20078,14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 в </w:t>
            </w:r>
            <w:r w:rsidR="002261B7">
              <w:rPr>
                <w:color w:val="000000"/>
                <w:sz w:val="20"/>
              </w:rPr>
              <w:t>сопостави</w:t>
            </w:r>
            <w:r w:rsidRPr="007F2209">
              <w:rPr>
                <w:color w:val="000000"/>
                <w:sz w:val="20"/>
              </w:rPr>
              <w:t>мых ценах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120,70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68,01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95,13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72,16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87,73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55,74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94,42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87,73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          из них: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29349,5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21847,0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21410,06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16451,54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19269,05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9373,08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18883,67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7526,40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17939,49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средства бюджета субъекта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</w:t>
            </w:r>
            <w:r w:rsidRPr="007F2209">
              <w:rPr>
                <w:color w:val="000000"/>
                <w:sz w:val="20"/>
              </w:rPr>
              <w:lastRenderedPageBreak/>
              <w:t>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lastRenderedPageBreak/>
              <w:t>1073,7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698,99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613,64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745,72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528,3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792,45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1447,7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2026,78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lastRenderedPageBreak/>
              <w:t xml:space="preserve">   средства муниципального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362,1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265,24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240,32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301,33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82,69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140,39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73,94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111,87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собственные средства предприятий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9829,8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12219,0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A54449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20869,8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50187,40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57062,11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64300,98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65353,91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113841,29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120584,21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r w:rsidRPr="00B23647">
              <w:rPr>
                <w:bCs/>
                <w:color w:val="000000"/>
                <w:sz w:val="20"/>
              </w:rPr>
              <w:t>млн.рублей в ценах соответствующих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3182,4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2503,1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4089,53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4301,10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4504,45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4549,89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4916,72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4798,68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5366,73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B23647">
              <w:rPr>
                <w:bCs/>
                <w:color w:val="000000"/>
                <w:sz w:val="20"/>
              </w:rPr>
              <w:t>в</w:t>
            </w:r>
            <w:proofErr w:type="gramEnd"/>
            <w:r w:rsidRPr="00B23647">
              <w:rPr>
                <w:bCs/>
                <w:color w:val="000000"/>
                <w:sz w:val="20"/>
              </w:rPr>
              <w:t xml:space="preserve"> % </w:t>
            </w:r>
            <w:proofErr w:type="gramStart"/>
            <w:r w:rsidRPr="00B23647">
              <w:rPr>
                <w:bCs/>
                <w:color w:val="000000"/>
                <w:sz w:val="20"/>
              </w:rPr>
              <w:t>к</w:t>
            </w:r>
            <w:proofErr w:type="gramEnd"/>
            <w:r w:rsidRPr="00B23647">
              <w:rPr>
                <w:bCs/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158,15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101,57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105,21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101,56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105,51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B23647">
              <w:rPr>
                <w:bCs/>
                <w:color w:val="000000"/>
                <w:sz w:val="20"/>
              </w:rPr>
              <w:t>в</w:t>
            </w:r>
            <w:proofErr w:type="gramEnd"/>
            <w:r w:rsidRPr="00B23647">
              <w:rPr>
                <w:bCs/>
                <w:color w:val="000000"/>
                <w:sz w:val="20"/>
              </w:rPr>
              <w:t xml:space="preserve"> % </w:t>
            </w:r>
            <w:proofErr w:type="gramStart"/>
            <w:r w:rsidRPr="00B23647">
              <w:rPr>
                <w:bCs/>
                <w:color w:val="000000"/>
                <w:sz w:val="20"/>
              </w:rPr>
              <w:t>к</w:t>
            </w:r>
            <w:proofErr w:type="gramEnd"/>
            <w:r w:rsidRPr="00B23647">
              <w:rPr>
                <w:bCs/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109,84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109,09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103,85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103,46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21746,2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33017,9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31046,02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28389,55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30425,10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28105,65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30440,31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28667,76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31201,32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7. Труд и занятость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 xml:space="preserve">Численность населения в трудоспособном возрасте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182,65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177,70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174,11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170,63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171,15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167,39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167,90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164,38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Среднесписочная численность работников организаций 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95,70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88,73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85,63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F2209">
              <w:rPr>
                <w:color w:val="000000"/>
                <w:sz w:val="22"/>
                <w:szCs w:val="22"/>
              </w:rPr>
              <w:t>,19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82,44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Среднемесячная начисленная заработная плата работников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53221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57048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60838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64184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64305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67072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67328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69419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69819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2"/>
              </w:rPr>
              <w:t>8. Развитие социальной сферы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rFonts w:eastAsia="Arial Unicode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17716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17721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17589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17308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17341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Численность учащихся в учреждениях: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lastRenderedPageBreak/>
              <w:t>общеобразовательных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28906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29392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29874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8568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9295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9295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9481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11045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9559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11542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9559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11542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высшего профессионального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12103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10560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10454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9932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9932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Обеспеченность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общедоступными  библиотеками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учреждений на 100 тыс.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10,92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учреждений на 100 тыс.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мест на 100 детей дошкольного возраста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78,38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79,65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81,41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24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4A3D34">
              <w:rPr>
                <w:color w:val="000000"/>
                <w:sz w:val="22"/>
                <w:szCs w:val="24"/>
              </w:rPr>
              <w:t>численности</w:t>
            </w:r>
            <w:proofErr w:type="gramEnd"/>
            <w:r w:rsidRPr="004A3D34">
              <w:rPr>
                <w:color w:val="000000"/>
                <w:sz w:val="22"/>
                <w:szCs w:val="24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96,54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585E12" w:rsidP="00585E12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27,10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31,93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32,33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32,69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тыс. кв. м общей площади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14,09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31,54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9,44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13,00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Средняя обеспеченность населения площадью жилых квартир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кв. м на человека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24,38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24,57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24,58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Площадь ветхого и аварийного фонда </w:t>
            </w:r>
            <w:proofErr w:type="gramStart"/>
            <w:r w:rsidRPr="004A3D34">
              <w:rPr>
                <w:color w:val="000000"/>
                <w:sz w:val="22"/>
              </w:rPr>
              <w:t>в</w:t>
            </w:r>
            <w:proofErr w:type="gramEnd"/>
            <w:r w:rsidRPr="004A3D34">
              <w:rPr>
                <w:color w:val="000000"/>
                <w:sz w:val="22"/>
              </w:rPr>
              <w:t xml:space="preserve"> % к общей площади жилого фонда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89,20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90,20</w:t>
            </w:r>
          </w:p>
        </w:tc>
      </w:tr>
    </w:tbl>
    <w:p w:rsidR="00843B99" w:rsidRPr="00585E12" w:rsidRDefault="00843B99" w:rsidP="00843B99">
      <w:pPr>
        <w:ind w:firstLine="709"/>
        <w:jc w:val="both"/>
        <w:rPr>
          <w:sz w:val="26"/>
          <w:szCs w:val="26"/>
        </w:rPr>
      </w:pPr>
      <w:r w:rsidRPr="00585E12">
        <w:rPr>
          <w:sz w:val="26"/>
          <w:szCs w:val="26"/>
        </w:rPr>
        <w:t>Пояснения к показателям прогноза социально-экономического развития муниципального образования город Мурманск на 2018 год и плановый период 2019 и 2020 годов приведены в приложении № 1. Оценка показателей за 2017 год на основании предварительных итогов социально-экономического развития муниципального образования город Мурманск за первое полугодие 2017 года и ожидаемых итогов социально-экономического развития за 2017 год</w:t>
      </w:r>
      <w:r w:rsidR="00585E12" w:rsidRPr="00585E12">
        <w:rPr>
          <w:sz w:val="26"/>
          <w:szCs w:val="26"/>
        </w:rPr>
        <w:t xml:space="preserve"> представлена</w:t>
      </w:r>
      <w:r w:rsidRPr="00585E12">
        <w:rPr>
          <w:sz w:val="26"/>
          <w:szCs w:val="26"/>
        </w:rPr>
        <w:t xml:space="preserve"> в приложении № 2.</w:t>
      </w:r>
    </w:p>
    <w:p w:rsidR="00843B99" w:rsidRPr="008F159D" w:rsidRDefault="00843B99" w:rsidP="00843B99">
      <w:pPr>
        <w:ind w:firstLine="709"/>
        <w:jc w:val="both"/>
        <w:rPr>
          <w:szCs w:val="28"/>
        </w:rPr>
        <w:sectPr w:rsidR="00843B99" w:rsidRPr="008F159D" w:rsidSect="00585E12">
          <w:headerReference w:type="even" r:id="rId13"/>
          <w:headerReference w:type="default" r:id="rId14"/>
          <w:footerReference w:type="even" r:id="rId15"/>
          <w:pgSz w:w="16840" w:h="11907" w:orient="landscape" w:code="9"/>
          <w:pgMar w:top="1304" w:right="1134" w:bottom="765" w:left="1134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573"/>
        <w:gridCol w:w="5281"/>
      </w:tblGrid>
      <w:tr w:rsidR="00843B99" w:rsidRPr="00165C07" w:rsidTr="004A3D34">
        <w:tc>
          <w:tcPr>
            <w:tcW w:w="4573" w:type="dxa"/>
          </w:tcPr>
          <w:p w:rsidR="00843B99" w:rsidRPr="00165C07" w:rsidRDefault="00843B99" w:rsidP="004A3D34">
            <w:pPr>
              <w:widowControl w:val="0"/>
              <w:jc w:val="right"/>
              <w:rPr>
                <w:szCs w:val="28"/>
              </w:rPr>
            </w:pPr>
            <w:r w:rsidRPr="00165C07">
              <w:rPr>
                <w:szCs w:val="28"/>
              </w:rPr>
              <w:lastRenderedPageBreak/>
              <w:br w:type="page"/>
            </w:r>
          </w:p>
        </w:tc>
        <w:tc>
          <w:tcPr>
            <w:tcW w:w="5281" w:type="dxa"/>
          </w:tcPr>
          <w:p w:rsidR="00843B99" w:rsidRPr="00165C07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165C07">
              <w:rPr>
                <w:szCs w:val="28"/>
              </w:rPr>
              <w:t>Приложение № 1</w:t>
            </w:r>
          </w:p>
          <w:p w:rsidR="00843B99" w:rsidRPr="00165C07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165C07">
              <w:rPr>
                <w:szCs w:val="28"/>
              </w:rPr>
              <w:t>к прогнозу социально-экономического развития муниципального образования город Мурманск на 2018 год и плановый период 2019 и 2020 годов</w:t>
            </w:r>
          </w:p>
        </w:tc>
      </w:tr>
    </w:tbl>
    <w:p w:rsidR="00843B99" w:rsidRPr="00165C07" w:rsidRDefault="00843B99" w:rsidP="00843B99">
      <w:pPr>
        <w:tabs>
          <w:tab w:val="left" w:pos="6900"/>
        </w:tabs>
        <w:jc w:val="center"/>
        <w:rPr>
          <w:bCs/>
          <w:szCs w:val="28"/>
        </w:rPr>
      </w:pPr>
    </w:p>
    <w:p w:rsidR="00843B99" w:rsidRPr="00165C07" w:rsidRDefault="00843B99" w:rsidP="00843B99">
      <w:pPr>
        <w:tabs>
          <w:tab w:val="left" w:pos="6900"/>
        </w:tabs>
        <w:jc w:val="center"/>
        <w:rPr>
          <w:bCs/>
          <w:szCs w:val="28"/>
        </w:rPr>
      </w:pPr>
    </w:p>
    <w:p w:rsidR="00843B99" w:rsidRPr="008F159D" w:rsidRDefault="00843B99" w:rsidP="00843B99">
      <w:pPr>
        <w:tabs>
          <w:tab w:val="left" w:pos="6900"/>
        </w:tabs>
        <w:jc w:val="center"/>
        <w:rPr>
          <w:bCs/>
          <w:szCs w:val="28"/>
        </w:rPr>
      </w:pPr>
      <w:r w:rsidRPr="008F159D">
        <w:rPr>
          <w:bCs/>
          <w:szCs w:val="28"/>
        </w:rPr>
        <w:t>Пояснительная записка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 xml:space="preserve">к прогнозу социально-экономического развития 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>муниципального образования город Мурманск на 201</w:t>
      </w:r>
      <w:r>
        <w:rPr>
          <w:bCs/>
          <w:szCs w:val="28"/>
        </w:rPr>
        <w:t>8</w:t>
      </w:r>
      <w:r w:rsidRPr="008F159D">
        <w:rPr>
          <w:bCs/>
          <w:szCs w:val="28"/>
        </w:rPr>
        <w:t xml:space="preserve"> год 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>и плановый период 201</w:t>
      </w:r>
      <w:r>
        <w:rPr>
          <w:bCs/>
          <w:szCs w:val="28"/>
        </w:rPr>
        <w:t>9 и 2020</w:t>
      </w:r>
      <w:r w:rsidRPr="008F159D">
        <w:rPr>
          <w:bCs/>
          <w:szCs w:val="28"/>
        </w:rPr>
        <w:t xml:space="preserve"> годов</w:t>
      </w:r>
    </w:p>
    <w:p w:rsidR="00843B99" w:rsidRPr="008F159D" w:rsidRDefault="00843B99" w:rsidP="00843B99">
      <w:pPr>
        <w:widowControl w:val="0"/>
        <w:ind w:firstLine="709"/>
        <w:jc w:val="both"/>
        <w:rPr>
          <w:szCs w:val="28"/>
        </w:rPr>
      </w:pPr>
    </w:p>
    <w:p w:rsidR="00843B99" w:rsidRPr="008F159D" w:rsidRDefault="00843B99" w:rsidP="004A3D34">
      <w:pPr>
        <w:pStyle w:val="1"/>
        <w:spacing w:before="0" w:after="0"/>
        <w:rPr>
          <w:b w:val="0"/>
          <w:caps w:val="0"/>
          <w:kern w:val="32"/>
          <w:sz w:val="28"/>
          <w:szCs w:val="28"/>
        </w:rPr>
      </w:pPr>
      <w:bookmarkStart w:id="0" w:name="_GoBack"/>
      <w:bookmarkEnd w:id="0"/>
      <w:r w:rsidRPr="008F159D">
        <w:rPr>
          <w:b w:val="0"/>
          <w:caps w:val="0"/>
          <w:kern w:val="32"/>
          <w:sz w:val="28"/>
          <w:szCs w:val="28"/>
        </w:rPr>
        <w:t xml:space="preserve">Прогноз социально-экономического развития </w:t>
      </w:r>
      <w:r w:rsidR="004A3D34" w:rsidRPr="004A3D34">
        <w:rPr>
          <w:b w:val="0"/>
          <w:caps w:val="0"/>
          <w:kern w:val="32"/>
          <w:sz w:val="28"/>
          <w:szCs w:val="28"/>
        </w:rPr>
        <w:t xml:space="preserve">муниципального образования </w:t>
      </w:r>
      <w:r w:rsidRPr="008F159D">
        <w:rPr>
          <w:b w:val="0"/>
          <w:caps w:val="0"/>
          <w:kern w:val="32"/>
          <w:sz w:val="28"/>
          <w:szCs w:val="28"/>
        </w:rPr>
        <w:t>город</w:t>
      </w:r>
      <w:r w:rsidR="004A3D34">
        <w:rPr>
          <w:b w:val="0"/>
          <w:caps w:val="0"/>
          <w:kern w:val="32"/>
          <w:sz w:val="28"/>
          <w:szCs w:val="28"/>
        </w:rPr>
        <w:t xml:space="preserve"> Мурманск</w:t>
      </w:r>
      <w:r w:rsidRPr="008F159D">
        <w:rPr>
          <w:b w:val="0"/>
          <w:caps w:val="0"/>
          <w:kern w:val="32"/>
          <w:sz w:val="28"/>
          <w:szCs w:val="28"/>
        </w:rPr>
        <w:t xml:space="preserve"> составлен с учетом следующих основных документов</w:t>
      </w:r>
      <w:r w:rsidR="004A3D34" w:rsidRPr="004A3D34">
        <w:rPr>
          <w:b w:val="0"/>
          <w:caps w:val="0"/>
          <w:kern w:val="32"/>
          <w:sz w:val="28"/>
          <w:szCs w:val="28"/>
        </w:rPr>
        <w:t>на 2018 годи плановый период 2019 и 2020 годов</w:t>
      </w:r>
      <w:r w:rsidRPr="008F159D">
        <w:rPr>
          <w:b w:val="0"/>
          <w:caps w:val="0"/>
          <w:kern w:val="32"/>
          <w:sz w:val="28"/>
          <w:szCs w:val="28"/>
        </w:rPr>
        <w:t>:</w:t>
      </w:r>
    </w:p>
    <w:p w:rsidR="00843B99" w:rsidRPr="008F159D" w:rsidRDefault="004A3D34" w:rsidP="004A3D34">
      <w:pPr>
        <w:ind w:firstLine="709"/>
        <w:jc w:val="both"/>
      </w:pPr>
      <w:r>
        <w:t xml:space="preserve">– </w:t>
      </w:r>
      <w:r w:rsidR="00E156C2">
        <w:t>с</w:t>
      </w:r>
      <w:r>
        <w:t>ценарных</w:t>
      </w:r>
      <w:r w:rsidR="00843B99" w:rsidRPr="008F159D">
        <w:t xml:space="preserve"> услови</w:t>
      </w:r>
      <w:r>
        <w:t>й, основных параметров</w:t>
      </w:r>
      <w:r w:rsidR="00843B99" w:rsidRPr="008F159D">
        <w:t xml:space="preserve"> прогноза социально-экономического развития Р</w:t>
      </w:r>
      <w:r>
        <w:t>оссийской Федерации и предельных уровней</w:t>
      </w:r>
      <w:r w:rsidR="00843B99" w:rsidRPr="008F159D">
        <w:t xml:space="preserve"> цен (тарифов) на услуги компаний и</w:t>
      </w:r>
      <w:r w:rsidR="00843B99">
        <w:t>нфраструктурного сектора на 2018</w:t>
      </w:r>
      <w:r w:rsidR="00843B99" w:rsidRPr="008F159D">
        <w:t xml:space="preserve"> год </w:t>
      </w:r>
      <w:r w:rsidR="00843B99">
        <w:t>и на плановый период 2019 и 2020</w:t>
      </w:r>
      <w:r w:rsidR="00843B99" w:rsidRPr="008F159D">
        <w:t xml:space="preserve"> годов;</w:t>
      </w:r>
    </w:p>
    <w:p w:rsidR="00843B99" w:rsidRPr="008F159D" w:rsidRDefault="00E156C2" w:rsidP="004A3D34">
      <w:pPr>
        <w:ind w:firstLine="709"/>
        <w:jc w:val="both"/>
      </w:pPr>
      <w:r>
        <w:t>– о</w:t>
      </w:r>
      <w:r w:rsidR="004A3D34">
        <w:t>сновных</w:t>
      </w:r>
      <w:r w:rsidR="00843B99" w:rsidRPr="005D1F48">
        <w:t xml:space="preserve"> показател</w:t>
      </w:r>
      <w:r w:rsidR="004A3D34">
        <w:t>ей, представляемых</w:t>
      </w:r>
      <w:r w:rsidR="00843B99" w:rsidRPr="005D1F48">
        <w:t xml:space="preserve"> для разработки прогноза социально-экономического развития Российской Федерации на период до 2020 года (для субъектов Российской Федерации) по Мурманской области;</w:t>
      </w:r>
    </w:p>
    <w:p w:rsidR="00843B99" w:rsidRPr="008F159D" w:rsidRDefault="00843B99" w:rsidP="004A3D34">
      <w:pPr>
        <w:ind w:firstLine="709"/>
        <w:jc w:val="both"/>
      </w:pPr>
      <w:r w:rsidRPr="008F159D">
        <w:t xml:space="preserve">– </w:t>
      </w:r>
      <w:r w:rsidR="004A3D34">
        <w:t>Послания</w:t>
      </w:r>
      <w:r w:rsidRPr="008F159D">
        <w:t xml:space="preserve"> Президента Российской Федерации Федеральному Собранию Российской Федерации от 0</w:t>
      </w:r>
      <w:r>
        <w:t>1.12.2016</w:t>
      </w:r>
      <w:r w:rsidRPr="008F159D">
        <w:t>;</w:t>
      </w:r>
    </w:p>
    <w:p w:rsidR="00843B99" w:rsidRPr="008F159D" w:rsidRDefault="00843B99" w:rsidP="004A3D34">
      <w:pPr>
        <w:ind w:firstLine="709"/>
        <w:jc w:val="both"/>
        <w:rPr>
          <w:szCs w:val="28"/>
        </w:rPr>
      </w:pPr>
      <w:r w:rsidRPr="008F159D">
        <w:t xml:space="preserve">– </w:t>
      </w:r>
      <w:r w:rsidR="004A3D34">
        <w:t>С</w:t>
      </w:r>
      <w:r w:rsidR="004A3D34">
        <w:rPr>
          <w:szCs w:val="28"/>
        </w:rPr>
        <w:t>тратегического</w:t>
      </w:r>
      <w:r w:rsidRPr="008F159D">
        <w:rPr>
          <w:szCs w:val="28"/>
        </w:rPr>
        <w:t xml:space="preserve"> план</w:t>
      </w:r>
      <w:r w:rsidR="004A3D34">
        <w:rPr>
          <w:szCs w:val="28"/>
        </w:rPr>
        <w:t>а</w:t>
      </w:r>
      <w:r w:rsidRPr="008F159D">
        <w:rPr>
          <w:szCs w:val="28"/>
        </w:rPr>
        <w:t xml:space="preserve"> социально-экономического развития города Мурманска до 2020 года;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>– муниципальных программ</w:t>
      </w:r>
      <w:r w:rsidR="00843B99" w:rsidRPr="008F159D">
        <w:rPr>
          <w:szCs w:val="28"/>
        </w:rPr>
        <w:t xml:space="preserve"> го</w:t>
      </w:r>
      <w:r>
        <w:rPr>
          <w:szCs w:val="28"/>
        </w:rPr>
        <w:t>рода Мурманска и государственных</w:t>
      </w:r>
      <w:r w:rsidR="00843B99" w:rsidRPr="008F159D">
        <w:rPr>
          <w:szCs w:val="28"/>
        </w:rPr>
        <w:t xml:space="preserve"> программ</w:t>
      </w:r>
      <w:r>
        <w:rPr>
          <w:szCs w:val="28"/>
        </w:rPr>
        <w:t>, реализуемых</w:t>
      </w:r>
      <w:r w:rsidR="00843B99" w:rsidRPr="008F159D">
        <w:rPr>
          <w:szCs w:val="28"/>
        </w:rPr>
        <w:t xml:space="preserve"> на территории муниципалитета;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>– информации</w:t>
      </w:r>
      <w:r w:rsidR="00843B99" w:rsidRPr="008F159D">
        <w:rPr>
          <w:szCs w:val="28"/>
        </w:rPr>
        <w:t xml:space="preserve"> предприятий, в том числе об инвестиционных проектах, планах развития;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 xml:space="preserve"> – сведений</w:t>
      </w:r>
      <w:r w:rsidR="00843B99" w:rsidRPr="008F159D">
        <w:rPr>
          <w:szCs w:val="28"/>
        </w:rPr>
        <w:t xml:space="preserve"> исполнительных органов государственной власти Мурманской области, территориальных подразделений иных органов власти и т.д.</w:t>
      </w:r>
    </w:p>
    <w:p w:rsidR="00843B99" w:rsidRPr="008F159D" w:rsidRDefault="00843B99" w:rsidP="004A3D34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Прогноз составлен в двух вариантах:</w:t>
      </w:r>
    </w:p>
    <w:p w:rsidR="00843B99" w:rsidRPr="008F159D" w:rsidRDefault="00843B99" w:rsidP="004A3D34">
      <w:pPr>
        <w:widowControl w:val="0"/>
        <w:ind w:firstLine="709"/>
        <w:jc w:val="both"/>
      </w:pPr>
      <w:r w:rsidRPr="008F159D">
        <w:t xml:space="preserve">– первый вариант (базовый) </w:t>
      </w:r>
      <w:r w:rsidRPr="008F159D">
        <w:rPr>
          <w:szCs w:val="28"/>
        </w:rPr>
        <w:t>характеризует функционирование  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</w:t>
      </w:r>
      <w:r w:rsidRPr="008F159D">
        <w:t>;</w:t>
      </w:r>
    </w:p>
    <w:p w:rsidR="00843B99" w:rsidRPr="008F159D" w:rsidRDefault="00843B99" w:rsidP="004A3D34">
      <w:pPr>
        <w:widowControl w:val="0"/>
        <w:ind w:firstLine="709"/>
        <w:jc w:val="both"/>
      </w:pPr>
      <w:r w:rsidRPr="008F159D">
        <w:t xml:space="preserve">– второй вариант (целевой) 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lastRenderedPageBreak/>
        <w:t>Демографические показатели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Динамика показателей естественного движения населения города Мурманска в 2016 году к 2015 году характеризуется снижением как числа родившихся, так и числа умерших. Вместе с тем, в 2016 году показатель естественной убыли населения несколько увеличился, что на фоне поступательного снижения данного показателя в предыдущие годы позволяет констатировать определенное ухудшение демографической ситуации в городе Мурманске.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родилось 3152 </w:t>
      </w:r>
      <w:r>
        <w:rPr>
          <w:szCs w:val="28"/>
        </w:rPr>
        <w:t>ребенка</w:t>
      </w:r>
      <w:r w:rsidRPr="007F2209">
        <w:rPr>
          <w:szCs w:val="28"/>
        </w:rPr>
        <w:t>, что на 341 ребенка меньше, чем в 2015 году. Уровень рождаемости в городе уменьшился с 11,65 человек на 1000 населения в 2015 году до 10,64 человек на 1000 населения в 2016 году. В прогнозном периоде ожидается снижение темпов ежегодного сокращения числа родившихся, что обусловлено положительной динамикой численности женщин фертильного возраста в 2016 году (рост показателя в 2016 году к 2015 году составил 13,3%).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Несмотря на это, в связи с оттоком населения в трудоспособном возрасте к концу 2020 года ожидается снижение уровня рождаемости до 10,91 человек на 1000 населения.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рамках муниципальных программ города Мурманска в целях поддержки уровня рождаемости реализуются мероприятия по предоставлению многодетным семьям социальных выплат для строительства жилья (</w:t>
      </w:r>
      <w:r>
        <w:rPr>
          <w:szCs w:val="28"/>
        </w:rPr>
        <w:t>муниципальная программа</w:t>
      </w:r>
      <w:r w:rsidR="009004B8">
        <w:rPr>
          <w:szCs w:val="28"/>
        </w:rPr>
        <w:t xml:space="preserve"> города Мурманска</w:t>
      </w:r>
      <w:r w:rsidRPr="007F2209">
        <w:rPr>
          <w:szCs w:val="28"/>
        </w:rPr>
        <w:t xml:space="preserve"> «Градостроительная политика» на 2014-2019 годы), по предоставлению молодым и многодетным семьям социальных выплат на приобретение жилья (</w:t>
      </w:r>
      <w:r>
        <w:rPr>
          <w:szCs w:val="28"/>
        </w:rPr>
        <w:t>муниципальная программа</w:t>
      </w:r>
      <w:r w:rsidR="009004B8">
        <w:rPr>
          <w:szCs w:val="28"/>
        </w:rPr>
        <w:t>города Мурманска</w:t>
      </w:r>
      <w:r w:rsidRPr="007F2209">
        <w:rPr>
          <w:szCs w:val="28"/>
        </w:rPr>
        <w:t>«Управление имуществом и жилищная политика» на 2014-2019 годы) и пр. Так, в 2016 году свидетельства о праве на получение социальной выплаты на приобретение (строительство) жилья получили 129 молодых и многодетных семей. С использованием социальной выплаты улучшили свои жилищные условия 130 молодых и многодетных семей. Также в 2016 году 1 многодетной семье была предоставлена социальная выплата для строительства жилья на предоставленном земельном участке.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Кроме того, повышению уровня рождаемости во многом способствует реализация федеральной программы «Материнский капитал», а также повышение качества родовспоможения и медицинской помощи, оказываемой женщинам во время беременности и родов (в частности, за счет реализации программы «Родовой сертификат»).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Число умерших в 2016 году по сравнению с 2015 годом сократилось на 75 человек и составило 3522 человек</w:t>
      </w:r>
      <w:r>
        <w:rPr>
          <w:szCs w:val="28"/>
        </w:rPr>
        <w:t>а</w:t>
      </w:r>
      <w:r w:rsidRPr="007F2209">
        <w:rPr>
          <w:szCs w:val="28"/>
        </w:rPr>
        <w:t xml:space="preserve">. Более половины смертей по-прежнему вызваны болезнями </w:t>
      </w:r>
      <w:proofErr w:type="gramStart"/>
      <w:r w:rsidRPr="007F2209">
        <w:rPr>
          <w:szCs w:val="28"/>
        </w:rPr>
        <w:t>сердечно-сосудистой</w:t>
      </w:r>
      <w:proofErr w:type="gramEnd"/>
      <w:r w:rsidRPr="007F2209">
        <w:rPr>
          <w:szCs w:val="28"/>
        </w:rPr>
        <w:t xml:space="preserve"> системы и злокачественными новообразованиями. Коэффициент смертности в 2016 году составил 11,75 человек на 1000 населения. С учетом итогов за полугодие, в текущем году ожидается увеличение коэффициента смертности до 11,82 человек на 1000 населения.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>В среднесрочном периоде за счет комплекса мер, направленных на повышение качества оказания медицинской помощи, профилактику заболеваний и предупреждение младенческой смертности, ожидается сокращение уровня смертности до 11,20 человек на 1000 населения в 2020 году.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Таким образом, уровень естественной убыли населения предположительно увеличится с 0,10 человек на 1000 населения в 2016 году до 1,18 человек на 1000 населения в 2017 году, после чего ожидается возврат к положительной динамике данного показателя, в результате чего в</w:t>
      </w:r>
      <w:r w:rsidR="00930FE5">
        <w:rPr>
          <w:szCs w:val="28"/>
        </w:rPr>
        <w:t xml:space="preserve"> 2020 году уровень естественнойубыли</w:t>
      </w:r>
      <w:r w:rsidRPr="007F2209">
        <w:rPr>
          <w:szCs w:val="28"/>
        </w:rPr>
        <w:t xml:space="preserve"> предположительно составит 0,29 человек на 1000 населения.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Главным фактором сокращения численности </w:t>
      </w:r>
      <w:proofErr w:type="spellStart"/>
      <w:r w:rsidRPr="007F2209">
        <w:rPr>
          <w:szCs w:val="28"/>
        </w:rPr>
        <w:t>мурманчан</w:t>
      </w:r>
      <w:proofErr w:type="spellEnd"/>
      <w:r w:rsidRPr="007F2209">
        <w:rPr>
          <w:szCs w:val="28"/>
        </w:rPr>
        <w:t xml:space="preserve"> по-прежнему остается значительный миграционный отток населения. В 2016 году миграционная убыль населения составила 3440 человек. 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было отмечено сокращение числа </w:t>
      </w:r>
      <w:proofErr w:type="gramStart"/>
      <w:r w:rsidRPr="007F2209">
        <w:rPr>
          <w:szCs w:val="28"/>
        </w:rPr>
        <w:t>выбывших</w:t>
      </w:r>
      <w:proofErr w:type="gramEnd"/>
      <w:r w:rsidRPr="007F2209">
        <w:rPr>
          <w:szCs w:val="28"/>
        </w:rPr>
        <w:t xml:space="preserve"> на 2,8% к предыдущему году. Уменьшение данного показателя обусловлено, прежде всего, постепенным преодолением отрицательных социальных последствий кризисных явлений в экономике региона, в частности, на рынке труда в условиях высокой стоимости жизни в городе. Вместе с тем, отмечено некоторое сокращение числа прибывших – в 2016 году данный показатель составил 11688 человек (99,5% к 2015 году). 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proofErr w:type="gramStart"/>
      <w:r w:rsidRPr="007F2209">
        <w:rPr>
          <w:szCs w:val="28"/>
        </w:rPr>
        <w:t>Несмотря на то, что в прогнозном периоде предполагается сохранение  отрицательного сальдо миграции, ожидается снижение темпов миграционного оттока населения с 11,47 человек на 1000 населения в 2016 году до 8,57 человек на 1000 населения в 2020 году за счет увеличившейся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</w:t>
      </w:r>
      <w:proofErr w:type="gramEnd"/>
      <w:r w:rsidRPr="007F2209">
        <w:rPr>
          <w:szCs w:val="28"/>
        </w:rPr>
        <w:t xml:space="preserve"> из центров развития Арктической зоны РФ, а также за счет общего </w:t>
      </w:r>
      <w:proofErr w:type="gramStart"/>
      <w:r w:rsidRPr="007F2209">
        <w:rPr>
          <w:szCs w:val="28"/>
        </w:rPr>
        <w:t>повышения уровня жизни населения города</w:t>
      </w:r>
      <w:proofErr w:type="gramEnd"/>
      <w:r w:rsidRPr="007F2209">
        <w:rPr>
          <w:szCs w:val="28"/>
        </w:rPr>
        <w:t>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Таким образом, в результате отрицательных явлений в демографии среднегодовая численность населения города Мурманска в 2016 году сократилась на 3570 человек и составила 299,83 тыс. человек. Ожидаемая среднегодовая численность населения в 2017 году – 296,29 тыс. человек.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ожидается дальнейшее сокращение численности населения города Мурманска. В 2020 году среднегодовая численность населения предположительно составит 287,08 тыс. человек.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 xml:space="preserve">Ключевым риском </w:t>
      </w:r>
      <w:r>
        <w:rPr>
          <w:szCs w:val="28"/>
        </w:rPr>
        <w:t xml:space="preserve">ухудшения </w:t>
      </w:r>
      <w:r w:rsidRPr="007F2209">
        <w:rPr>
          <w:szCs w:val="28"/>
        </w:rPr>
        <w:t>демографической ситуации, учтенным в базовом варианте прогноза, может стать увеличение миграционного оттока населения в случае отмены реализации крупных инвестиционных проектов, а также в случае роста безработицы в регионе вследствие сокращения и ликвидации рабочих мест, вызванных последствиями кризисных явлений в экономике. Кроме того,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Объем промышленного производства в 2016 году в сопоставимых ценах с учётом среднеобластных индексов-дефляторов по основным видам экономической деятельности оценочно сократился, составив 91,5% к 2015 году в связи со снижением промышленного производства в обрабатывающей промышленности (90,7%) и производстве и распределении электроэнергии, газа и воды (95,3%). </w:t>
      </w:r>
    </w:p>
    <w:p w:rsidR="00843B99" w:rsidRPr="007F2209" w:rsidRDefault="00843B99" w:rsidP="004A3D34">
      <w:pPr>
        <w:ind w:firstLine="709"/>
        <w:jc w:val="both"/>
      </w:pPr>
      <w:r w:rsidRPr="007F2209">
        <w:t>В обрабатывающей промышленности снижение производственных показателей в сопоставимых ценах обусловлено сокращением производства в пищевой промышленности (95,2%), в т.ч. мясной (32,7%), рыбоперерабатывающей (98%), мукомольно-крупяной (41,5%), кормовой (27,4%), а также транспортных средств и оборудования (68,5%). В натуральном выражении сократился объем выпуска муки из растительных культур (55,7%), мяса и субпродуктов (3,2% к 2015 году), колбасных изделий (87%) на фоне роста производства мясных полуфабрикатов (123,7%), рыбопродукции (92,2%) за счет рыбы мороженой (90%) и филе рыбного мороженого (92%) на фоне роста выпуска рыбы соленой (110,1%), копченой (103%), сушеной и вяленой (112,3%), кулинарных изделий (в 3 раза), консервов (136,6%), морепродуктов (138,9%), а также консервов и пресервов из них (в 2,3 раза), рыбной муки (126,9%).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Помимо того, снижение производства наблюдалось в металлургической промышленности (81,8%), производстве электрооборудования (70%), прочих производствах (73,34%), а также сохранилось в текстильной и швейной промышленности (91,41% в сопоставимых ценах к 2015 году) с сокращением выпуска спецодежды в натуральном выражении (85%), и верхней одежды (плащи – 50%, пальто – 40%, женские пальто с верхом из натурального меха – 71,2%).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Рост производственных показателей по итогам 2016 года достигнут в издательской и полиграфической деятельности (104%), производстве строительных материалов (в 3,3 раза), среди пищевых производств в сфере переработки и консервирования картофеля, фруктов, овощей (150,7%), производства прочих пищевых продуктов (107%). В натуральном выражении увеличился выпуск бумажных сумок и ящиков из гофрированного картона, печатной продукции (печатных листовок - 166,5%, календарей - 165,3%, книг и брошюр в виде отдельных листов - 110,7%), строительных материалов после </w:t>
      </w:r>
      <w:r w:rsidRPr="007F2209">
        <w:lastRenderedPageBreak/>
        <w:t>снижения в 2015 году (галька, гравий, щебень - 268,2%, гранулы каменные, крошка и порошок; галька, гравий, щебень или камень дробленый - 222,1%, камень природный дробленый, обычно используемый в качестве заполнителей бетона, для дорожных покрытий и других строительных целей прочий - 140,2%). Рост производства прочих пищевых продуктов связан с увеличением выпуска хлеба и хлебобулочных изделий (104,3%), кондитерских изделий (138,5%), полуфабрикатов из теста с начинками (155,8%), пива (105,2%), минеральной воды (144,2%).</w:t>
      </w:r>
    </w:p>
    <w:p w:rsidR="00843B99" w:rsidRPr="007F2209" w:rsidRDefault="00843B99" w:rsidP="004A3D34">
      <w:pPr>
        <w:ind w:firstLine="709"/>
        <w:jc w:val="both"/>
      </w:pPr>
      <w:r w:rsidRPr="007F2209">
        <w:t>Обрабатывающие производства остаются одной из самых убыточных сфер экономики города, где сохраняется низкая инвестиционная активность. Рост численности работников предприятий обрабатывающей промышленности в 2016 году (104,2%) опережал темп роста отгруженной продукции (103%) и заработной платы (102,3%), которая на 10% ниже средней по городу. Увеличение спроса на труд квалифицированных рабочих специалистов связано в большей степени с ограничением объема предложений труда низкими зарплатами, а также массовой подготовкой специалистов широкого профиля по профессиям</w:t>
      </w:r>
      <w:r w:rsidR="009004B8">
        <w:t>,</w:t>
      </w:r>
      <w:r w:rsidRPr="007F2209">
        <w:t xml:space="preserve"> общим для всех видов экономической деятельности, в частности, по специальности «экономика и управление», составляющих около трети выпускников профессиональных образовательных организаций области на протяжении последних 5 лет. В отсутствие восстановления производственной и экономической активности доля занятых в обрабатывающей промышленности сохраняет тенденцию к снижению и в 2017 году составила менее 5%. Доля затрат в объеме выручки у предприятий обрабатывающей промышленности одна из самых высоких – ежегодно превышает 96% (в торговле 97%), из них 84% составляет себестоимость. В 2016 году затраты на производство продаж, в т.ч. себестоимость, возросли на 22% при росте коммерческих расходов в 1,8 раза и снижении управленческих расходов на 22%.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В отсутствие инвестиционных проектов в сфере обрабатывающей промышленности эксплуатация устаревших, изношенных производственных мощностей и инфраструктуры, дефицит квалифицированных кадров среди специалистов и руководителей промышленных предприятий, знающих специфику конкретного производства и обладающих необходимым профессиональным опытом и знаниями для его эффективной организации и повышения производительности, отсутствие инвестиций в повышение производительности труда (модернизацию технологий и оборудования, развитие кадрового потенциала), а также низкий уровень оплаты труда производственного персонала, ограничивающий привлечение специалистов, снижают потенциал роста производства и не позволяют ожидать дальнейшего развития и расширения промышленности в городе Мурманске. Наряду с этим строительство новых промышленных объектов ограничено существующей инженерной инфраструктурой и состоянием городских коммуникационных сетей. Развитие пищевой промышленности, составляющей основу промышленного производства города, в большей степени зависит от прибрежного рыболовства. Производство пищевой продукции, за исключением рыбной продукции, ограничено, главным образом, платежеспособным спросом </w:t>
      </w:r>
      <w:r w:rsidRPr="007F2209">
        <w:lastRenderedPageBreak/>
        <w:t>населения, численность которого сокращается, а также конкуренцией со стороны импортируемых торговыми сетями продуктов питания из других регионов.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Перспективы развития обрабатывающей промышленности связаны с развитием рыбохозяйственного комплекса и Мурманского транспортного узла, обеспечивающими функционирование рыбоперерабатывающих и судоремонтных производств, а также внедрением инновационных видов деятельности. Ожидается, что создание на базе Мурманского арктического государственного университета Арктического кадрового ресурсного центра и развитие научно-исследовательской деятельности позволит обеспечить экономику города необходимыми специалистами и организовать внедрение передовых промышленных разработок в производство в долгосрочной перспективе.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Реализация инвестиционных проектов по модернизации мясоперерабатывающего завода «Окраина» (ООО «МПЗ ОКРАИНА»), строительству к 2019 году высокотехнологического рыбоперерабатывающего завода мощностью 60 тыс. тонн в сутки в соответствии с требованиями международных стандартов качества (ООО «РПК ГАВАНЬ»), планируемому созданию мобильного плавучего производственного комплекса (МППК) по выпуску высокотехнологичной рыбной продукции (ООО «СевЗапРыба») и строительству регионального оптово-розничного рыбного рынка «Нептунея» (НКО «Фонд поддержки прибрежного рыбохозяйственного комплекса Мурманской области») позволит сохранить развитие пищевой промышленности в целевом варианте прогноза. </w:t>
      </w:r>
    </w:p>
    <w:p w:rsidR="00843B99" w:rsidRPr="007F2209" w:rsidRDefault="00843B99" w:rsidP="004A3D34">
      <w:pPr>
        <w:ind w:firstLine="709"/>
        <w:jc w:val="both"/>
      </w:pPr>
      <w:proofErr w:type="gramStart"/>
      <w:r w:rsidRPr="007F2209">
        <w:t>Реализация проектов филиала «35 СРЗ» АО «ЦС Звездочка» по очистке, выводу из эксплуатации, ликвидации и реабилитации площадки временного хранения радиоактивных отходов и строительству верфи по изготовлению модульных конструкций верхних строений нефтегазодобывающих сооружений для арктического шельфа, реконструкции и техническому перевооружению 2-камерного сухого дока позволит увеличить производственные мощности предприятия и обеспечить рост промышленного производства по видам деятельности «Производство прочих транспортных средств и</w:t>
      </w:r>
      <w:proofErr w:type="gramEnd"/>
      <w:r w:rsidRPr="007F2209">
        <w:t xml:space="preserve"> оборудования» и «Ремонт и монтаж машин и оборудования» в 2020 году.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Таким образом, в базовом варианте прогноза планируется сохранение объема промышленного производства в 2018-2019 годах с ростом более 1% в 2020 году. Целевой вариант прогноза предусматривает </w:t>
      </w:r>
      <w:r w:rsidR="009004B8">
        <w:t xml:space="preserve">увеличение промышленного роста </w:t>
      </w:r>
      <w:r w:rsidRPr="007F2209">
        <w:t>на 6% в 2018 году с замедлением роста в 2019-2020 годах в пределах 5%.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Наиболее капиталоемкой и прибыльной сферой промышленного производства в последние годы оставалась сфера рыболовства, рыбоводства, в которой благодаря инвестициям в модернизацию основных фондов и </w:t>
      </w:r>
      <w:r w:rsidRPr="007F2209">
        <w:rPr>
          <w:szCs w:val="28"/>
        </w:rPr>
        <w:t xml:space="preserve">реструктуризации предприятий рыбохозяйственного комплекса их число сократилось до 231 единицы (68,6% к 2015 году), при этом </w:t>
      </w:r>
      <w:r w:rsidRPr="007F2209">
        <w:t xml:space="preserve">заметно повысилась производительность труда и средняя заработная плата работников, однако темп роста заработной платы значительно замедлился в 2016 году до 113,5%. </w:t>
      </w:r>
    </w:p>
    <w:p w:rsidR="00843B99" w:rsidRPr="007F2209" w:rsidRDefault="00843B99" w:rsidP="004A3D34">
      <w:pPr>
        <w:ind w:firstLine="709"/>
        <w:jc w:val="both"/>
      </w:pPr>
      <w:r w:rsidRPr="007F2209">
        <w:lastRenderedPageBreak/>
        <w:t xml:space="preserve">В сфере рыболовства, рыбоводства самая высокая в городе средняя заработная плата (157,2 тыс. рублей по итогам 2016 года), уровень которой в 2,8 раза превышает средний размер по городу (57,1 тыс. рублей), при занятости менее 4% работников крупных и средних предприятий, а также размер </w:t>
      </w:r>
      <w:r w:rsidRPr="007F2209">
        <w:rPr>
          <w:szCs w:val="28"/>
        </w:rPr>
        <w:t>сальдированного финансового результата (129,16% к 2015 году), составляющего 69,84% сальдированного финансового результата крупных и средних организаций города.</w:t>
      </w:r>
      <w:r w:rsidRPr="007F2209">
        <w:t xml:space="preserve"> Доля затрат предприятий рыболовства, рыбоводства в объеме выручки одна из самых низких и составляет менее 60%, из которых 50% приходится на себестоимость, рост которой в 2016 году составил 106%. При этом объем коммерческих расходов в 2016 году сократился на 22% при увеличении управленческих расходов на 3%.</w:t>
      </w:r>
    </w:p>
    <w:p w:rsidR="00843B99" w:rsidRPr="007F2209" w:rsidRDefault="00843B99" w:rsidP="004A3D34">
      <w:pPr>
        <w:ind w:firstLine="709"/>
        <w:jc w:val="both"/>
      </w:pPr>
      <w:r w:rsidRPr="007F2209">
        <w:t>Объем отгруженной продукции предприятиями рыболовства, рыбоводства в 2016 году в действующих ценах увеличился на 2,6% до 48,6 млрд. рублей (в том числе рыба, произведенная в условиях промысла, когда вылов и переработка являются комплексным процессом – в 4,8 раза до 2,3 млрд. рублей) и составил 91% от объема по Мурманской области. И</w:t>
      </w:r>
      <w:r w:rsidRPr="007F2209">
        <w:rPr>
          <w:szCs w:val="28"/>
        </w:rPr>
        <w:t xml:space="preserve">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 оценочно составил 90%, превысив показатель 2015 года – 67,3%. </w:t>
      </w:r>
      <w:r w:rsidRPr="007F2209">
        <w:t>Объем экспортной продукции в натуральном выражении практически сохранился на уровне 2015 года, составив 99,5% к аналогичному периоду прошлого года, при этом сократившись в долларовом выражении на 7% с учетом снижения цены за килограмм экспортной продукции на 10% до 1,8 доллара. В 2,7 раза увеличился выпуск свежего и охлажденного рыбного филе, в 1,2 раза - свежих или охлажденных печени, икры.</w:t>
      </w:r>
    </w:p>
    <w:p w:rsidR="00843B99" w:rsidRPr="007F2209" w:rsidRDefault="00843B99" w:rsidP="004A3D34">
      <w:pPr>
        <w:ind w:firstLine="709"/>
        <w:jc w:val="both"/>
      </w:pPr>
      <w:r w:rsidRPr="007F2209">
        <w:t>Дальнейшее развитие рыболовства, рыбоводства ограничено районами промысла и запасами водных биоресурсов и будет определяться новой концепцией долгосрочного развития рыбохозяйственного комплекса до 2030 года, разрабатываемой Росрыболовством и включающей комплекс мер по повышению экономической эффективности переработки водных биоресурсов, в основном, за счёт использования инновационных безотходных технологий, а также расширения районов промысла за счет возвращения российских рыбаков на промысел в воды Антарктики для добычи антарктического криля. В целях реализации концепции планируется сокращение избыточного контроля, оптимизация процедур оформления судов и грузов, таможенного оформления зарубежных комплектующих для ремонта судов, что даст дополнительный импульс развитию судоремонтной промышленности.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t xml:space="preserve">Развитию рыбной промышленности в прогнозном периоде будет способствовать реализация инвестиционных проектов по реконструкции и техническому перевооружению регионального центра мониторинга и регионального информационного центра в Мурманске (ФГБУ «Центр системы мониторинга рыболовства и связи») в 2018 году, строительству, реконструкции, модернизации объектов инфраструктуры Мурманского морского рыбного порта, строительству 10 малотоннажных прибрежных </w:t>
      </w:r>
      <w:r w:rsidRPr="007F2209">
        <w:rPr>
          <w:szCs w:val="28"/>
        </w:rPr>
        <w:t>траулеров под охлажденную продукцию с возможностью заморозки рыбы</w:t>
      </w:r>
      <w:r w:rsidRPr="007F2209">
        <w:t xml:space="preserve"> предприятиями </w:t>
      </w:r>
      <w:r w:rsidRPr="007F2209">
        <w:rPr>
          <w:szCs w:val="28"/>
        </w:rPr>
        <w:lastRenderedPageBreak/>
        <w:t>Ассоциации прибрежных рыбопромышленников и фермерских хозяйств Мурмана.</w:t>
      </w:r>
    </w:p>
    <w:p w:rsidR="00843B99" w:rsidRPr="007F2209" w:rsidRDefault="00843B99" w:rsidP="004A3D34">
      <w:pPr>
        <w:ind w:firstLine="709"/>
        <w:jc w:val="both"/>
      </w:pPr>
      <w:r w:rsidRPr="007F2209">
        <w:t>С учетом прогноза вылова водных биологических ресурсов ФГУП «ПИНРО» и снижения в 2018 году квоты на вылов атлантической сельди (64,55%), путассу (51,6%), скумбрии (69%), трески (58,7%) в 2018-2019 годах ожидается снижение производственных показателей предприятий рыболовства, рыбоводства до 85,1% и 98,94% соответственно и стабилизация ситуации в 2020 году (100,5%), что отразится на динамике развития пищевой промышленной и обрабатывающих производств в целом.</w:t>
      </w:r>
    </w:p>
    <w:p w:rsidR="00843B99" w:rsidRPr="007F2209" w:rsidRDefault="00843B99" w:rsidP="004A3D34">
      <w:pPr>
        <w:ind w:firstLine="709"/>
        <w:jc w:val="both"/>
      </w:pPr>
      <w:r w:rsidRPr="007F2209">
        <w:t>На предприятиях в сфере производства и распределения электроэнергии, газа и воды заняты менее 4,5% работников, средняя заработная которых на 13% ниже средней по городу. Численность работников после устойчивого роста в 2011-2014 годах сохраняет тенденцию к сокращению и в 2016 году составила 4183 человека. Объем промышленного производства в сопоставимых ценах с учетом среднеобластных индексов-дефляторов по отдельным классам экономической деятельности оценочно сократился до 11,9 млрд. рублей или 95,26% к 2015 году, в т.ч. по производству, передаче и распределению электроэнергии - 85%, пара и горячей воды (тепловой  энергии) – 98,85%, газообразного топлива, сбору, очистке и распределению воды – 94%. Объемпроизведенной электроэнергии в натуральном выражении сократился до 98,4% к 2015 году, теплоэнергии увеличился к предыдущему году менее чем на 1%, составив 3,3 млн. Гкал или 100,8%.</w:t>
      </w:r>
    </w:p>
    <w:p w:rsidR="00843B99" w:rsidRPr="007F2209" w:rsidRDefault="00843B99" w:rsidP="004A3D34">
      <w:pPr>
        <w:ind w:firstLine="709"/>
        <w:jc w:val="both"/>
      </w:pPr>
      <w:r w:rsidRPr="007F2209">
        <w:t>В сфере производства и распределения электроэнергии, газа и воды доля затрат на производство продаж, состоящих на 99,9% из себестоимости, в объеме выручки в 2014-2016 годах сохраняла устойчивую тенденцию к снижению и по итогам 2016 года составляла 87% в результате снижения управленческих расходов в 2015 году в 2,6 раза, коммерческих расходов в 2016 году в 1,5 раза. В результате с 2015 года сохраняется прибыль от продаж, размер которой в 2016 году возрос на 16,6% до 2,2 млрд. рублей. С 2014 года по итогам января-ноября ежегодно наблюдается устойчивый рост положительного сальдированного финансового результата</w:t>
      </w:r>
      <w:r>
        <w:t>,</w:t>
      </w:r>
      <w:r w:rsidRPr="007F2209">
        <w:t xml:space="preserve"> до</w:t>
      </w:r>
      <w:r>
        <w:t>стигшего</w:t>
      </w:r>
      <w:r w:rsidRPr="007F2209">
        <w:t xml:space="preserve"> 2,3 млрд. рублей в 2016 году, однако по итогам года с учетом отрицательного сальдо прочих доходов и расходов в 2015-2016 годах, достигшего 2,4 млрд. рублей в 2016 году, сохраняется рост отрицательного сальдированного финансового результата, который в 2016 году увеличился в 7,5 раз до 663,2 млн. рублей.</w:t>
      </w:r>
    </w:p>
    <w:p w:rsidR="00843B99" w:rsidRPr="007F2209" w:rsidRDefault="00843B99" w:rsidP="004A3D34">
      <w:pPr>
        <w:ind w:firstLine="709"/>
        <w:jc w:val="both"/>
      </w:pPr>
      <w:r w:rsidRPr="007F2209">
        <w:t>В связи с тем, что основным</w:t>
      </w:r>
      <w:r w:rsidR="009004B8">
        <w:t xml:space="preserve"> потребителем</w:t>
      </w:r>
      <w:r w:rsidRPr="007F2209">
        <w:t xml:space="preserve"> теплоэнергии, сжиженного газа и воды является население, численность которого сохраняет устойчивую тенденцию к снижению, а большую часть электроэнергии потребляют промышленные предприятия</w:t>
      </w:r>
      <w:r w:rsidR="009004B8">
        <w:t>,</w:t>
      </w:r>
      <w:r w:rsidRPr="007F2209">
        <w:t xml:space="preserve"> дальнейшее развитие сферы производства и распределения электроэнергии, газа и воды будет в большей степени зависеть от экономической активности и состояния промышленных предприятий города, инвестиций на внедрение ресурсосберегающих и энергосберегающих технологий.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Для обеспечения энергетической безопасности, надежного и качественного электроснабжения существующих потребителей и </w:t>
      </w:r>
      <w:r w:rsidRPr="007F2209">
        <w:lastRenderedPageBreak/>
        <w:t xml:space="preserve">перспективных площадок застройки, создания технической возможности для подключения к электрическим сетям новых потребителей в городе реализуются инвестиционные проекты по строительству и реконструкции объектов электроснабжения филиала ПАО «МРСК </w:t>
      </w:r>
      <w:r w:rsidR="009004B8">
        <w:t>Северо-Запада» «Колэнерго», ОАО </w:t>
      </w:r>
      <w:r w:rsidRPr="007F2209">
        <w:t>«МОЭСК». Для энергообеспечения Мурманского транспортного узла ОАО «ФСК ЕЭС» продолжается строительст</w:t>
      </w:r>
      <w:r w:rsidR="009004B8">
        <w:t>во подстанции «Мурманская» (330 </w:t>
      </w:r>
      <w:r w:rsidRPr="007F2209">
        <w:t>кВт). Для обеспечения электроснабжением многоквартирных жилых домов в микрорайоне Жилстрой до конца 2017 года планируется осуществление технологического присоединения к электрическим сетям энергопринимающих устройств объектов домов максимальной мощностью 1000 кВт. В целях обеспечения теплоснабжения объектов по улице Фестивальная в городе Мурманске в 2018 году планируется построить блочно-модульную котельную. Таким образом, в прогнозном периоде ожидается прекращение снижения производственных показателей и сохранение объема производства по виду деятельности «Обеспечение электрическое энергией, газом и паром; кондиционирование воздуха».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На повышение качества водоснабжения и обеспечение энергетической эффективности водопроводных сооружений направлена реализация в 2018 году инвестиционного проекта ГОУП «Мурманскводоканал» по реконструкции ВНС (водопроводная насосная станция) 1-го подъема Кола Мурманск, что позволит стабилизировать объем промышленного производства по виду деятельности «Водоснабжение; водоотведение, организация сбора и утилизации отходов, деятельность по ликвидации загрязнений». Перспективы развития в данной сфере связаны с планируемым в 2018 году строительством Южных очистных сооружений канализации для биологической очистки городских сточных вод, строительству очистных сооружений АО «82 СРЗ», завершением строительства мусорного полигона </w:t>
      </w:r>
      <w:hyperlink r:id="rId16" w:tgtFrame="_blank" w:history="1">
        <w:r w:rsidRPr="007F2209">
          <w:t>в 2,5 км от поселка Междуречье</w:t>
        </w:r>
      </w:hyperlink>
      <w:r w:rsidRPr="007F2209">
        <w:t xml:space="preserve"> в 2017 году, а также мусороперерабатывающего завода по автоматической и ручной сортировке полезных фракций, привлечением бизнеса к реализации проектов модернизации в сфере тепло-, водоснабжения, водоотведения, очистки сточных вод и обращения с твердыми коммунальными отходами.</w:t>
      </w:r>
    </w:p>
    <w:p w:rsidR="00843B99" w:rsidRPr="007F2209" w:rsidRDefault="00843B99" w:rsidP="004A3D34">
      <w:pPr>
        <w:ind w:firstLine="709"/>
        <w:jc w:val="both"/>
      </w:pPr>
      <w:r w:rsidRPr="007F2209">
        <w:t>В прогнозном периоде ожидается сохранение объема производства по виду деятельности «Обеспечение электрической энергией, газом и паром; кондиционирование воздуха» в базовом варианте прогноза с ежегодным ростом в пределах 0,3% в целевом варианте прогноза на фоне устойчивого снижения производственных показателей по виду деятельности «Водоснабжение; водоотведение, организация сбора и утилизации отходов, деятельность по ликвидации загрязнений» почти на 2% в год.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Экспортно-сырьевая направленность экономики региона, реализация проекта Мурманского транспортного узла определяет дальнейшее развитие города в качестве перевалочного транспортного пункта, что будет способствовать дальнейшему увеличению показателей деятельности сервисных отраслей по обслуживанию транспортного флота. Таким образом, в целевом варианте прогноза ожидается рост индекса промышленного производства в 2018-2019 годах на 2,3% и 1,37% соответственно с сохранением достигнутых </w:t>
      </w:r>
      <w:r w:rsidRPr="007F2209">
        <w:lastRenderedPageBreak/>
        <w:t xml:space="preserve">результатов в 2020 году. В базовом варианте прогноза ожидается сокращение промышленного производства в городе с учетом снижения промышленных показателей рыболовства, рыбоводства, отсутствия инвестиционных проектов и инновационных производств в сфере обрабатывающей промышленности.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Потребительский рынок Мурманска является основной и наиболее динамично развивающейся сферой экономики города. В сфере </w:t>
      </w:r>
      <w:r w:rsidRPr="007F2209">
        <w:t xml:space="preserve">торговли зарегистрирована треть организаций города, занята десятая часть работников крупных и средних предприятий, создается больше всего рабочих мест (40%) и сохраняется дефицит кадров в сфере продаж, регулярно осуществляются инвестиции в модернизацию </w:t>
      </w:r>
      <w:r w:rsidRPr="007F2209">
        <w:rPr>
          <w:szCs w:val="28"/>
        </w:rPr>
        <w:t>торговых объектов, неизменно сохраняется положительный сальдированный финансовый результат деятельности.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на потребительском рынке города наметилась тенденция роста потребительской активности на розничном рынке товаров (107,2% к 2015 году в сопоставимых ценах с учетом индекса цен на товары и услуги против снижения 78,3% в 2015 году), сохранился рост в сфере общественного питания (107% против 106,9%) на фоне снижения индекса потребительских цен на товары и услуги с 115,2% до 107,3%, главным образом, на продовольственные товары (с 119,6% до 104,9%), замедления снижения реальной заработной платы (с 92,4% до 99,1%) и заметного увеличения кредитной активности физических лиц по сравнению с 2015 годом. </w:t>
      </w:r>
      <w:proofErr w:type="gramStart"/>
      <w:r>
        <w:rPr>
          <w:szCs w:val="28"/>
        </w:rPr>
        <w:t xml:space="preserve">Объем </w:t>
      </w:r>
      <w:r w:rsidRPr="007F2209">
        <w:rPr>
          <w:szCs w:val="28"/>
        </w:rPr>
        <w:t>выдачи кредитов составил 119,5% к 2015 году в результате снижения с начала года средневзвешенной процентной ставки по рублевым кредитам физическим лицам на 2,3</w:t>
      </w:r>
      <w:r w:rsidR="00F05390">
        <w:rPr>
          <w:szCs w:val="28"/>
        </w:rPr>
        <w:t>%</w:t>
      </w:r>
      <w:r w:rsidRPr="007F2209">
        <w:rPr>
          <w:szCs w:val="28"/>
        </w:rPr>
        <w:t xml:space="preserve"> до 15,9% на конец 2016 года, в том числе в стоимостном выражении процентная ставка за пользование потребительским кредитом снизилась до 19493,98 рублей (78,8% к 2015 году), составив треть от уровня средней заработной платы против 46% в</w:t>
      </w:r>
      <w:proofErr w:type="gramEnd"/>
      <w:r w:rsidRPr="007F2209">
        <w:rPr>
          <w:szCs w:val="28"/>
        </w:rPr>
        <w:t xml:space="preserve"> 2015 году.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 данным Национального бюро кредитных историй за прошедший год вырос средний размер микрозайма («займа до зарплаты») во всех возрастных категориях заёмщиков, но больше всего в сегменте до 30 лет. Так, самая высокая динамика роста была отмечена в возрастной группе заёмщиков от 25 до 29 лет (на 11,5%), где средний размер микрозайма во II квартале 2017 г. составил 9,8 тыс. руб. (во II кв. 2016 г. – 8,8 тыс. руб.). Самый низкий рост микрозайма среди всех возрастных категорий заёмщиков в сегменте заёмщиков от 30 до 39 лет, где размер займа «до зарплаты» во II квартале составил 10,9 тыс. руб., увеличившись за год на 5,8% (за аналогичный период прошлого года – 10,3 тыс. руб.). Наименьший средний размер выданного микрозайма зафиксирован в возрастной группе моложе 25 лет – 7,8 тыс. руб. В то же время, наибольшие суммы «до зарплаты» берут заёмщики в возрастном диапазоне от 40 до 49 лет – 11,6 тыс. руб.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Оборот розничной торговли крупных и средних организаций составил 46 млрд. рублей (115,1% к 2015 году), оборот общественного питания – 1,7 млрд. рублей (110,9% к 2015 году). Росту показателей также способствовал </w:t>
      </w:r>
      <w:r w:rsidRPr="007F2209">
        <w:rPr>
          <w:szCs w:val="28"/>
        </w:rPr>
        <w:lastRenderedPageBreak/>
        <w:t>значительный рост турпотока в 2016 году до 126390 человек (129,3% к 2015 году), что</w:t>
      </w:r>
      <w:r w:rsidR="009004B8">
        <w:rPr>
          <w:szCs w:val="28"/>
        </w:rPr>
        <w:t xml:space="preserve"> по численности эквивалентно двум третям</w:t>
      </w:r>
      <w:r w:rsidRPr="007F2209">
        <w:rPr>
          <w:szCs w:val="28"/>
        </w:rPr>
        <w:t xml:space="preserve"> трудоспособного населения города.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Объем потребления платных услуг составил 91% к 2015 году в сопоставимых ценах с учетом индекса цен на товары и услуги, в т.ч. наиболее заметное снижение коснулось потребления бытовых услуг (72,4% до 343,8 млн. рублей), транспортных (65,5% до 1036,5 млн. рублей), услуг связи (90,4% до 6888 млн. рублей), системы образования (82,3% до 1036,5 млн. рублей). В 2,5 раза увеличилось потребление прочих платных услуг (256% до 209,4 млн. рублей), коммунальных услуг (118,2% до 8712,6 млн. рублей), услуг учреждений культуры (113,2% до 306 млн. рублей), физической культуры и спорта (103,1% до 58,278 млн. рублей).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состояние розничного рынка города Мурманска продолжают оказывать существенное влияние активное развитие сетевых структур и становление сетевой экономики, расширение современных форматов торговли (интернет-продажи, магазины-дискаунтеры, сети гипермаркетов и сетевые магазины шаговой доступности), улучшение архитектурного и интерьерного облика объектов торговли, развитие собственных торговых марок и сотрудничество с местными производителями, расширение товарного ассортимента и повышение уровня сервиса в условиях высокой насыщенности торговыми объектами и обеспеченности торговыми площадями и обострения конкуренции между тесно соседствующими магазинами федеральных и региональных сетей.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Развитие рынка общественного питания города Мурманска также тесно связано с развитием торговых и торгово-развлекательных центров и комплексов и расширением сегмента «фаст-фуда», сетевой торговли, в том числе международных, федеральных и местных сетей («Макдоналдс», «Sushi-City», «Кружка», «Юность», «Чинар», «Штолле»), въездного туризма и гостиничного бизнеса. Особенностью рынка общественного питания города Мурманска является тенденция к открытию предприятий с разноплановыми национальными кухнями, расширение видов услуг и форм обслуживания (кейтеринг</w:t>
      </w:r>
      <w:r w:rsidRPr="007F2209">
        <w:rPr>
          <w:rStyle w:val="af0"/>
          <w:szCs w:val="28"/>
        </w:rPr>
        <w:footnoteReference w:id="7"/>
      </w:r>
      <w:r w:rsidRPr="007F2209">
        <w:rPr>
          <w:szCs w:val="28"/>
        </w:rPr>
        <w:t xml:space="preserve">, организация корпоративных и семейных праздников, услуги шеф-повара на дому, организация досуга детей, консультации по приготовлению блюд, интернет-услуги), развитию нестационарной торговли, освоению спальных районов за счет открытия пивных ресторанов и пабов рядом с домом. На фоне многообразия форматов и концепций, направленных на разные целевые группы потребителей, всё больше предприятий общественного питания имеют социальную направленность и становятся более доступными для людей пенсионного возраста и детей, оборудованы специальной мебелью, детскими комнатами, средствами, обеспечивающими доступ маломобильным посетителям, посетителям с детьми.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Из 186 стационарных объектов общепита в Мурманске 167 - рестораны, кафе, бары, 19 - закусочные быстрого питания на вынос и на автозаправочных </w:t>
      </w:r>
      <w:r w:rsidRPr="007F2209">
        <w:rPr>
          <w:szCs w:val="28"/>
        </w:rPr>
        <w:lastRenderedPageBreak/>
        <w:t>станциях. Потребность населения в предприятиях общественного питания различных типов, специализированных предприятиях общественного питания с рыбным меню, кофеен, чайных, столовых и закусочных, обеспечивающих территориальную доступность для населения каждого микрорайона, в Мурманске ещё достаточно велика.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сфере бытового обслуживания населения ведущую роль играет малый бизнес, в частности, индивидуальное предпринимательство. Наблюдается процесс развития сетевых форматов предприятий бытового обслуживания: парикмахерские, салоны красоты, SPA- и beauty-салоны, организации по ремонту и техническому обслуживанию автотранспорта, бытовой техники и электроники, банные комплексы. По состоянию на начало 2017 года на территории города Мурманска действовали 603 предприятия бытовых услуг.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целях развития потребительского рынка в рамках подпрограммы «Развитие и поддержка малого и среднего предпринимательства в городе Мурманске» на 2014-2019 годы муниципальной программы </w:t>
      </w:r>
      <w:r w:rsidR="002E50A6">
        <w:rPr>
          <w:szCs w:val="28"/>
        </w:rPr>
        <w:t xml:space="preserve">города Мурманска </w:t>
      </w:r>
      <w:r w:rsidRPr="007F2209">
        <w:rPr>
          <w:szCs w:val="28"/>
        </w:rPr>
        <w:t>«</w:t>
      </w:r>
      <w:r w:rsidR="00F05390">
        <w:rPr>
          <w:bCs/>
          <w:szCs w:val="28"/>
        </w:rPr>
        <w:t xml:space="preserve">Развитие </w:t>
      </w:r>
      <w:r w:rsidRPr="007F2209">
        <w:rPr>
          <w:bCs/>
          <w:szCs w:val="28"/>
        </w:rPr>
        <w:t>конкурентоспособной экономики» на 2014-2019 годы ежегодно проводятся общегородские конкурсы, направленные на повышение культуры и качества обслуживания населения («Гермес», «Новогодняя фантазия»), ярмарки по продаже товаров, в т</w:t>
      </w:r>
      <w:proofErr w:type="gramStart"/>
      <w:r w:rsidRPr="007F2209">
        <w:rPr>
          <w:bCs/>
          <w:szCs w:val="28"/>
        </w:rPr>
        <w:t>.ч</w:t>
      </w:r>
      <w:proofErr w:type="gramEnd"/>
      <w:r w:rsidR="009004B8" w:rsidRPr="007F2209">
        <w:rPr>
          <w:bCs/>
          <w:szCs w:val="28"/>
        </w:rPr>
        <w:t>сельскохозяйственных</w:t>
      </w:r>
      <w:r w:rsidRPr="007F2209">
        <w:rPr>
          <w:bCs/>
          <w:szCs w:val="28"/>
        </w:rPr>
        <w:t>, от приглашенных производителей как местных так и из других регионов страны,</w:t>
      </w:r>
      <w:r w:rsidRPr="007F2209">
        <w:rPr>
          <w:szCs w:val="28"/>
        </w:rPr>
        <w:t xml:space="preserve"> из которых 3 работают на постоянной основе</w:t>
      </w:r>
      <w:r w:rsidRPr="007F2209">
        <w:rPr>
          <w:bCs/>
          <w:szCs w:val="28"/>
        </w:rPr>
        <w:t>.</w:t>
      </w:r>
      <w:r w:rsidRPr="007F2209">
        <w:rPr>
          <w:szCs w:val="28"/>
        </w:rPr>
        <w:t xml:space="preserve"> В 2016 году проведена 71 выставка-ярмарка (126,8% к 2015 году) на площадках 8 хозяйствующих субъектов города Мурманска, за первое полугодие 2017 года на территории муниципального образования город Мурманск проведено 39 ярмарок. Также </w:t>
      </w:r>
      <w:r w:rsidRPr="007F2209">
        <w:rPr>
          <w:bCs/>
          <w:szCs w:val="28"/>
        </w:rPr>
        <w:t>осуществляется привлечение торговых организаций к социальному партнерству в рамках проекта «Городская карта поддержки». В 2016 году заключены соглашения</w:t>
      </w:r>
      <w:r w:rsidRPr="007F2209">
        <w:rPr>
          <w:rFonts w:eastAsia="Calibri"/>
          <w:bCs/>
          <w:szCs w:val="28"/>
          <w:lang w:eastAsia="en-US"/>
        </w:rPr>
        <w:t>, устанавливающие</w:t>
      </w:r>
      <w:r w:rsidRPr="007F2209">
        <w:rPr>
          <w:szCs w:val="28"/>
        </w:rPr>
        <w:t xml:space="preserve"> скидки по приобретению товаров и услуг владельцами микропроцессорной пластиковой карты «Городская карта поддержки»,</w:t>
      </w:r>
      <w:r w:rsidRPr="007F2209">
        <w:rPr>
          <w:bCs/>
          <w:szCs w:val="28"/>
        </w:rPr>
        <w:t xml:space="preserve"> с </w:t>
      </w:r>
      <w:r w:rsidRPr="007F2209">
        <w:rPr>
          <w:szCs w:val="28"/>
        </w:rPr>
        <w:t xml:space="preserve">35 субъектами потребительского рынка товаров и услуг против 24 организаций в 2015 году. В результате в 2017 году более 170 объектов потребительского рынка предоставляют льготное обслуживание 20 312 </w:t>
      </w:r>
      <w:r w:rsidR="009004B8">
        <w:rPr>
          <w:szCs w:val="28"/>
        </w:rPr>
        <w:t>гражданам</w:t>
      </w:r>
      <w:r w:rsidRPr="007F2209">
        <w:rPr>
          <w:szCs w:val="28"/>
        </w:rPr>
        <w:t xml:space="preserve"> или 6,8% населения города.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связи с сокращением численности населения для сохранения потребительского спроса реализуются мероприятия по развитию туризма и повышению привлекательности города для посетителей, в т.ч. из области. Врамках подпрограммы «Строительство и ремонт объектов внешнего благоустройства города Мурманска» на 2015-2019 годы муниципальной программы города Мурманска «Жилищно-коммунальное хозяйство» на 2014-2019 годы осуществляется благоустройство территории в целях создания благоприятных условий для массового отдыха жителей и гостей города Мурманска. До 2018 года планируется завершение благоустройства зоны отдыха оз</w:t>
      </w:r>
      <w:r w:rsidR="009004B8">
        <w:rPr>
          <w:szCs w:val="28"/>
        </w:rPr>
        <w:t>ера</w:t>
      </w:r>
      <w:r w:rsidRPr="007F2209">
        <w:rPr>
          <w:szCs w:val="28"/>
        </w:rPr>
        <w:t xml:space="preserve"> Семеновско</w:t>
      </w:r>
      <w:r w:rsidR="009004B8">
        <w:rPr>
          <w:szCs w:val="28"/>
        </w:rPr>
        <w:t>го</w:t>
      </w:r>
      <w:r w:rsidRPr="007F2209">
        <w:rPr>
          <w:szCs w:val="28"/>
        </w:rPr>
        <w:t xml:space="preserve"> с устройством набережной и </w:t>
      </w:r>
      <w:proofErr w:type="spellStart"/>
      <w:r w:rsidRPr="007F2209">
        <w:rPr>
          <w:szCs w:val="28"/>
        </w:rPr>
        <w:t>велосипедно-пешеходных</w:t>
      </w:r>
      <w:proofErr w:type="spellEnd"/>
      <w:r w:rsidRPr="007F2209">
        <w:rPr>
          <w:szCs w:val="28"/>
        </w:rPr>
        <w:t xml:space="preserve"> дорожек, реконструкции комплекса «Детский городок» на          пр. Героев-</w:t>
      </w:r>
      <w:r w:rsidR="00A22AE9">
        <w:rPr>
          <w:szCs w:val="28"/>
        </w:rPr>
        <w:t>с</w:t>
      </w:r>
      <w:r w:rsidRPr="007F2209">
        <w:rPr>
          <w:szCs w:val="28"/>
        </w:rPr>
        <w:t xml:space="preserve">евероморцев, устройства детской площадки в сквере «Аллея поколений» по ул. </w:t>
      </w:r>
      <w:r w:rsidR="00A22AE9">
        <w:rPr>
          <w:szCs w:val="28"/>
        </w:rPr>
        <w:t xml:space="preserve">Алексея </w:t>
      </w:r>
      <w:r w:rsidRPr="007F2209">
        <w:rPr>
          <w:szCs w:val="28"/>
        </w:rPr>
        <w:t>Хлобыстова.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>К 2020 году ожидается открытие крупнейшего торгово-развлекательного центра «Plazma» группы компаний «Евророс» по ул. Рогозерской общей площадью 129 450 кв.м, в том числе нового многофункционального комплекса – 40 тыс. кв.м, раз</w:t>
      </w:r>
      <w:r>
        <w:rPr>
          <w:szCs w:val="28"/>
        </w:rPr>
        <w:t>влекательной зоны - 25 тыс. кв.</w:t>
      </w:r>
      <w:r w:rsidRPr="007F2209">
        <w:rPr>
          <w:szCs w:val="28"/>
        </w:rPr>
        <w:t xml:space="preserve">м. В состав объекта войдут торговая галерея, кинотеатр, гипермаркет, каток, детская игровая зона, аквапарк, океанариум и вместительная парковка на 1711 машиномест.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Планируются к реализации проекты по реконструкции Мурманского продовольственно-вещевого рынка Ленинского округа, автомобильного ры</w:t>
      </w:r>
      <w:r w:rsidR="00A22AE9">
        <w:rPr>
          <w:szCs w:val="28"/>
        </w:rPr>
        <w:t>нка на ул. Подгорной</w:t>
      </w:r>
      <w:r w:rsidRPr="007F2209">
        <w:rPr>
          <w:szCs w:val="28"/>
        </w:rPr>
        <w:t>, созданию пристройки к правой части здания Первомайского рынка по ул. Щербакова, 11, строительству регионального оптово-розничного рыбного рынка «Нептунея», плоскостного спортивного сооружения – стадиона со спортивным ядром, в которое входят основное игровое футбольное поле, окаймленное беговой и конькобежной дорожкой, и трибунами по ул. Адмирала флота Лобова, 51.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Дальнейшее развитие потребительского рынка на фоне снижения численности населения будет определяться уровнем обслуживания и разнообразием сервиса и сопровождаться сокращением количества и укрупнением магазинов, универсализацией продовольственной торговли, увеличением специализированных и узкоспециализированных непродовольственных магазинов, магазинов «шаговой доступности», развитием омниканальной модели торговли, при которой покупатель выбирает наиболее удобный для себя канал совершения покупки, включая использование смартфонов для поиска информации о товаре, осуществления оплаты через мобильные платёжные приложения, и, как следствие, ростом телекоммуникационных услуг, развитием логистики.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на фоне роста потребительской активности в юбилейном 2016 году, развития Интернет-торговли в соответствии со Стратегией развития электронной торговли в России до 2025 года ожидается замедления роста оборота розничной торговли до 101,5-100,9% в целевом варианте прогноза в 2018-2019 годах с ростом до 106,1% в 2020 году в случае открытия торгово-развлекательного комплекса на ул. Рогозерской. Рост задолженности населения по кредитам также будет сдерживать рост спроса в прогнозном периоде в базовом варианте прогноза и сохранение оборота розничной торговли в 2018-2019 годах с ростом в 2020 году на 5,3%.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Оборот общественного питания на протяжении последних 6 лет сохраняет устойчивую тенденцию замедления динамичного роста и имеет волнообразную динамику. С учетом дальнейшего развития туризма ожидается сохранение роста объема общественного питания в пределах 106% в базовом варианте прогноза с замедлением роста в 2018-2020 годах</w:t>
      </w:r>
      <w:r w:rsidR="00A22AE9">
        <w:rPr>
          <w:szCs w:val="28"/>
        </w:rPr>
        <w:t>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 развитие платных услуг в большей степени оказывает влияние объем коммунальных услуг, который снижается вслед за численностью населения в отличие от жилищных, рост которых обусловлен старением жилищного фонда, а также телекоммуникационных услуг. В результате развития туризма, реализации проектов по реконструкции культурных и спортивных объектов ожидается дальнейший рост потребления в сфере отдыха и развлечений, </w:t>
      </w:r>
      <w:r w:rsidRPr="007F2209">
        <w:rPr>
          <w:szCs w:val="28"/>
        </w:rPr>
        <w:lastRenderedPageBreak/>
        <w:t>включая услуги учреждений культуры и спорта, а также спроса на услуги гостиниц в сфере малого и среднего бизнеса. Снижение численности населения обусловит дальнейшее сокращение потребления услуг образования и здравоохранения. Увеличение количества легковых автомобилей в собственности граждан, число которых в 2016 году превысило 100 тыс. единиц по данным УМВД России по Мурманской области, составив 103662 единицы или 103,7% к 2015 году, обеспечивает снижение объема пассажирских перевозок и транспортных услуг, расширяя рынок технического обслуживания и ремонта транспортных средств, машин и оборудования для субъектов МСП.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прогнозном периоде ожидается дальнейшее снижение объема платных услуг в 2018 году, с сохранением достигнутого уровня показателя в 2019 году и ростом в 2020 году.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Малое и среднее предпринимательство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По отчетным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количество субъектов малого и среднего предпринимательства</w:t>
      </w:r>
      <w:r w:rsidR="005A0F0F" w:rsidRPr="007F2209">
        <w:rPr>
          <w:rFonts w:ascii="Times New Roman" w:hAnsi="Times New Roman"/>
          <w:sz w:val="28"/>
          <w:szCs w:val="28"/>
        </w:rPr>
        <w:t xml:space="preserve">в городе Мурманске </w:t>
      </w:r>
      <w:r w:rsidR="00163FD4">
        <w:rPr>
          <w:rFonts w:ascii="Times New Roman" w:hAnsi="Times New Roman"/>
          <w:sz w:val="28"/>
          <w:szCs w:val="28"/>
        </w:rPr>
        <w:t>(далее - МСП)</w:t>
      </w:r>
      <w:r w:rsidRPr="007F2209">
        <w:rPr>
          <w:rFonts w:ascii="Times New Roman" w:hAnsi="Times New Roman"/>
          <w:sz w:val="28"/>
          <w:szCs w:val="28"/>
        </w:rPr>
        <w:t xml:space="preserve"> в 2016 году снизилось до 17221 единицы (91,25% к 2015 году), в т.ч. </w:t>
      </w:r>
      <w:proofErr w:type="spellStart"/>
      <w:r w:rsidRPr="007F2209">
        <w:rPr>
          <w:rFonts w:ascii="Times New Roman" w:hAnsi="Times New Roman"/>
          <w:sz w:val="28"/>
          <w:szCs w:val="28"/>
        </w:rPr>
        <w:t>ми</w:t>
      </w:r>
      <w:r w:rsidR="00A22AE9">
        <w:rPr>
          <w:rFonts w:ascii="Times New Roman" w:hAnsi="Times New Roman"/>
          <w:sz w:val="28"/>
          <w:szCs w:val="28"/>
        </w:rPr>
        <w:t>кропредприятий</w:t>
      </w:r>
      <w:proofErr w:type="spellEnd"/>
      <w:r w:rsidR="00A22AE9">
        <w:rPr>
          <w:rFonts w:ascii="Times New Roman" w:hAnsi="Times New Roman"/>
          <w:sz w:val="28"/>
          <w:szCs w:val="28"/>
        </w:rPr>
        <w:t xml:space="preserve"> – до 8328 единиц</w:t>
      </w:r>
      <w:r w:rsidRPr="007F2209">
        <w:rPr>
          <w:rFonts w:ascii="Times New Roman" w:hAnsi="Times New Roman"/>
          <w:sz w:val="28"/>
          <w:szCs w:val="28"/>
        </w:rPr>
        <w:t xml:space="preserve"> (80,3%), средних предприятий – до 38 единиц (86,4%), число малых предприятий возросло до 751 единицы (122,7%), численность индивидуальных предпринимателей - до 8104 человек (103,4%). </w:t>
      </w:r>
    </w:p>
    <w:p w:rsidR="00843B99" w:rsidRDefault="00843B99" w:rsidP="004A3D34">
      <w:pPr>
        <w:ind w:firstLine="709"/>
        <w:jc w:val="both"/>
        <w:rPr>
          <w:szCs w:val="28"/>
        </w:rPr>
      </w:pPr>
      <w:r w:rsidRPr="00303736">
        <w:rPr>
          <w:szCs w:val="28"/>
        </w:rPr>
        <w:t>Рост числа малых предприятий (включая микро) в 2016 году отмечен в сфере транспорта и связи - до 834 единиц (110,9% к 2015 году), образования - до 61 единиц</w:t>
      </w:r>
      <w:r w:rsidR="00A22AE9">
        <w:rPr>
          <w:szCs w:val="28"/>
        </w:rPr>
        <w:t>ы</w:t>
      </w:r>
      <w:r w:rsidRPr="00303736">
        <w:rPr>
          <w:szCs w:val="28"/>
        </w:rPr>
        <w:t xml:space="preserve"> (115,1%). Сохранилось число малых предприятий в сфере производства и распределения электроэнергии, газа и воды (32 единиц</w:t>
      </w:r>
      <w:r w:rsidR="00A22AE9">
        <w:rPr>
          <w:szCs w:val="28"/>
        </w:rPr>
        <w:t>ы</w:t>
      </w:r>
      <w:r w:rsidRPr="00303736">
        <w:rPr>
          <w:szCs w:val="28"/>
        </w:rPr>
        <w:t>), здравоохранения и предоставления социальных услуг (129 единиц или 99,2% к 2015 году). Наибольшее сокращение числа малых предприятий произошло в сфере торговой деятельности - до 3433 единиц (75,8%), гостинично-ресторанного бизнеса - до 323 единиц (80,1%), обрабатывающих производств - до 681 единиц</w:t>
      </w:r>
      <w:r w:rsidR="00A22AE9">
        <w:rPr>
          <w:szCs w:val="28"/>
        </w:rPr>
        <w:t>ы</w:t>
      </w:r>
      <w:r w:rsidRPr="00303736">
        <w:rPr>
          <w:szCs w:val="28"/>
        </w:rPr>
        <w:t xml:space="preserve"> (80,3%), строительства - до 973 единиц (81,9%), операций с недвижимым имуществом, аренды и предоставления услуг – до 1989 единиц (85%).</w:t>
      </w:r>
    </w:p>
    <w:p w:rsidR="00843B99" w:rsidRPr="007F2209" w:rsidRDefault="00843B99" w:rsidP="004A3D34">
      <w:pPr>
        <w:ind w:firstLine="709"/>
        <w:jc w:val="both"/>
        <w:rPr>
          <w:sz w:val="24"/>
          <w:szCs w:val="24"/>
        </w:rPr>
      </w:pPr>
      <w:r w:rsidRPr="007F2209">
        <w:rPr>
          <w:szCs w:val="28"/>
        </w:rPr>
        <w:t>Число средних предприятий возросло в 1,5 раза в сфере операций с недвижимым имуществом, аренды и предоставления услуг до 3 единиц, сохранилось в строительстве (2 единицы), транспорте и связи (2 единицы), предоставлении прочих коммунальных, соц</w:t>
      </w:r>
      <w:r w:rsidR="00A22AE9">
        <w:rPr>
          <w:szCs w:val="28"/>
        </w:rPr>
        <w:t>иальных и персональных услуг (1 </w:t>
      </w:r>
      <w:r w:rsidRPr="007F2209">
        <w:rPr>
          <w:szCs w:val="28"/>
        </w:rPr>
        <w:t>единица), сократилось в 2 раза в сфере рыболовства, рыбоводства до 5 единиц, в 3,7 раза в обрабатывающей промышленности до 2 единиц, почти на треть в торговле до 12 единиц (70,6%).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По данным Федеральной налоговой службы РФ на 01.01.2017 в Едином реестре субъектов малого и среднего предпринимательства</w:t>
      </w:r>
      <w:r w:rsidRPr="007F2209">
        <w:rPr>
          <w:vertAlign w:val="superscript"/>
        </w:rPr>
        <w:footnoteReference w:id="8"/>
      </w:r>
      <w:r w:rsidRPr="007F2209">
        <w:rPr>
          <w:rFonts w:ascii="Times New Roman" w:hAnsi="Times New Roman"/>
          <w:sz w:val="28"/>
          <w:szCs w:val="28"/>
        </w:rPr>
        <w:t xml:space="preserve"> в городе </w:t>
      </w:r>
      <w:r w:rsidRPr="007F2209">
        <w:rPr>
          <w:rFonts w:ascii="Times New Roman" w:hAnsi="Times New Roman"/>
          <w:sz w:val="28"/>
          <w:szCs w:val="28"/>
        </w:rPr>
        <w:lastRenderedPageBreak/>
        <w:t xml:space="preserve">Мурманске было зарегистрировано 15 175 субъектов малого и среднего предпринимательства, из них 8 229 микропредприятий, 730 малых предприятий, 24 средних предприятия, 6 192 индивидуальных предпринимателя.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2016 году отмечено сокращение прироста средств на счетах физлиц-предпринимателей (68,24%), доля малого и среднего бизнеса в объеме выдачи кредитов юридическим лицам и индивидуальным предпринимателям практически не изменилась к 2015 году, составив 28,5%. Средневзвешенная процентная ставка по рублевым кредитам субъектам малого и среднего бизнеса на конец 2016 года снизилась с начала года на 1</w:t>
      </w:r>
      <w:r w:rsidR="005A0F0F">
        <w:rPr>
          <w:szCs w:val="28"/>
        </w:rPr>
        <w:t>%</w:t>
      </w:r>
      <w:r w:rsidRPr="007F2209">
        <w:rPr>
          <w:szCs w:val="28"/>
        </w:rPr>
        <w:t xml:space="preserve"> до 13,2%.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Главным ограничением развития малого и среднего предпринимательства в городе остается отток населения, большей частью молодежи, имеющей высокий предпринимательский потенциал, который обусловлен, в большой степени, прекращением работы высших учебных заведений в регионе и, в частности, в Мурманске. Несмотря на создание Арктического университета</w:t>
      </w:r>
      <w:r w:rsidR="005A0F0F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ограничен круг специальностей, которые можно получить в городе.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Расширение крупного ритейла ведёт к закрытию небольших торговых объектов, уменьшению доли небольших торговых точек (малого предпринимательства) и вытеснению малого бизнеса из традиционной для него сферы розничной торговли. В целях поддержки малого и среднего предпринимательства и обеспечения территориальной и ценовой доступности товаров широкого потребления на территории муниципального образования город Мурманск администрация города Мурманска выделяет места для размещения нестационарных торговых объектов. В 2016 году выдано 36 разрешений на право размещения нестационарных торговых объектов на территории города (66,7% к 2015 году), в городе работали 177 объектов мелкорозничной сети (павильоны, киоски – 107,3% к 2015 году), 14 нестационарных торговых объектов (автолавки, автоприцепы) на круглогодичный период (127,3% к 2015 году) и 22 </w:t>
      </w:r>
      <w:r w:rsidR="00A22AE9" w:rsidRPr="007F2209">
        <w:rPr>
          <w:szCs w:val="28"/>
        </w:rPr>
        <w:t>нестационарных торговых объект</w:t>
      </w:r>
      <w:r w:rsidR="00A22AE9">
        <w:rPr>
          <w:szCs w:val="28"/>
        </w:rPr>
        <w:t>а</w:t>
      </w:r>
      <w:r w:rsidRPr="007F2209">
        <w:rPr>
          <w:szCs w:val="28"/>
        </w:rPr>
        <w:t>(торговые палатки, сезонное кафе, ёлочные базары и бахчевой развал) на сезонный период (в 3,7 раза выше уровня 2015 года). С начала 2017 года выдано 22 разрешения на осуществление торговли с применением нестационарных торговых объектов, из них 16 – на круглогодичный период, 6 – на сезонный.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Также среди неблагоприятных факторов, сдерживающих рост предпринимательской активности, остается отсутствие начального капитала и недоступность банковских продуктов по приемлемым для начинающих предпринимателей условиям.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Наименее развитой сферой малого и среднего бизнеса в городе по-прежнему является производственный сектор экономики, </w:t>
      </w:r>
      <w:r w:rsidRPr="007F2209">
        <w:rPr>
          <w:rFonts w:eastAsia="Calibri"/>
          <w:szCs w:val="28"/>
          <w:lang w:eastAsia="en-US"/>
        </w:rPr>
        <w:t>что обусловлено, прежде всего, более высоким уровнем затрат на электроэнергию и топливо, заработную плату, необходимость выплат компенсационного характера, связанных с условиями работы в районах Крайнего Севера. Недостаток с</w:t>
      </w:r>
      <w:r w:rsidRPr="007F2209">
        <w:rPr>
          <w:szCs w:val="28"/>
        </w:rPr>
        <w:t xml:space="preserve">обственных финансовых средств, недоступность банковских продуктов, низкий уровень оборотного капитала и высокий уровень затрат на производство </w:t>
      </w:r>
      <w:r w:rsidRPr="007F2209">
        <w:rPr>
          <w:szCs w:val="28"/>
        </w:rPr>
        <w:lastRenderedPageBreak/>
        <w:t>в условиях Крайнего Севера по сравнению с другими регионами не позволяют предпринимателям в существующих условиях создать качественную, надежную и устойчивую производственную инфраструктуру.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Наряду с тем, что субъекты </w:t>
      </w:r>
      <w:r w:rsidR="00163FD4">
        <w:rPr>
          <w:szCs w:val="28"/>
        </w:rPr>
        <w:t xml:space="preserve">МСП </w:t>
      </w:r>
      <w:r w:rsidRPr="007F2209">
        <w:rPr>
          <w:szCs w:val="28"/>
        </w:rPr>
        <w:t xml:space="preserve">имеют ряд льгот при участии в госзакупках, установленных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нужд», к вышеизложенным негативным факторам можно отнести низкую ценовую конкурентоспособность местных предпринимателей по сравнению с предпринимателями из других регионов страны по причине вышеуказанных высоких затрат, связанных с условиями Крайнего Севера. Это значительно снижает их шансы на заключение контрактов (в том числе муниципальных) в результате участия в конкурентных процедурах, проводимых в рамках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Помимо того, работа с госкомпаниями всегда связана с отсрочками и постоплатой, что в условиях дефицита заемных средств не позволяет субъектам МСП работать с ними напрямую минуя посредников. Госкомпании в свою очередь требуют наличия дорогостоящих сертификатов </w:t>
      </w:r>
      <w:r w:rsidRPr="007F2209">
        <w:rPr>
          <w:szCs w:val="28"/>
          <w:lang w:val="en-US"/>
        </w:rPr>
        <w:t>ISO</w:t>
      </w:r>
      <w:r w:rsidRPr="007F2209">
        <w:rPr>
          <w:szCs w:val="28"/>
        </w:rPr>
        <w:t xml:space="preserve"> и предпочитают не работать с предприятиями, использующими упрощенную систему налогообложения.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Наиболее привлекательными нишами для предпринимателей в местных условиях являются торговля и сфера обслуживания. Но, на данный момент, емкость данных ниш заполнена. Формирование новых уникальных предложений со стороны бизнеса затрудняется низкой покупательской способностью населения. Анализ платных услуг и сферы бытового обслуживания населения, представленной крупными и средними предприятиями города, показывает, что наиболее востребованными в сфере малого предпринимательства являются услуги гостиниц и турагентств, парикмахерских, салонов красоты, прочие оздоровительные услуги, а также услуги по ремонту и техническому обслуживанию автотранспорта, бытовой техники и электроники.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С учетом политики государства, направленной на улучшение условий для создания и развития малого и среднего предпринимательства, в прогнозируемом периоде возможен рост числа предпринимателей. Основными факторами, которые могут положительно повлиять на рост и активизацию предпринимательства в муниципальном образовании город Мурманск, можно считать преференции вналогообложении: для впервые зарегистрированных индивидуальных предпринимателей, применяющих упрощенную, патентную системы налогообложения, введены двухлетние налоговые каникулы, скорректированы размеры потенциально возможного к получению индивидуальным предпринимателем годового дохода по патентной системе налогообложения, расширен перечень видов деятельности, в рамках осуществления которых возможно применение патентной системы налого</w:t>
      </w:r>
      <w:r w:rsidR="00A22AE9">
        <w:rPr>
          <w:szCs w:val="28"/>
        </w:rPr>
        <w:t>обложения, внесены изменения в р</w:t>
      </w:r>
      <w:r w:rsidRPr="007F2209">
        <w:rPr>
          <w:szCs w:val="28"/>
        </w:rPr>
        <w:t xml:space="preserve">ешение Совета депутатов города Мурманска от 07.11.2005 № 13-158 «О системе налогообложения в виде </w:t>
      </w:r>
      <w:r w:rsidRPr="007F2209">
        <w:rPr>
          <w:szCs w:val="28"/>
        </w:rPr>
        <w:lastRenderedPageBreak/>
        <w:t>единого налога на вмененный доход для отдельных видов деятельности на территории муниципального образования город Мурманск» в части расширения перечня видов деятельности и корректировки коэффициента базовой доходности К2 для отдельных видов предпринимательской деятельности.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развития сферы малого и среднего предпринимательства Правительством Российской Федерации принята Стратегия развития малого и среднего предпринимательства в Российской Федерации до 2030 года</w:t>
      </w:r>
      <w:r w:rsidR="005A0F0F">
        <w:rPr>
          <w:szCs w:val="28"/>
        </w:rPr>
        <w:t>, р</w:t>
      </w:r>
      <w:r w:rsidRPr="007F2209">
        <w:rPr>
          <w:szCs w:val="28"/>
        </w:rPr>
        <w:t xml:space="preserve">еализация </w:t>
      </w:r>
      <w:r w:rsidR="005A0F0F">
        <w:rPr>
          <w:szCs w:val="28"/>
        </w:rPr>
        <w:t xml:space="preserve">которой </w:t>
      </w:r>
      <w:r w:rsidRPr="007F2209">
        <w:rPr>
          <w:szCs w:val="28"/>
        </w:rPr>
        <w:t xml:space="preserve">положительно повлияет на активность действующих предпринимателей и будет способствовать созданию новых предприятий.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</w:pPr>
      <w:r w:rsidRPr="007F2209">
        <w:rPr>
          <w:szCs w:val="28"/>
        </w:rPr>
        <w:t xml:space="preserve">Появление на рынке крупных, в том числе государственных, предприятий в целях решения приоритетных задач освоения Арктики, в свою очередь, даст новые возможности для создания и развития малых и средних предприятий (аутсорсинг, субконтрактинг и прочие формы взаимодействия). </w:t>
      </w:r>
      <w:r w:rsidRPr="007F2209">
        <w:t>Создание на базе Мурманского арктического государственного университета Арктического кадрового ресурсного центра и развитие научно-исследовательской деятельности позволит активизировать инновационную деятельность студентов и организовать внедрение передовых студенческих разработок через малый и средний бизнес.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условиях импортозамещения активно развивается направление внутреннего и въездного туризма, оказывающее значительное влияние на многие сферы предпринимательской деятельности.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Мурманск, относящийся к уникальной Арктической зоне, имеет высокий туристский потенциал. В городе, наряду с регионом в целом, наблюдается устойчивое увеличение потока туристов и расширение географии прибывающих туристов. Так, в 2016 году по сравнению с 2015 годом, количество размещенных в коллективных средствах размещения в городе Мурманске согласно данным Мурманскстата увеличилось до 126 390 человек (129,3% к 2015 году).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Положительное влияние на повышение туристической привлекательности города продолжает оказывать создание развитой туристской инфраструктуры, развитие круизного туризма. Так, в летнем периоде 2017 года состоялось 3 захода круизных лайнеров к отремонтированному причалу </w:t>
      </w:r>
      <w:r w:rsidRPr="007F2209">
        <w:rPr>
          <w:rFonts w:ascii="Open Sans" w:hAnsi="Open Sans"/>
          <w:color w:val="000000"/>
        </w:rPr>
        <w:t xml:space="preserve">в пассажирском районе Мурманского порта. Общее количество иностранных круизных туристов на данных судах составило около 1,5 тыс. </w:t>
      </w:r>
      <w:r w:rsidRPr="007F2209">
        <w:rPr>
          <w:szCs w:val="28"/>
        </w:rPr>
        <w:t>человек. Кроме того, летом 2017 года из порта Мурманск на Северный полюс состоялось пять рейсов на атомном ледоколе «50 лет Победы».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Планируется, что в 2018 году количество круизных лайнеров, заходящих в Мурманск, возрастет. Это связано, в том числе, и с развитием портовой инфраструктуры, и введением облегченного визового режима для иностранцев.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Развитие туристской отрасли также приведет к улучшению ситуации в сфере малого предпринимательства в городе Мурманске в целом.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Стабилизации и улучшению ситуации в секторе малого и среднего предпринимательства также способствует существующая поддержка со стороны органов власти. </w:t>
      </w:r>
      <w:proofErr w:type="gramStart"/>
      <w:r w:rsidRPr="007F2209">
        <w:rPr>
          <w:szCs w:val="28"/>
        </w:rPr>
        <w:t xml:space="preserve">В рамках реализуемой на территории города </w:t>
      </w:r>
      <w:r w:rsidRPr="007F2209">
        <w:rPr>
          <w:szCs w:val="28"/>
        </w:rPr>
        <w:lastRenderedPageBreak/>
        <w:t xml:space="preserve">Мурманска подпрограммы «Развитие и поддержка малого и среднего предпринимательства в городе Мурманске» муниципальной программы </w:t>
      </w:r>
      <w:r w:rsidR="002E50A6">
        <w:rPr>
          <w:szCs w:val="28"/>
        </w:rPr>
        <w:t xml:space="preserve">города Мурманска </w:t>
      </w:r>
      <w:r w:rsidRPr="007F2209">
        <w:rPr>
          <w:szCs w:val="28"/>
        </w:rPr>
        <w:t>«Развитие конкурентоспособной экономики» на 2014</w:t>
      </w:r>
      <w:r w:rsidR="00C47974">
        <w:rPr>
          <w:szCs w:val="28"/>
        </w:rPr>
        <w:t>-</w:t>
      </w:r>
      <w:r w:rsidRPr="007F2209">
        <w:rPr>
          <w:szCs w:val="28"/>
        </w:rPr>
        <w:t>2019 годы в 2016 году оказана информационная, консультационная, имущественная и финансовая поддержка 1110 субъектам малого и среднего предпринимательства (в 1,8 раза выше уровня 2015 года).</w:t>
      </w:r>
      <w:proofErr w:type="gramEnd"/>
      <w:r w:rsidRPr="007F2209">
        <w:rPr>
          <w:szCs w:val="28"/>
        </w:rPr>
        <w:t xml:space="preserve"> Около 800 человек (80% к 2015 году) посетили 37 обучающих мероприятий (46% к 2015 году), 5,5 тыс. посетителей (81,4% к 2015 году) воспользовались Порталом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перечне муниципального имущества города Мурманска, предназначенном для оказания имущественной поддержки субъектам МСП и организациям, образующим инфраструктуру, предусмотрено 150 помещений (63,6% к 2015 году), заключено 111 новых договоров и соглашений о продлении на новый срок договоров аренды с субъектами МСП.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Наиболее востребованной и эффективной является финансовая поддержка субъектов МСП города Мурманска в виде субсидий и грантов, предоставляемых в рамках программных мероприятий. Основным видом финансовой поддержки для действующих предпринимателей является предоставление субсидий субъектам малого и среднего предпринимательства по различным направлениям деятельности на конкурсной основе. Для начинающих предпринимателей предусмотрена финансовая поддержка в виде грантов на открытие бизнеса в части финансового обеспечения затрат. В 2016 году 12 субъектам малого и среднего предпринимательства города Мурманска (70,6% к 2015 году) предоставлена финансовая поддержка на общую сумму около 2 млн. рублей за счет местного бюджета, 1,02 млн. руб. за счет областного бюджета и 406,8 тыс. руб. за счет федерального бюджета.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Наряду с этим кредитные организации активизируют и расширяют свою деятельность в части информационной поддержки субъектов МСП, проводя семинары, тренинги, реализуя образовательные программы в целях снижения финансовых рисков и повышения доступности кредитных банковских продуктов. </w:t>
      </w:r>
      <w:r w:rsidRPr="007F2209">
        <w:rPr>
          <w:rFonts w:ascii="Times New Roman" w:hAnsi="Times New Roman"/>
          <w:sz w:val="28"/>
          <w:szCs w:val="28"/>
          <w:lang w:val="en-US"/>
        </w:rPr>
        <w:t>Google</w:t>
      </w:r>
      <w:r w:rsidRPr="007F2209">
        <w:rPr>
          <w:rFonts w:ascii="Times New Roman" w:hAnsi="Times New Roman"/>
          <w:sz w:val="28"/>
          <w:szCs w:val="28"/>
        </w:rPr>
        <w:t xml:space="preserve"> и ПАО Сбербанк при информационной поддержке со стороны органов власти реализуют проект «Бизнес-класс» - это бесплатная программа развития бизнеса для начинающих предпринимателей и собственников бизнеса, направленная, в том числе, на увеличение количества предпринимателей, повышение их финансовой грамотности, увеличение срока жизни бизнеса.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Таким образом, сохранение и развитие поддержки бизнеса со стороны органов власти, а также организаций инфраструктуры поддержки, банковской сферы также будет способствовать укреплению позиций малого и среднего предпринимательства в экономике города. В результате реализации программных мероприятий до 2019 года планируется оказать поддержку 2240 субъектам МСП, увеличить число субъектов МСП в городе Мурманске до 18187 или до 632,7 ед. в расчете на 10 тыс. человек населения.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lastRenderedPageBreak/>
        <w:t xml:space="preserve">Так, в прогнозируемом периоде, за счет вышеизложенных мероприятий и с учетом динамики показателей Мурманскстата, данных Федеральной налоговой службы РФ за первое полугодие 2017 года в прогнозном периоде предполагается стабилизация ситуации за счет увеличения по сравнению с отчетным периодом 2016 года и оценочным 2017 года количества малых (включая микро-) предприятий на 3% в </w:t>
      </w:r>
      <w:r>
        <w:rPr>
          <w:rFonts w:ascii="Times New Roman" w:hAnsi="Times New Roman"/>
          <w:sz w:val="28"/>
          <w:szCs w:val="28"/>
        </w:rPr>
        <w:t>базовом</w:t>
      </w:r>
      <w:r w:rsidRPr="007F2209">
        <w:rPr>
          <w:rFonts w:ascii="Times New Roman" w:hAnsi="Times New Roman"/>
          <w:sz w:val="28"/>
          <w:szCs w:val="28"/>
        </w:rPr>
        <w:t xml:space="preserve"> варианте прогноза и на 5% - в </w:t>
      </w:r>
      <w:r>
        <w:rPr>
          <w:rFonts w:ascii="Times New Roman" w:hAnsi="Times New Roman"/>
          <w:sz w:val="28"/>
          <w:szCs w:val="28"/>
        </w:rPr>
        <w:t>целевом</w:t>
      </w:r>
      <w:r w:rsidRPr="007F2209">
        <w:rPr>
          <w:rFonts w:ascii="Times New Roman" w:hAnsi="Times New Roman"/>
          <w:sz w:val="28"/>
          <w:szCs w:val="28"/>
        </w:rPr>
        <w:t xml:space="preserve"> варианте соответственно.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С учетом сложившейся на рынке труда тенденции, при которой работники организаций в целях снижения затрат работодателя регистрируются  в качестве индивидуальных предпринимателей, ожидается умеренный рост количества индивидуальных предпринимателей в среднем при реалистичном прогнозе - на 3%, </w:t>
      </w:r>
      <w:r>
        <w:rPr>
          <w:rFonts w:ascii="Times New Roman" w:hAnsi="Times New Roman"/>
          <w:sz w:val="28"/>
          <w:szCs w:val="28"/>
        </w:rPr>
        <w:t>в целевом варианте прогноза</w:t>
      </w:r>
      <w:r w:rsidRPr="007F2209">
        <w:rPr>
          <w:rFonts w:ascii="Times New Roman" w:hAnsi="Times New Roman"/>
          <w:sz w:val="28"/>
          <w:szCs w:val="28"/>
        </w:rPr>
        <w:t xml:space="preserve"> – на 5%.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Для средних предприятий предположительна тенденция сохранения их количества с возможным увеличением в 2020 году до 34 единиц </w:t>
      </w:r>
      <w:r>
        <w:rPr>
          <w:rFonts w:ascii="Times New Roman" w:hAnsi="Times New Roman"/>
          <w:sz w:val="28"/>
          <w:szCs w:val="28"/>
        </w:rPr>
        <w:t>в базовомварианте прогноза</w:t>
      </w:r>
      <w:r w:rsidRPr="007F2209">
        <w:rPr>
          <w:rFonts w:ascii="Times New Roman" w:hAnsi="Times New Roman"/>
          <w:sz w:val="28"/>
          <w:szCs w:val="28"/>
        </w:rPr>
        <w:t xml:space="preserve"> и до 35 единиц </w:t>
      </w:r>
      <w:r>
        <w:rPr>
          <w:rFonts w:ascii="Times New Roman" w:hAnsi="Times New Roman"/>
          <w:sz w:val="28"/>
          <w:szCs w:val="28"/>
        </w:rPr>
        <w:t>–в целевом варианте</w:t>
      </w:r>
      <w:r w:rsidRPr="007F2209">
        <w:rPr>
          <w:rFonts w:ascii="Times New Roman" w:hAnsi="Times New Roman"/>
          <w:sz w:val="28"/>
          <w:szCs w:val="28"/>
        </w:rPr>
        <w:t>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Одновременно с ростом числа вновь создаваемых субъектов малого и среднего предпринимательства ожидается увеличение среднесписочной численности работников всех форм собственности.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Таким образом, прогнозируемый рост всех показателей возможен вследствие устойчивой направленности политики государства на развитие сектора малого и среднего бизнеса: принятие нормативно-правовых актов федеральных, региональных и муниципальных уровней, совершенствование политики налогообложения, обеспечение доступности кредитных продуктов, увеличение их количества, развитие лизинга и долгосрочного финансирования, расширение доступа субъектов МСП к закупкам товаров, работ, услуг для государственных и муниципальных нужд.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Прироста планируется добиться также за счет системной информационно-консультационной, финансовой и имущественной поддержки субъектов малого и среднего бизнеса со стороны инфраструктуры поддержки, банковского сектора и органов власти на различных уровнях. 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Реализации запланированных мероприятий в полной мере будут способствовать такие факторы, как стабилизация внутренней и внешней экономической ситуации, упрочение позиций России на мировом уровне, развитие внешних экономических связей.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Объем инвестиций в 2016 году с завершением проектов, приуроченных к 100-летию города Мурманска, начал снижаться и составил в сопоставимых ценах к предыдущему году с учетом индекса-дефлятора инвестиций в основной капитал по Мурманской области </w:t>
      </w:r>
      <w:r>
        <w:rPr>
          <w:szCs w:val="28"/>
        </w:rPr>
        <w:t>71,3% или 42,4 млрд. рублей (78,8</w:t>
      </w:r>
      <w:r w:rsidRPr="00344D46">
        <w:rPr>
          <w:szCs w:val="28"/>
        </w:rPr>
        <w:t>% в действующих ценах</w:t>
      </w:r>
      <w:r w:rsidRPr="007F2209">
        <w:rPr>
          <w:szCs w:val="28"/>
        </w:rPr>
        <w:t xml:space="preserve"> к 2015 году). Число организаций осуществивших инвестиции в 2016 году сократилось до 715 единиц (97,9% к 2015 году), в т.ч. в сфере рыболовс</w:t>
      </w:r>
      <w:r w:rsidR="00A173F2">
        <w:rPr>
          <w:szCs w:val="28"/>
        </w:rPr>
        <w:t>тва, рыбоводства - до 23 единиц</w:t>
      </w:r>
      <w:r w:rsidRPr="007F2209">
        <w:rPr>
          <w:szCs w:val="28"/>
        </w:rPr>
        <w:t xml:space="preserve"> (95,8%), обрабатывающих производств - до 26 единиц (81,3%), производства и распределения </w:t>
      </w:r>
      <w:r w:rsidRPr="007F2209">
        <w:rPr>
          <w:szCs w:val="28"/>
        </w:rPr>
        <w:lastRenderedPageBreak/>
        <w:t xml:space="preserve">электроэнергии, газа, пара и горячей воды - до 11 единиц (78,6%), торговли - до 77 единиц (96,3%), операций с недвижимым имуществом, аренды и предоставления услуг до 67 единиц (93,1%), возросло в транспорте и связи - до 68 единиц (101,5%), предоставления прочих коммунальных и социальных услуг до 76 единиц (108,6%).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Объем инвестиций в сопоставимых ценах сократился в 4 раза в сфере операций с недвижимым имуществом, аренды и предоставления услуг до 1,2 млрд. рублей (24,1%) из-за сокращения собственных средств (в 1,7 раза) и привлеченных средств других организаций (в 130 раз), более чем в 2 раза в сфере госуправления до 11,1 млрд. рублей (45,66%) в связи со снижением финансирования из федерального бюджета, в торговле – до 973 млн. рублей (46,89%) в отсутствие привлеченных средств и сокращения собственных средств, в сфере предоставления прочих коммунальных и социальных услуг до 5 млрд. рублей (49,2%) из-за сокращения финансирования из-за рубежа в 2 раза.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Помимо того снижение инвестиций в сопоставимых ценах наряду с финансовой сферой (53,6%) и сферой рыболовства, рыбоводства (90,1%), также отмечено в строительстве до 93,7 млн. рублей (55,9%) из-за снижения финансирования из федерального бюджета в 9 раз, обрабатывающей промышленности до 157,8 млн. рублей (64,6%) из-за прекращения финансирования из-за рубежа, сфере здравоохранения и предоставления социальных услуг до 482,4 млн. рублей (76,1%) из-за снижения в 1,4 раза бюджетного финансирования из регионального (в 2 раза) и муниципального бюджета (в 4 раза) с учетом </w:t>
      </w:r>
      <w:r w:rsidR="00A173F2">
        <w:t>прекращения действия З</w:t>
      </w:r>
      <w:r w:rsidRPr="007F2209">
        <w:t>акона Мурманской области от 01.12.2011 № 1430-01-ЗМО «О наделении органов местного самоуправления муниципального образования город Мурманск отдельными государственными полномочиями»</w:t>
      </w:r>
      <w:r w:rsidRPr="007F2209">
        <w:rPr>
          <w:szCs w:val="28"/>
        </w:rPr>
        <w:t>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Рост объема инвестиций в сопоставимых ценах к предыдущему году с учетом индекса-дефлятора инвестиций в основной капитал по Мурманской области отмечен в сфере производства и распределения электроэнергии, газа и воды до 1,2 млрд. рублей (191,7%) за счет увеличения собственных средств предприятий в 2,3 раза, транспорта и связи до 19,5 млрд. рублей (147,7%) за счет увеличения собственных средств в 1,6 раза до 7 млрд. рублей, бюджетного финансирования в 1,5 раза до 10,7 млрд. рублей, в т.ч. из средств федерального бюджета в 1,5 раза, регионального - в 6,9 раз, прочих источников в 4 раза до 896,6 млн. рублей, а также привлечения кредитов в сумме 575,7 млн. рублей.</w:t>
      </w:r>
    </w:p>
    <w:p w:rsidR="00843B99" w:rsidRPr="007F2209" w:rsidRDefault="00843B99" w:rsidP="004A3D3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В рамках реализации Стратегического плана </w:t>
      </w:r>
      <w:r w:rsidR="008E7A0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Pr="007F2209">
        <w:rPr>
          <w:rFonts w:ascii="Times New Roman" w:hAnsi="Times New Roman"/>
          <w:sz w:val="28"/>
          <w:szCs w:val="28"/>
        </w:rPr>
        <w:t>города Мурманска до 2020 года в 2016 году была завершена реализация стратегического проекта «Арктическая гавань» (Морской фасад), продолжены проекты: «Комплексное развитие Мурманского транспортного узла», «Техническое перевооружение и реконструкция электросетевых объектов ОАО «МОЭСК» на 2012-2019 годы», «Развитие материально-технической базы объектов электроснабжения филиала ОАО «МРСК Северо-Запада» «Колэнерго», «Строительство многофункционального комплекса по проспекту Кольский в городе Мурманске», «Реконструкция городского спорткомплекса «Авангард».</w:t>
      </w:r>
    </w:p>
    <w:p w:rsidR="00843B99" w:rsidRPr="007F2209" w:rsidRDefault="00843B99" w:rsidP="004A3D34">
      <w:pPr>
        <w:ind w:firstLine="709"/>
        <w:jc w:val="both"/>
      </w:pPr>
      <w:r w:rsidRPr="007F2209">
        <w:lastRenderedPageBreak/>
        <w:t xml:space="preserve">Крупнейшие инвестиционные проекты в городе реализуют ведущие транспортные предприятия города в целях развития портовой инфраструктуры: строительство головного универсального атомного ледокола и 2 серийных универсальных атомных ледоколов, портового ледокола «Обь» и бортовых буксиров в рамках проекта «Портофлот»ФГУП «Атомфлот», реконструкция объектов портовой инфраструктуры и модернизация технологического оборудования ПАО «Мурманский морской торговый порт», включая установку пыле-ветрозащитных экранов в целях минимизации поступления пыли каменного угля в атмосферу города, модернизация причалов Мурманского транспортного филиала ПАО «ГМК «Норильский никель», развитие терминалов 3-го грузового района Мурманского порта ООО «Мурманский балкерный терминал», комплекс мероприятий по техническому переоснащению и модернизации объектов инфраструктуры Мурманского морского рыбного порта, включая приобретение портового крана, электропогрузчиков, модернизацию холодильного устройства, обновление подвижного состава </w:t>
      </w:r>
      <w:r>
        <w:t>транспортного</w:t>
      </w:r>
      <w:r w:rsidRPr="007F2209">
        <w:t xml:space="preserve"> парка АО «Электротранспорт», строительство буксира для нужд ЗАО «МАСКО». </w:t>
      </w:r>
    </w:p>
    <w:p w:rsidR="00843B99" w:rsidRPr="007F2209" w:rsidRDefault="00843B99" w:rsidP="004A3D34">
      <w:pPr>
        <w:ind w:firstLine="709"/>
        <w:jc w:val="both"/>
      </w:pPr>
      <w:r w:rsidRPr="007F2209">
        <w:t>В настоящее время в городе достаточно много социальных и других объектов, требующих капитальных вложений в реконструкцию (Драматический театр Северного флота, кинотеатры «Родина» и «Атлантика», школы искусств, ДК «Маяк» и «Первомайский», спорткомплекс «Снежинка»</w:t>
      </w:r>
      <w:r w:rsidR="00AF0AF5">
        <w:t xml:space="preserve"> (КП-2)</w:t>
      </w:r>
      <w:r w:rsidRPr="007F2209">
        <w:t xml:space="preserve">, Ледовый дворец спорта и др.), которые могут способствовать в перспективе развитию государственно-частного и муниципально-частного партнерства в Мурманске. </w:t>
      </w:r>
    </w:p>
    <w:p w:rsidR="00843B99" w:rsidRPr="007F2209" w:rsidRDefault="00843B99" w:rsidP="004A3D34">
      <w:pPr>
        <w:ind w:firstLine="709"/>
        <w:jc w:val="both"/>
      </w:pPr>
      <w:r w:rsidRPr="007F2209">
        <w:t>Требуются инвестиции для реконструкции автомобильного рынка на ул. Подгорн</w:t>
      </w:r>
      <w:r w:rsidR="00A173F2">
        <w:t>ой</w:t>
      </w:r>
      <w:r w:rsidRPr="007F2209">
        <w:t xml:space="preserve">, создания пристройки к правой части здания Первомайского рынка по ул. </w:t>
      </w:r>
      <w:r w:rsidR="006C4BD1">
        <w:t xml:space="preserve">Генерала </w:t>
      </w:r>
      <w:r w:rsidRPr="007F2209">
        <w:t xml:space="preserve">Щербакова, 11, а также реализации проектов, запланированных в рамках муниципальных программ по реконструкции объектов муниципальных спортивных школ г. Мурманска, зданий муниципальных дошкольных образовательных учреждений, в т.ч. объекта незавершенного строительства под детский сад по адресу ул. </w:t>
      </w:r>
      <w:r w:rsidR="00A173F2">
        <w:t xml:space="preserve">Капитана </w:t>
      </w:r>
      <w:r w:rsidRPr="007F2209">
        <w:t xml:space="preserve">Орликовой в районе дома 44, модернизации муниципальных образовательных учреждений и школьных спортивных площадок, строительству плоскостного спортивного сооружения – стадиона со спортивным ядром, в которое входят основное игровое футбольное поле, окаймленное беговой и конькобежной дорожкой, и трибунами, по ул. </w:t>
      </w:r>
      <w:r w:rsidR="00A173F2" w:rsidRPr="00A173F2">
        <w:t>Адмирала флота Лобова</w:t>
      </w:r>
      <w:r w:rsidRPr="007F2209">
        <w:t>, 51 и блочно-модульной котельной по ул</w:t>
      </w:r>
      <w:r w:rsidR="00A173F2">
        <w:t>. Фестивальной</w:t>
      </w:r>
      <w:r w:rsidRPr="007F2209">
        <w:t xml:space="preserve"> в городе Мурманске.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Для повышения инвестиционной привлекательности города Мурманска и привлечения инвесторов администрацией города Мурманска в рамках подпрограммы «Повышение инвестиционной привлекательности города Мурманска» муниципальной программы </w:t>
      </w:r>
      <w:r w:rsidR="00A173F2">
        <w:t xml:space="preserve">города Мурманска </w:t>
      </w:r>
      <w:r w:rsidRPr="007F2209">
        <w:t>«Развитие конкуре</w:t>
      </w:r>
      <w:r w:rsidR="005A0F0F">
        <w:t>нтоспособной экономики» на 2014-</w:t>
      </w:r>
      <w:r w:rsidRPr="007F2209">
        <w:t xml:space="preserve">2019годы реализуются мероприятия по выполнению положений 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образования, продвижению бренда города </w:t>
      </w:r>
      <w:r w:rsidRPr="007F2209">
        <w:lastRenderedPageBreak/>
        <w:t>Мурманска, представлению инвестиционных возможностей на деловых мероприятиях в России и за рубежом, развитию международных связей, преимущественно с Белоруссией, Норвегией, Финляндией, Турцией, Китаем, США, в том числе в рамках побратимских отношений.</w:t>
      </w:r>
    </w:p>
    <w:p w:rsidR="00843B99" w:rsidRPr="007F2209" w:rsidRDefault="00843B99" w:rsidP="004A3D34">
      <w:pPr>
        <w:ind w:firstLine="709"/>
        <w:jc w:val="both"/>
      </w:pPr>
      <w:proofErr w:type="gramStart"/>
      <w:r w:rsidRPr="007F2209">
        <w:t>Помимо того, планируется муниципальная поддержка стратегических и приоритетных инвестиционных проектов с размером инвестиций от 1 млрд. рублей и от 100 млн. рублей соответственно в виде льгот по налогу на землю и арендной плате за землю и пользование муниципальным имуществом, развитие муниципально-частного партнерства в рамках реализации на условиях концессионного соглашения проекта по реконструкции спорткомплекса «Снежинка» (КП-2).В прогнозном периоде можно ожидать роста частных инвестиций, финансирования из средств регионального бюджета и банковских кредитных ресурсов в результате привлечения частных инвесторов в проекты модернизации коммунальной инфраструктуры в связи со снижением банковских ставок по кредитам до 5% при софинансировании со стороны региона в соответствии с постановлением П</w:t>
      </w:r>
      <w:r w:rsidR="009D3DBC">
        <w:t xml:space="preserve">равительства РФ от 25.08.2017             № </w:t>
      </w:r>
      <w:r w:rsidRPr="007F2209">
        <w:t>997 «</w:t>
      </w:r>
      <w:r w:rsidR="00AF0AF5" w:rsidRPr="00AF0AF5">
        <w:t>О реализации мер финансовой поддержки за счет средств государственной</w:t>
      </w:r>
      <w:proofErr w:type="gramEnd"/>
      <w:r w:rsidR="00AF0AF5" w:rsidRPr="00AF0AF5">
        <w:t xml:space="preserve"> корпорации - Фонда содействия реформированию жилищно-коммунального хозяйства и внесении изменений в некоторые акты Правительства Российской Федерации</w:t>
      </w:r>
      <w:r w:rsidRPr="007F2209">
        <w:t>».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В прогнозном периоде, после значительного динамичного роста инвестиций из федерального бюджета в 2014-2015 годах и завершения реализации масштабных проектов к столетию города Мурманска ожидается снижение объема бюджетных инвестиций, в т.ч. из средств муниципального бюджета в связи с завершением реализации мероприятий к столетию, программы переселения жителей аварийного фонда. </w:t>
      </w:r>
    </w:p>
    <w:p w:rsidR="00843B99" w:rsidRPr="007F2209" w:rsidRDefault="00843B99" w:rsidP="004A3D34">
      <w:pPr>
        <w:ind w:firstLine="709"/>
        <w:jc w:val="both"/>
      </w:pPr>
      <w:r w:rsidRPr="007F2209">
        <w:t>На этом фоне, с учетом создания Кольской опорной зоны, завершения реализации проекта по созданию железнодорожной инфраструктуры для Мурманского транспортного узла, включая строительство к порту железнодорожной ветки от станции Выходной до станции Лавна Октябрьской железной дороги длиной 46 км и железнодорожного мостового перехода через Кольский залив прогнозируется дальнейший рост частных инвестиций за счет собственных средств предприятий, а также привлечённых средств, в т.ч. кредитных ресурсов с учетом снижения ставки рефинансирования.</w:t>
      </w:r>
    </w:p>
    <w:p w:rsidR="00843B99" w:rsidRPr="007F2209" w:rsidRDefault="00843B99" w:rsidP="004A3D34">
      <w:pPr>
        <w:ind w:firstLine="709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F2209">
        <w:t>В целом с 2018 года динамика роста инвестиций в прогнозном периоде определяется реализацией проекта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судов, осуществляющих плавание в акватории Северного морского пути, в жил</w:t>
      </w:r>
      <w:r w:rsidR="00A173F2">
        <w:t xml:space="preserve">ом </w:t>
      </w:r>
      <w:r w:rsidRPr="007F2209">
        <w:t>районе Росляково города Мурманска на базе АО «82 судоремонтный завод» общей стоимостью более 124,4 млрд. рублей</w:t>
      </w:r>
      <w:r w:rsidRPr="007F2209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В 2016 году сохранилась тенденция снижения объема работ строительного подряда, который составил 56,7% в сопоставимых ценах к предыдущему году или менее 2,5 млрд. рублей. Из 60 введённых объектов 13 – </w:t>
      </w:r>
      <w:r w:rsidRPr="007F2209">
        <w:lastRenderedPageBreak/>
        <w:t>коммерческие общей площадью 9519 тыс. кв.м, 13 – жилые дома площадью 18930 тыс. кв.м, в т.ч. индивидуальные жилые дома площадью 516 тыс. кв.м, 3 – административные здания площадью 1303 тыс. кв.м. За счет нового строительства введено 7 капитальных гаражей</w:t>
      </w:r>
      <w:r>
        <w:t>, 134 машиноместа, 0,1 тыс. кв.</w:t>
      </w:r>
      <w:r w:rsidRPr="007F2209">
        <w:t xml:space="preserve">м </w:t>
      </w:r>
      <w:r>
        <w:t>торговых площадей, 1,6 тыс. кв.</w:t>
      </w:r>
      <w:r w:rsidRPr="007F2209">
        <w:t xml:space="preserve">м складских площадей. За счет реконструкции введено 60 мест в детских садах. Построены частный детский сад по ул.Калинина, корпуса Нахимовского училища, жилые дома по ул. Достоевского, </w:t>
      </w:r>
      <w:r w:rsidR="00307AAE">
        <w:t xml:space="preserve">ул. </w:t>
      </w:r>
      <w:r w:rsidR="000A7F04">
        <w:t xml:space="preserve">Алексея </w:t>
      </w:r>
      <w:r w:rsidRPr="007F2209">
        <w:t xml:space="preserve">Генералова, </w:t>
      </w:r>
      <w:r w:rsidR="00307AAE">
        <w:t xml:space="preserve">ул. </w:t>
      </w:r>
      <w:r w:rsidRPr="007F2209">
        <w:t>Фрунзе, завершена реконструкция здания Мурманской областной филармонии, морского и железнодорожного вокзалов, спорткомплекса Долина уюта и другие. Перспективы развития строительного комплекса в городе Мурманске связаны с реконструкцией социальных объектов учреждений образования, культуры и спорта, объектов внешнего благоустройства города Мурманска</w:t>
      </w:r>
      <w:r w:rsidRPr="007F2209">
        <w:rPr>
          <w:rStyle w:val="af0"/>
          <w:iCs/>
          <w:sz w:val="22"/>
          <w:szCs w:val="22"/>
        </w:rPr>
        <w:footnoteReference w:id="9"/>
      </w:r>
      <w:r w:rsidRPr="007F2209">
        <w:t>, реализацией проектов по развитию транспортной инфраструктуры, в частности, портовой и дорожной.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</w:pPr>
      <w:r w:rsidRPr="007F2209">
        <w:t>Рост автомобилизации (в 2016 году в среднем на 10 человек населения приходится 3,5 легковых автомобиля индивидуальных владельцев) требует расширения деятельности по реконструкции автомобильных дорог, износ жилого и нежилого фонда требующего ремонта</w:t>
      </w:r>
      <w:r w:rsidR="00307AAE">
        <w:t>,</w:t>
      </w:r>
      <w:r w:rsidRPr="007F2209">
        <w:t xml:space="preserve"> также будет способствовать сохранению работ строительного подряда в городе Мурманске. </w:t>
      </w:r>
      <w:r w:rsidRPr="007F2209">
        <w:rPr>
          <w:szCs w:val="28"/>
        </w:rPr>
        <w:t xml:space="preserve">Кроме того, в рамках программы «Формирование современной городской среды на территории муниципального образования город Мурманск» на 2017 год, направленной на </w:t>
      </w:r>
      <w:r w:rsidRPr="007F2209">
        <w:rPr>
          <w:rFonts w:eastAsia="Calibri"/>
          <w:szCs w:val="28"/>
          <w:lang w:eastAsia="en-US"/>
        </w:rPr>
        <w:t>повышение качества жизни населения,</w:t>
      </w:r>
      <w:r w:rsidRPr="007F2209">
        <w:rPr>
          <w:szCs w:val="28"/>
        </w:rPr>
        <w:t xml:space="preserve"> реализуются мероприятия по повышению уровня благоустройства выбранных с привлечением жителей </w:t>
      </w:r>
      <w:r w:rsidRPr="007F2209">
        <w:rPr>
          <w:rFonts w:eastAsia="Calibri"/>
          <w:szCs w:val="28"/>
          <w:lang w:eastAsia="en-US"/>
        </w:rPr>
        <w:t>дворовых территорий и территорий общего пользования</w:t>
      </w:r>
      <w:r w:rsidRPr="007F2209">
        <w:rPr>
          <w:szCs w:val="28"/>
        </w:rPr>
        <w:t xml:space="preserve"> города Мурманска</w:t>
      </w:r>
      <w:r w:rsidRPr="007F2209">
        <w:rPr>
          <w:rFonts w:eastAsia="Calibri"/>
          <w:szCs w:val="28"/>
          <w:lang w:eastAsia="en-US"/>
        </w:rPr>
        <w:t xml:space="preserve">. В 2017 году </w:t>
      </w:r>
      <w:r w:rsidRPr="007F2209">
        <w:rPr>
          <w:szCs w:val="28"/>
        </w:rPr>
        <w:t>программой предусмотрен капитальный ремонт 6 дворовых территорий на площади 10 069 кв.м и 1 подпорной стенки, благоустройство территории общего пользования на площади 11,7 тыс. кв.м, включая благоустройст</w:t>
      </w:r>
      <w:r w:rsidR="00307AAE">
        <w:rPr>
          <w:szCs w:val="28"/>
        </w:rPr>
        <w:t>во зоны отдыха озера Семёновского</w:t>
      </w:r>
      <w:r w:rsidRPr="007F2209">
        <w:rPr>
          <w:szCs w:val="28"/>
        </w:rPr>
        <w:t xml:space="preserve"> с устройством велосипедно-пешеходных дорожек и капитальный ремонт дворовой территории многоквартирных домов №№ 20, 21, 22 по ул. Д</w:t>
      </w:r>
      <w:r w:rsidR="00A173F2">
        <w:rPr>
          <w:szCs w:val="28"/>
        </w:rPr>
        <w:t>остоевского, №№ 1, 3, 10 по ул. </w:t>
      </w:r>
      <w:r w:rsidRPr="007F2209">
        <w:rPr>
          <w:szCs w:val="28"/>
        </w:rPr>
        <w:t xml:space="preserve">Виктора Миронова, №№ 25/2, 25 по ул. Юрия Гагарина и №№ 12, 14, 20 по ул. Анатолия Бредова. В дальнейшем работа будет продолжена в рамках одноименной программы на 2018-2022 годы. </w:t>
      </w:r>
      <w:r w:rsidRPr="007F2209">
        <w:t>Таким образом, в прогнозном периоде ожидается сохранение роста объема строительного подряда в базовом варианте прогноза в 2018 году в пределах 1% в 2019-2020 годах в пределах 1,5%, в целевом варианте прогноза более 5% в год.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lastRenderedPageBreak/>
        <w:t>Сальдированный финансовый результат (прибыль, убыток) деятельности крупных и средних предприятий</w:t>
      </w:r>
    </w:p>
    <w:p w:rsidR="00843B99" w:rsidRPr="007F2209" w:rsidRDefault="00843B99" w:rsidP="004A3D34">
      <w:pPr>
        <w:ind w:firstLine="709"/>
        <w:jc w:val="both"/>
      </w:pPr>
      <w:r w:rsidRPr="007F2209">
        <w:t>В январе-ноябре 2016 года сальдированный финансовый результат (прибыль, убыток) деятельности крупных и с</w:t>
      </w:r>
      <w:r w:rsidR="00307AAE">
        <w:t xml:space="preserve">редних предприятий возрос               в 1,4 </w:t>
      </w:r>
      <w:r w:rsidRPr="007F2209">
        <w:t>раза, превысив 33,7 млрд. рублей благодаря достигнутым высоким показателям предприятиями рыболовства, рыбоводства (рост в 1,3 раза до 20,7 млрд. рублей) и транспорта и связи (в 1,6 раза до 10,4 млрд. рублей), оптовой и розничной торговли (в 1,2 раз до 559,5 млн. рублей), гостинично-ресторанного бизнеса (в 2,5 раза до 201,9 млн. рублей). Наряду с этим положительный финансовый результат достигнут в строительстве (9,6 млн. рублей), сохранился в обрабатывающей промышленности (201,9 млн. рублей) благодаря превышению прибыли над убытком в 3 раза, предоставлении прочих коммунальных, социальных и персональных услуг (21,6 млн. рублей), увеличился в сфере здравоохранения (7,2 млн. рублей) в отсутствие убыточных предприятий и образования (5 млн. рублей). Отрицательный финансовый результат сохранился в сфере операций с недвижимым имуществом, аренды и предоставления услуг (0,5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По итогам 2016 года отмечен рост сальдированного финансового результата в 1,5 раза к предыдущему году до 33 млрд. рублей. в т.ч. предприятий рыболовства, рыбоводства в 1,3 раза до 20 млрд. рублей, транспорта и связи в 1,7 раза до 8 млрд. рублей, торговли в 1,9 раза до 306,5 млн. рублей, предоставления прочих коммунальных, социальных и персональных услуг в 12,8 раз до 9,1 млрд. рублей за счет достигнутых положительных финансовых результатов деятельности предприятий туризма (9,3 млрд. рублей) и организации похорон и предоставление связанных с ними услуг (3,5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Благодаря росту прибыли предприятий в сфере производства транспортных средств и оборудования в 1,4 раза положительный финансовый результат достигнут в традиционно убыточных сферах строительства (6,4 млн. рублей), обрабатывающей промышленности (4,7 млн. рублей), в т.ч. в производстве готовых металлических изделий (27,9 млн. руб.), прочих материалов и веществ, не включенных в другие группировки (553 тыс. рублей), при этом в текстильной и швейной промышленности – значение показателя возросло в 33,8 раз до 6,9 млн. рублей. Также положительный финансовый результат достигнут в сфере финансовой деятельности (1,4 млрд. рублей) и образования (67 тыс.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Убыточная деятельность сохранилась на предприятиях пищевой промышленности, где отрицательный сальдированный финансовый результат составил 79,2 млн. рублей, в т.ч. в мясной - 43,9 млн. рублей, рыбообрабатывающей - 5,4 млн. рублей, хлебопекарной - 9,5 млн. рублей, производстве готовых кормов для животных - 140,2 млн. рублей, целлюлозно-бумажном производстве и издательско-полиграфической деятельности (2,7 млн. рублей), обработке древесины и производстве изделий из дерева (1,8 млн. рублей), предоставлении прочих видов услуг (4,8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lastRenderedPageBreak/>
        <w:t>Ухудшение результатов финансовой деятельности и значительное снижение сальдированного финансового результата по итогам года сложились в производстве прочих неметаллических минеральных продуктов в 6,6 раз до 1,4 млрд. рублей, электрооборудования, электронного и оптического оборудования в 2,5 раза до 4,9 млрд. рублей, гостинично-ресторанном бизнесе в 4,5 раза, здравоохранении и предоставлении социальных услуг в 2,6 раза до 2,4 млн. рублей.</w:t>
      </w:r>
    </w:p>
    <w:p w:rsidR="00843B99" w:rsidRPr="007F2209" w:rsidRDefault="00843B99" w:rsidP="004A3D34">
      <w:pPr>
        <w:ind w:firstLine="709"/>
        <w:jc w:val="both"/>
      </w:pPr>
      <w:r w:rsidRPr="007F2209">
        <w:t>За период января-ноября 2016 года отмечено снижение дебиторской задолженности организаций (90,17% к январю-ноябрю 2015 года), при этом размер просроченной дебиторской задолженности, составляющей четверть объема дебиторской задолженности, вырос на 1,01%. Кредиторская задолженность за январь-ноябрь 2016 года сократилась на 9,6%, в том числе  просроченная – на 26,2%, доля которой также сократилась до 8,5% с 10,4% в аналогичном периоде предыдущего года. На фоне снижения просроченной задолженности во внебюджетные фонды (66,16%) значительно возросла просроченная задолженность в бюджеты всех уровней (124,1%). Несмотря на опережающие темпы снижения дебиторской задолженности, ее размер превышает объем кредиторской задолженности на 14,7%, что свидетельствует о стабильности в сфере осуществления платежно-расчетных отношений, устойчивости финансового состояния предприятий и эффективности их функционирования с учетом достигнутых финансовых результатов деятельности.</w:t>
      </w:r>
    </w:p>
    <w:p w:rsidR="00843B99" w:rsidRPr="007F2209" w:rsidRDefault="00843B99" w:rsidP="004A3D34">
      <w:pPr>
        <w:ind w:firstLine="709"/>
        <w:jc w:val="both"/>
      </w:pPr>
      <w:proofErr w:type="gramStart"/>
      <w:r w:rsidRPr="007F2209">
        <w:t>Анализ динамики и структуры сальдированного финансового результата (прибыль, убыток) деятельности крупных и средних предприятий свидетельствует об устойчивой динамике высокой убыточности деятельности организаций в сфере профессиональной, научной и технической деятельности с 2012 года, сохранении незначительного положительного финансового результата в сфере здравоохранения и образования, с 2016 года - строительства, а также динамичном росте финансовых результатов организаций рыболовства, рыбоводства, транспорта и связи, производства и</w:t>
      </w:r>
      <w:proofErr w:type="gramEnd"/>
      <w:r w:rsidRPr="007F2209">
        <w:t xml:space="preserve"> распределения электроэнергии, газа и воды до 2017 года, </w:t>
      </w:r>
      <w:proofErr w:type="gramStart"/>
      <w:r w:rsidRPr="007F2209">
        <w:t>определяющих</w:t>
      </w:r>
      <w:proofErr w:type="gramEnd"/>
      <w:r w:rsidRPr="007F2209">
        <w:t xml:space="preserve"> значение показателя в целом по городу. Наиболее высокие показатели финансовой деятельности до 2017 года сохранялись у предприятий рыболовства, рыбоводства, прибыль которых, при меньших убытках, превышала прибыль транспортных компаний. С 2014 года по итогам 11 месяцев наблюдается устойчивый рост положительного финансового результата в сфере производства и распределения электроэнергии, газа и воды (2014 год - 763,9 млн. рублей, 2015 год - 1689,2 млн. рублей, 2016 год - 2325,2 млн. рублей), однако по итогам года отмечается устойчивый рост отрицательного финансового результата.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Таким образом, несмотря на ожидаемый рост прибыли транспортных компаний, с учетом снижения показателей деятельности предприятий рыболовства, рыбоводства, прогнозируемого снижения финансового результата </w:t>
      </w:r>
      <w:proofErr w:type="spellStart"/>
      <w:r w:rsidRPr="007F2209">
        <w:t>ресурсоснабжающими</w:t>
      </w:r>
      <w:proofErr w:type="spellEnd"/>
      <w:r w:rsidRPr="007F2209">
        <w:t xml:space="preserve"> организациями в прогнозном периоде ожидается снижение сальдированного финансового результата деятельности крупных и </w:t>
      </w:r>
      <w:r w:rsidRPr="007F2209">
        <w:lastRenderedPageBreak/>
        <w:t>средних предприятий в обоих вариантах прогноза со стабилизацией показателя в 2020 году.</w:t>
      </w:r>
    </w:p>
    <w:p w:rsidR="00843B99" w:rsidRPr="007F2209" w:rsidRDefault="00843B99" w:rsidP="004A3D34">
      <w:pPr>
        <w:pStyle w:val="1"/>
        <w:widowControl w:val="0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Труд и занятость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Сложившаяся в городе Мурманске ситуация на рынке труда характеризуется постепенным посткризисным восстановлением. 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>В 2016 году наблюдается рост числа работников, принятых на дополнительно введенные рабочие места – значение показателя составило 1160 человек, что на 29% больше, чем в 2015 году. Наибольшее число дополнительно веденных рабочих мест приходится на сферы обрабатывающего производства, строительства и государственного управления.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Также отмечается рост потребности работодателей в трудовых ресурсах. Вместе с тем, в связи с высокими требованиями к квалификации работников и наличию у них специальных навыков работы с современными материалами и оборудованием, данная потребность не может быть в полной мере удовлетворена существующим на рынке труда предложением.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Численность работников организаций (без субъектов малого предпринимательства) в 2016 году составила 95,70 тыс. человек, сократившись к уровню 2015 года на 1,2%.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динамику данного показателя в 2016 году оказала влияние, прежде всего, естественная и миграционная убыль населения города. В прогнозном периоде ожидается дальнейшее сокращение численности работников организаций; в базовом варианте прогноза в 2020 году данный показатель предположительно составит 82,19 тыс. человек.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>Отрицательное влияние на рынок труда неблагоприятной  демографической ситуации (сокращение численности населения, миграционный отток населения в трудоспособном возрасте) несколько компенсируется ростом экономической активности</w:t>
      </w:r>
      <w:r>
        <w:rPr>
          <w:szCs w:val="24"/>
        </w:rPr>
        <w:t xml:space="preserve"> различных категорий населения, </w:t>
      </w:r>
      <w:r w:rsidRPr="007F2209">
        <w:rPr>
          <w:szCs w:val="24"/>
        </w:rPr>
        <w:t>в частности, лиц пенсионного возраста.</w:t>
      </w:r>
      <w:r w:rsidRPr="00344A78">
        <w:rPr>
          <w:szCs w:val="24"/>
        </w:rPr>
        <w:t>На начало 2017 года на учете в отделении Пенсионного фонда РФ по Мурманской области состояло 104,9 тыс. человек, т.е. 35,2% населения города.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среднегодовая численность безработных, зарегистрированных в службах занятости населения, составила 1,94 тыс. человек, незначительно увеличившись на 108 человек или на 5,9% к 2015 году. Тем не менее, уровень безработицы (к трудоспособному населению) снизился на 0,1 п.п. к 2015 году и составил 1,00%.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прогнозном периоде ожидается снижение уровня безработицы за счет увеличения потребности в рабочей силе, обусловленного реализацией крупных инвестиционных проектов (проекты ПАО НК «Роснефть», филиала «35 СРЗ» ОАО «ЦС Звездочка», проект Комплексного развития Мурманского транспортного узла и т.д.). Таким образом, в базовом варианте прогноза среднегодовая численность безработных в 2020 году предположительно составит 1,25 тыс. человек, при этом уровень безработицы (к трудоспособному населению) составит 0,76%.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>Более значительное снижение уровня безработицы представляется маловероятным в связи с влиянием на состояние рынка труда следующих факторов: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приток трудовых мигрантов;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увеличение числа работающих пенсионеров;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переход на гражданскую службу военнослужащих, уволенных в связи с реформированием вооруженных сил;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</w:t>
      </w:r>
      <w:r>
        <w:rPr>
          <w:szCs w:val="28"/>
        </w:rPr>
        <w:t> </w:t>
      </w:r>
      <w:r w:rsidRPr="007F2209">
        <w:rPr>
          <w:szCs w:val="28"/>
        </w:rPr>
        <w:t>постепенное снижение общей трудоемкости производственных процессов.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Размер среднемесячной заработной платы работников организаций города в 2016 году в номинальном выражении увеличился на 7,1% и составил 57048 тыс. рублей. При этом среднемесячный размер заработной платы в реальном выражении сохранился на неизменном уровне.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отдельных отраслях, тем не менее, отмечен рост среднемесячной начисленной заработной платы в реальном выражении: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добыча полезных ископаемых (рост составил 25,1%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строительство (рост - 11,74%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рыболовство, рыбоводство (рост - 8,3%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гостиницы и рестораны (рост - 6,9% к 2015 году).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ожидается рост среднемесячной заработной платы в номинальном выражении, а также незначительный рост реального уровня заработной платы. Ожидается, что в 2020 году номинальная и реальная среднемесячная заработная плата будут составлять 69819 и 66430 рублей соответственно.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целом, повышение эффективности функционирования рынка труда в городе будет возможно при решении следующих ключевых проблем: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структурная диспропорция спроса и предложения рабочей силы;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высокий темп оттока населения в трудоспособном возрасте;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несоответствие предъявляемых работодателями требований к вакансиям и фактического уровня квалификации претендентов на работу.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настоящее время наибольшим спросом пользуются высококвалифицированные рабочие и инженерно–технические специалисты. Ожидается, что в прогнозном периоде требования к качеству рабочей силы будут повышаться, в т.ч. в отношении владения навыками работы с инновационными материалами, современным оборудованием и т.д. В этой связи повышение эффективности работы инфраструктуры рынка труда должно осуществляться в следующих направлениях: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внедрение механизмов социального партнерства, направленных на активизацию участия работодателей в улучшении социально-бытовых и жилищных условий работников, а также заинтересованности работников в повышении производительности труда;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совершенствование системы профессиональной переподготовки, а также внедрение современных образовательных технологий на базе создаваемой системы образовательных учреждений начального, среднего и дополнительного профессионального образования;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>- совершенствование деятельности кадровых служб и системы управления кадрами в организациях города;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снижение уровня нелегальной занятости.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рамках муниципальных программ города Мурманска в прогнозном периоде продолжится работа по организации общественных работ, а также по временному трудоустройству несовершеннолетних на время летних каникул.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Развитие социальной сферы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Одним из приоритетных направлений развития социальной сферы является повышение доступности качественного образования для всех категорий граждан, сохранение и укрепление здоровья обучающихся и воспитанников.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proofErr w:type="gramStart"/>
      <w:r w:rsidRPr="007F2209">
        <w:rPr>
          <w:szCs w:val="28"/>
        </w:rPr>
        <w:t>На конец</w:t>
      </w:r>
      <w:proofErr w:type="gramEnd"/>
      <w:r w:rsidRPr="007F2209">
        <w:rPr>
          <w:szCs w:val="28"/>
        </w:rPr>
        <w:t xml:space="preserve"> 2016 года система образования города Мурманска представлена 147 муниципальными образовательными учреждениями, в том числе: 50 общеобразовательными; 73 дошкольными образовательными учреждениями (далее – ДОУ); 19 учреждениями дополнительного образования; Центром психолого-педагогической, медицинской и социальной помощи; а также прочими 4 учреждениями образования, обеспечивающими предоставление услуг (выполнение работ) в сфере образования. В 2017 году на начало учебного года количество муниципальных образовательных учреждений составляет 143 единицы, снижение показателя по сравнению с 2016 годом обусловлено сокращением числа детских садов в связи с их реорганизацией в форме присоединения.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городе Мурманске также функционирует немуниципальный сектор в сфере образования: негосударственное ДОУ ОАО «Российские железные дороги», </w:t>
      </w:r>
      <w:r>
        <w:rPr>
          <w:szCs w:val="28"/>
        </w:rPr>
        <w:t>частное</w:t>
      </w:r>
      <w:r w:rsidRPr="007F2209">
        <w:rPr>
          <w:szCs w:val="28"/>
        </w:rPr>
        <w:t xml:space="preserve"> образовательное учреждение </w:t>
      </w:r>
      <w:r>
        <w:rPr>
          <w:szCs w:val="28"/>
        </w:rPr>
        <w:t>«Ш</w:t>
      </w:r>
      <w:r w:rsidRPr="007F2209">
        <w:rPr>
          <w:szCs w:val="28"/>
        </w:rPr>
        <w:t>кола Пионер».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proofErr w:type="gramStart"/>
      <w:r w:rsidRPr="007F2209">
        <w:rPr>
          <w:szCs w:val="28"/>
        </w:rPr>
        <w:t>На конец</w:t>
      </w:r>
      <w:proofErr w:type="gramEnd"/>
      <w:r w:rsidRPr="007F2209">
        <w:rPr>
          <w:szCs w:val="28"/>
        </w:rPr>
        <w:t xml:space="preserve"> 2016 года ДОУ города Мурманска посещали 17 574 ребенка (101,4% к уровню 2015 года). К концу 2017 года численность воспитанников оценочно увеличится до 17 604 человек. Рост значения показателя обусловлен увеличением численности детей дошкольного возраста, посещающих дошкольные учреждения, а также вводом в эксплуатацию мест в образовательных учреждениях, реализующих программу дошкольного образования.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настоящее время отсутствует очередь на получение места в дошкольных учреждениях для детей в возрасте старше 3-х лет.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обеспечения дошкольников качественным образованием в 2016 году введено 160 дополнительных мест в образовательных учреждениях, реализующих программу дошкольного образования, в том числе: 100 мест в функционирующих дошкольных образовательных учреждениях за счет реконструкции (ДОУ №№ 18, 32, 74, 119); 60 мест – в связи с возвратом и реконструкцией ранее переданного здания дошкольного образовательного учреждения (ДОУ №121).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2017 году планируется ввод 138 дополнительных мест (63 места в ДОУ    № 93 за счет переданного с 01.01.2017 на муниципальный уровень ДОУ № 27              </w:t>
      </w:r>
      <w:r w:rsidRPr="007F2209">
        <w:rPr>
          <w:szCs w:val="28"/>
        </w:rPr>
        <w:lastRenderedPageBreak/>
        <w:t>ОАО «Российские железные дороги», 75 мест в ДОУ № 109 в связи с возвратом и реконструкцией ранее переданного здания дошкольного образовательного учреждения).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2018 году предполагается организовать 135 дополнительных мест (65 ме</w:t>
      </w:r>
      <w:proofErr w:type="gramStart"/>
      <w:r w:rsidRPr="007F2209">
        <w:rPr>
          <w:szCs w:val="28"/>
        </w:rPr>
        <w:t>ст в зд</w:t>
      </w:r>
      <w:proofErr w:type="gramEnd"/>
      <w:r w:rsidRPr="007F2209">
        <w:rPr>
          <w:szCs w:val="28"/>
        </w:rPr>
        <w:t>ании бывшего детского дома № 7 и 70 мест в ДОУ № 138), в 2019 – 100 мест (ввод в действие здания вновь построенного ДО</w:t>
      </w:r>
      <w:r w:rsidR="00784BED">
        <w:rPr>
          <w:szCs w:val="28"/>
        </w:rPr>
        <w:t xml:space="preserve">У в районе ул. Капитана </w:t>
      </w:r>
      <w:proofErr w:type="spellStart"/>
      <w:r w:rsidRPr="007F2209">
        <w:rPr>
          <w:szCs w:val="28"/>
        </w:rPr>
        <w:t>Орликовой</w:t>
      </w:r>
      <w:proofErr w:type="spellEnd"/>
      <w:r w:rsidRPr="007F2209">
        <w:rPr>
          <w:szCs w:val="28"/>
        </w:rPr>
        <w:t>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К 2020 году прогнозируемое число мест в детских садах достигнет 16 206 единиц (в 2016 году – 15 755 единиц). Обеспеченность детей местами в дошкольных образовательных учреждениях к концу прогнозного периода возрастет до 81,41 мест на 100 детей в возрасте 1-6 лет (в 2016 году на 100 детей дошкольного возраста приходилось 78,49 мест).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proofErr w:type="gramStart"/>
      <w:r w:rsidRPr="007F2209">
        <w:rPr>
          <w:szCs w:val="28"/>
        </w:rPr>
        <w:t>Численность обучающихся в общеобразовательных учреждениях города в 2016 году на начало учебного года составила 29 392 человека.</w:t>
      </w:r>
      <w:proofErr w:type="gramEnd"/>
      <w:r w:rsidRPr="007F2209">
        <w:rPr>
          <w:szCs w:val="28"/>
        </w:rPr>
        <w:t xml:space="preserve"> По сравнению с 2015 годом количество школьников возросло на 485 человек. </w:t>
      </w:r>
      <w:proofErr w:type="gramStart"/>
      <w:r w:rsidRPr="007F2209">
        <w:rPr>
          <w:szCs w:val="28"/>
        </w:rPr>
        <w:t>Положительная динамика численности обучающихся связана с увеличением количества школьников начальной и средней ступеней в связи с демографическим ростом детей данного возраста.</w:t>
      </w:r>
      <w:proofErr w:type="gramEnd"/>
      <w:r w:rsidRPr="007F2209">
        <w:rPr>
          <w:szCs w:val="28"/>
        </w:rPr>
        <w:t xml:space="preserve"> К концу 2017 года значение показателя оценочно составит 29 898 человек. К 2020 году прогнозируется сокращение численности учащихся общеобразовательных учреждений до 29 874 человек, что обусловлено прогнозным снижением рождаемости.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Численность обучающихся в общеобразовательных учреждениях, занимающихся в одну смену, в 2016 году увеличилась по сравнению с предыдущим годом на 672 человека и составила 28 577 человек, их доля в общей </w:t>
      </w:r>
      <w:proofErr w:type="gramStart"/>
      <w:r w:rsidRPr="007F2209">
        <w:rPr>
          <w:szCs w:val="28"/>
        </w:rPr>
        <w:t>численности</w:t>
      </w:r>
      <w:proofErr w:type="gramEnd"/>
      <w:r w:rsidRPr="007F2209">
        <w:rPr>
          <w:szCs w:val="28"/>
        </w:rPr>
        <w:t xml:space="preserve"> обучающихся в общеобразовательных организациях достигла 97,23% (в 2015 году – 96,54%). В прогнозном периоде величина доли сохранится на уровне 97,23%.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Численность учащихся в учреждениях, реализующих программы среднего профессионального образования, в 2016 году составила 9 295 человек, увеличившись к уровню предыдущего года на 727 человек. В прогнозном периоде ожидается рост численности учащихся до 9 559 человек. </w:t>
      </w:r>
    </w:p>
    <w:p w:rsidR="00843B99" w:rsidRPr="007F2209" w:rsidRDefault="00843B99" w:rsidP="004A3D34">
      <w:pPr>
        <w:widowControl w:val="0"/>
        <w:ind w:firstLine="709"/>
        <w:jc w:val="both"/>
        <w:rPr>
          <w:bCs/>
          <w:szCs w:val="28"/>
        </w:rPr>
      </w:pPr>
      <w:r w:rsidRPr="007F2209">
        <w:rPr>
          <w:bCs/>
          <w:szCs w:val="28"/>
        </w:rPr>
        <w:t>Численность учащихся высших учебных заведений в 2016 году сократилась на 1103 человека и составила 11 000 человек. В прогнозном периоде количество студентов, обучающихся по программам высшего профессионального образования, продолжит уменьшаться в виду сокращения численности населения соответствующей возрастной категории и оттока молодежи для получения высшего профессионального образования в другие города. К 2020 году ожидается сокращение численности учащихся высших учебных заведений до 9 932 человек.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lastRenderedPageBreak/>
        <w:t>В 2016 году в городе Мурманске работало 35 общедоступных (публичных) библиотек, в том числе: 3 областные библиотеки, 2 муниципальные центральные библиотеки с 30 филиалами, из которых 13 – детских. В 2017 - 2018 годах планируется поэтапная реорганизация сети структурных подразделений МБУК «ЦДБ города Мурманска», в результате которой будут закрыты 4 библиотеки-филиала и открыт Центр детского чтения по ул. Калинина, 38. Указанные библиотеки-филиалы не могут в полном объеме реализовать муниципальную услугу по библиотечно-информационному обслуживанию в связи с расположением на первых этажах жилых домов с кодовыми замками, усложняющими свободный вход в библиотеку, особенно для детей с ограниченными возможностями здоровья, а также по причине не соответствия требованиям пожарной безопасности.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обеспеченность общественными библиотеками в расчете на 100 тыс. человек населения составила 11,67 единиц (в 2015 году – 11,54 единицы). В результате оптимизации сети библиотек в 2017 - 2018 годах (сокращения их количества до 32 единиц) обеспеченность общественными библиотеками в расчете на 100 тыс. человек населения снизится в 2017 году до 11,14 единиц, в 2018 году – до 10,92 единиц. В прогнозном периоде в связи с ожидаемым сокращением численности населения города Мурманска предполагается постепенный рост обеспеченности библиотеками в расчете на 100 тыс. человек населения до 11,13 единиц в 2020 году.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bCs/>
          <w:szCs w:val="28"/>
        </w:rPr>
        <w:t>В 2016 году в городе Мурманске осуществляли деятельность 5 учреждений культурно-досугового типа, в том числе: 1 областное учреждение –                           ГОАУК «Мурманский областной Дворец культуры и народного творчества          им. С.М. Кирова» и 4 муниципальных: МБУК «Дом культуры «Первомайский» г. Мурманска», МАУК «Дом культуры Ленинского округа г. Мурманска», МБУК «Центр досуга и семейного творчества», МБУК «Дворец культуры Судоремонтник» города Мурманска. В связи с изменением в 2016 году порядка предоставления организациями культурно-досугового типа сведений о своей деятельности в органы статистики</w:t>
      </w:r>
      <w:r w:rsidRPr="007F2209">
        <w:rPr>
          <w:szCs w:val="28"/>
        </w:rPr>
        <w:t xml:space="preserve"> отразить данные по организациям, подведомственным федеральному органу исполнительной власти Российской Федерации, не представляется возможным. Согласно Приказу Росстата от 07.12.2016 № 764 (с изм. от 26.05.2017)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 организации культурно-досугового типа, подведомственные федеральному органу исполнительной власти Российской Федерации, осуществляют предоставление государственной статистической отчетности непосредственно в Министерство культуры Российской Федерации, </w:t>
      </w:r>
      <w:proofErr w:type="gramStart"/>
      <w:r w:rsidRPr="007F2209">
        <w:rPr>
          <w:szCs w:val="28"/>
        </w:rPr>
        <w:t>а</w:t>
      </w:r>
      <w:proofErr w:type="gramEnd"/>
      <w:r w:rsidRPr="007F2209">
        <w:rPr>
          <w:szCs w:val="28"/>
        </w:rPr>
        <w:t xml:space="preserve">  следовательно, </w:t>
      </w:r>
      <w:proofErr w:type="spellStart"/>
      <w:r w:rsidRPr="007F2209">
        <w:rPr>
          <w:szCs w:val="28"/>
        </w:rPr>
        <w:t>Мурманскстат</w:t>
      </w:r>
      <w:proofErr w:type="spellEnd"/>
      <w:r w:rsidRPr="007F2209">
        <w:rPr>
          <w:szCs w:val="28"/>
        </w:rPr>
        <w:t xml:space="preserve"> подобной информацией более не располагает. Указанный порядок применяется, начиная с отчетов за 2016 год.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Таким образом, в связи с возможностью предоставления сведений за 2016 год только по 5 областным и муниципальным учреждениям против 8 учреждений в 2015 году, показатель </w:t>
      </w:r>
      <w:r w:rsidRPr="007F2209">
        <w:rPr>
          <w:bCs/>
          <w:szCs w:val="28"/>
        </w:rPr>
        <w:t>обеспеченности населения учреждениями культурно-досугового типа снизился</w:t>
      </w:r>
      <w:r w:rsidRPr="007F2209">
        <w:rPr>
          <w:szCs w:val="28"/>
        </w:rPr>
        <w:t xml:space="preserve"> до 1,68 учреждений на 100 тыс. человек </w:t>
      </w:r>
      <w:r w:rsidRPr="007F2209">
        <w:rPr>
          <w:szCs w:val="28"/>
        </w:rPr>
        <w:lastRenderedPageBreak/>
        <w:t xml:space="preserve">населения (в 2015 году – 2,65 учреждения на 100 тыс. человек населения). В условиях сокращения численности населения города Мурманска предполагается, что к 2020 году показатель обеспеченности достигнет значения 1,75 учреждений </w:t>
      </w:r>
      <w:r w:rsidRPr="007F2209">
        <w:rPr>
          <w:bCs/>
          <w:szCs w:val="28"/>
        </w:rPr>
        <w:t>культурно-досугового типа</w:t>
      </w:r>
      <w:r w:rsidRPr="007F2209">
        <w:rPr>
          <w:szCs w:val="28"/>
        </w:rPr>
        <w:t xml:space="preserve"> на 100 тыс. человек населения. 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сфере физической культуры и спорта в результате проводимых в городе Мурманске официальных физкультурных и спортивных мероприятий (около 180 мероприятий в год), активной пропаганды спорта в СМИ численность населения, систематически занимающегося физической культурой и спортом, в 2016 году по сравнению с 2015 годом увеличилась на 13,6% и составила 93 357 человек.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МАУ ГСЦ «Авангард» и </w:t>
      </w:r>
      <w:r w:rsidRPr="007F2209">
        <w:rPr>
          <w:bCs/>
          <w:szCs w:val="28"/>
        </w:rPr>
        <w:t xml:space="preserve">открытие Центра тестирования </w:t>
      </w:r>
      <w:r w:rsidRPr="007F2209">
        <w:rPr>
          <w:szCs w:val="28"/>
        </w:rPr>
        <w:t>по приему нормативов (тестов) Всероссийского физкультурно-спортивного комплекса «Готов к труду и обороне».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Удельный вес населения, систематически занимающегося физической культурой и спортом, достиг 31,14% (в 2015 году – 27,1%). К концу 2020 года прогнозируется рост доли населения, систематически занимающегося физической культурой и спортом, до 32,67%.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Сфера жилищного строительства города Мурманска в последние годы заметно активизировалась. 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на территории города введено 14 086 кв</w:t>
      </w:r>
      <w:proofErr w:type="gramStart"/>
      <w:r>
        <w:rPr>
          <w:szCs w:val="28"/>
        </w:rPr>
        <w:t>.</w:t>
      </w:r>
      <w:r w:rsidRPr="007F2209">
        <w:rPr>
          <w:szCs w:val="28"/>
        </w:rPr>
        <w:t>м</w:t>
      </w:r>
      <w:proofErr w:type="gramEnd"/>
      <w:r w:rsidRPr="007F2209">
        <w:rPr>
          <w:szCs w:val="28"/>
        </w:rPr>
        <w:t xml:space="preserve"> жилой площади, в том числе: многоквартирный трехэтажный дом (1 этап) по ул. Фрунзе, 18, многоквартирный трехэтажный дом (2 эт</w:t>
      </w:r>
      <w:r>
        <w:rPr>
          <w:szCs w:val="28"/>
        </w:rPr>
        <w:t xml:space="preserve">ап) по ул. Алексея </w:t>
      </w:r>
      <w:proofErr w:type="spellStart"/>
      <w:r>
        <w:rPr>
          <w:szCs w:val="28"/>
        </w:rPr>
        <w:t>Генералова</w:t>
      </w:r>
      <w:proofErr w:type="spellEnd"/>
      <w:r>
        <w:rPr>
          <w:szCs w:val="28"/>
        </w:rPr>
        <w:t xml:space="preserve">, </w:t>
      </w:r>
      <w:r w:rsidRPr="007F2209">
        <w:rPr>
          <w:szCs w:val="28"/>
        </w:rPr>
        <w:t>6/24; жилой многоквартирный дом (на 150 квартир) по ул. Достоевского, 32.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расчете на 1000 человек населения ввод жилья в 2016 году составил            </w:t>
      </w:r>
      <w:r>
        <w:rPr>
          <w:szCs w:val="28"/>
        </w:rPr>
        <w:t>46,98 кв.</w:t>
      </w:r>
      <w:r w:rsidRPr="007F2209">
        <w:rPr>
          <w:szCs w:val="28"/>
        </w:rPr>
        <w:t>м.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Общая площадь жилых помеще</w:t>
      </w:r>
      <w:r>
        <w:rPr>
          <w:szCs w:val="28"/>
        </w:rPr>
        <w:t>ний сократилась с 7180 тыс. кв</w:t>
      </w:r>
      <w:proofErr w:type="gramStart"/>
      <w:r>
        <w:rPr>
          <w:szCs w:val="28"/>
        </w:rPr>
        <w:t>.</w:t>
      </w:r>
      <w:r w:rsidRPr="007F2209">
        <w:rPr>
          <w:szCs w:val="28"/>
        </w:rPr>
        <w:t>м</w:t>
      </w:r>
      <w:proofErr w:type="gramEnd"/>
      <w:r>
        <w:rPr>
          <w:szCs w:val="28"/>
        </w:rPr>
        <w:t xml:space="preserve"> в 2015 году до 6991,6 тыс. кв.</w:t>
      </w:r>
      <w:r w:rsidRPr="007F2209">
        <w:rPr>
          <w:szCs w:val="28"/>
        </w:rPr>
        <w:t>м в 2016 году. Снижение показателя обусловлено расселением и сносом ветхого и аварийного жилищного фонда. Прогноз до 2020 года сформирован на основании действующих разрешений на строительство, позволяющих прогнозировать увеличение площади жилых помещений к 2020 году до 7031,6 тыс. кв.м. При этом главным риском остается нестабильное финансирование и, как следствие, несоответствие фактических темпов строительства запланированным. В среднем на одного жителя в</w:t>
      </w:r>
      <w:r>
        <w:rPr>
          <w:szCs w:val="28"/>
        </w:rPr>
        <w:t xml:space="preserve"> 2016 году приходилось 23,5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</w:t>
      </w:r>
      <w:r w:rsidRPr="007F2209">
        <w:rPr>
          <w:szCs w:val="28"/>
        </w:rPr>
        <w:t>м</w:t>
      </w:r>
      <w:proofErr w:type="gramEnd"/>
      <w:r>
        <w:rPr>
          <w:szCs w:val="28"/>
        </w:rPr>
        <w:t>жилых</w:t>
      </w:r>
      <w:proofErr w:type="spellEnd"/>
      <w:r>
        <w:rPr>
          <w:szCs w:val="28"/>
        </w:rPr>
        <w:t xml:space="preserve"> помещений против 23,8 кв.</w:t>
      </w:r>
      <w:r w:rsidRPr="007F2209">
        <w:rPr>
          <w:szCs w:val="28"/>
        </w:rPr>
        <w:t>м в 2015 году. К 2020 году обеспеченность населения площадью жилых квар</w:t>
      </w:r>
      <w:r>
        <w:rPr>
          <w:szCs w:val="28"/>
        </w:rPr>
        <w:t>тир возрастет до 24,57 кв</w:t>
      </w:r>
      <w:proofErr w:type="gramStart"/>
      <w:r>
        <w:rPr>
          <w:szCs w:val="28"/>
        </w:rPr>
        <w:t>.</w:t>
      </w:r>
      <w:r w:rsidRPr="007F2209">
        <w:rPr>
          <w:szCs w:val="28"/>
        </w:rPr>
        <w:t>м</w:t>
      </w:r>
      <w:proofErr w:type="gramEnd"/>
      <w:r w:rsidRPr="007F2209">
        <w:rPr>
          <w:szCs w:val="28"/>
        </w:rPr>
        <w:t xml:space="preserve"> на человека.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создания условий для обеспечения населения комфортным жильем в городе реализуется подпрограмма «Поддержка и стимулирование жилищного строительства на территории муниципального образования город Мурманск» муниципальной программы</w:t>
      </w:r>
      <w:r w:rsidR="00784BED">
        <w:rPr>
          <w:szCs w:val="28"/>
        </w:rPr>
        <w:t xml:space="preserve"> города Мурманска</w:t>
      </w:r>
      <w:r w:rsidRPr="007F2209">
        <w:rPr>
          <w:szCs w:val="28"/>
        </w:rPr>
        <w:t xml:space="preserve"> «Градостроительная политика»</w:t>
      </w:r>
      <w:r>
        <w:rPr>
          <w:szCs w:val="28"/>
        </w:rPr>
        <w:t xml:space="preserve"> на 2014-2019 годы</w:t>
      </w:r>
      <w:r w:rsidRPr="007F2209">
        <w:rPr>
          <w:szCs w:val="28"/>
        </w:rPr>
        <w:t xml:space="preserve">. В рамках программы проводятся такие мероприятия, как формирование (образование) земельных участков для предоставления под строительство, под малоэтажное и индивидуальное жилищное строительство, в том числе для предоставления на безвозмездной </w:t>
      </w:r>
      <w:r w:rsidRPr="007F2209">
        <w:rPr>
          <w:szCs w:val="28"/>
        </w:rPr>
        <w:lastRenderedPageBreak/>
        <w:t xml:space="preserve">основе многодетным семьям; проводятся работы по обеспечению таких земельных участков объектами коммунальной инфраструктуры. </w:t>
      </w:r>
      <w:proofErr w:type="gramStart"/>
      <w:r w:rsidRPr="007F2209">
        <w:rPr>
          <w:szCs w:val="28"/>
        </w:rPr>
        <w:t xml:space="preserve">В 2016 году сформированы 50 земельных участков для предоставления под строительство, из которых 30 участков – для предоставления на безвозмездной основе многодетным семьям. </w:t>
      </w:r>
      <w:proofErr w:type="gramEnd"/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доля площади ветхого и аварийного жилья в общей площади жилого фонда сократилась с 2,6% в 2015 году до 2,02% 2016 году. В рамках реализации муниципальной программы «Управление имуществом и жилищная политика» в 2016 году расселено 597 человек с высвобождением 279 жилых помещений в аварийных д</w:t>
      </w:r>
      <w:r>
        <w:rPr>
          <w:szCs w:val="28"/>
        </w:rPr>
        <w:t>омах общей площадью 9 593,2 кв</w:t>
      </w:r>
      <w:proofErr w:type="gramStart"/>
      <w:r>
        <w:rPr>
          <w:szCs w:val="28"/>
        </w:rPr>
        <w:t>.</w:t>
      </w:r>
      <w:r w:rsidRPr="007F2209">
        <w:rPr>
          <w:szCs w:val="28"/>
        </w:rPr>
        <w:t>м</w:t>
      </w:r>
      <w:proofErr w:type="gramEnd"/>
      <w:r w:rsidRPr="007F2209">
        <w:rPr>
          <w:szCs w:val="28"/>
        </w:rPr>
        <w:t>, которым предоставлены благоустроенные жилые помещения общей площадью –             11 196,9 к</w:t>
      </w:r>
      <w:r>
        <w:rPr>
          <w:szCs w:val="28"/>
        </w:rPr>
        <w:t>в.</w:t>
      </w:r>
      <w:r w:rsidRPr="007F2209">
        <w:rPr>
          <w:szCs w:val="28"/>
        </w:rPr>
        <w:t>м. В 2016 году из 9 полностью расселенных аварийных домов 7 домов снесены. В прогнозном периоде до 2020 года планируется сокращение доли площади ветхого и аварийного жилья в общей площади жилого фонда до 1,66%.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Уровень собираемости платежей за жилье и коммунальные услуги увеличился с 81,4% в 2015 году до 88,3% в 2016 году. </w:t>
      </w:r>
      <w:proofErr w:type="gramStart"/>
      <w:r w:rsidRPr="007F2209">
        <w:rPr>
          <w:szCs w:val="28"/>
        </w:rPr>
        <w:t xml:space="preserve">В текущем году и прогнозном периоде до 2020 года, несмотря на увеличение стоимости предоставляемых населению жилищно-коммунальных услуг по экономически обоснованным тарифам (к 2020 году до 12 980,8 млн. рублей или на 23,4% по сравнению с 2016 годом) при сохранении реальных доходов населения на прежнем уровне, ожидается незначительное улучшение ситуации по данному показателю в связи с переходом на прямые платежи </w:t>
      </w:r>
      <w:proofErr w:type="spellStart"/>
      <w:r w:rsidRPr="007F2209">
        <w:rPr>
          <w:szCs w:val="28"/>
        </w:rPr>
        <w:t>сресурсоснабжающими</w:t>
      </w:r>
      <w:proofErr w:type="spellEnd"/>
      <w:proofErr w:type="gramEnd"/>
      <w:r w:rsidRPr="007F2209">
        <w:rPr>
          <w:szCs w:val="28"/>
        </w:rPr>
        <w:t xml:space="preserve"> организациями. Таким образом, собираемость платежей к 2020 году возрастет до 90%.</w:t>
      </w:r>
    </w:p>
    <w:p w:rsidR="00843B99" w:rsidRPr="00165C07" w:rsidRDefault="00843B99" w:rsidP="00843B99">
      <w:pPr>
        <w:rPr>
          <w:highlight w:val="yellow"/>
        </w:rPr>
      </w:pPr>
    </w:p>
    <w:p w:rsidR="00843B99" w:rsidRPr="00165C07" w:rsidRDefault="007D5B07" w:rsidP="00843B99">
      <w:pPr>
        <w:widowControl w:val="0"/>
        <w:ind w:firstLine="720"/>
        <w:jc w:val="center"/>
        <w:rPr>
          <w:szCs w:val="28"/>
          <w:highlight w:val="yellow"/>
        </w:rPr>
      </w:pPr>
      <w:r w:rsidRPr="007D5B07">
        <w:rPr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197.9pt;margin-top:36.75pt;width:1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white [3212]"/>
        </w:pict>
      </w:r>
    </w:p>
    <w:p w:rsidR="00843B99" w:rsidRPr="00165C07" w:rsidRDefault="00843B99" w:rsidP="00843B99">
      <w:pPr>
        <w:widowControl w:val="0"/>
        <w:ind w:firstLine="720"/>
        <w:jc w:val="center"/>
        <w:rPr>
          <w:szCs w:val="28"/>
          <w:highlight w:val="yellow"/>
        </w:rPr>
        <w:sectPr w:rsidR="00843B99" w:rsidRPr="00165C07" w:rsidSect="00C47974">
          <w:headerReference w:type="default" r:id="rId17"/>
          <w:headerReference w:type="first" r:id="rId18"/>
          <w:pgSz w:w="11907" w:h="16840" w:code="9"/>
          <w:pgMar w:top="1134" w:right="851" w:bottom="1134" w:left="1418" w:header="709" w:footer="284" w:gutter="0"/>
          <w:cols w:space="720"/>
          <w:noEndnote/>
          <w:docGrid w:linePitch="381"/>
        </w:sectPr>
      </w:pPr>
    </w:p>
    <w:tbl>
      <w:tblPr>
        <w:tblW w:w="0" w:type="auto"/>
        <w:tblLook w:val="04A0"/>
      </w:tblPr>
      <w:tblGrid>
        <w:gridCol w:w="4572"/>
        <w:gridCol w:w="5281"/>
      </w:tblGrid>
      <w:tr w:rsidR="00843B99" w:rsidRPr="00165C07" w:rsidTr="004A3D34">
        <w:tc>
          <w:tcPr>
            <w:tcW w:w="4768" w:type="dxa"/>
          </w:tcPr>
          <w:p w:rsidR="00843B99" w:rsidRPr="00F7588D" w:rsidRDefault="00843B99" w:rsidP="004A3D34">
            <w:pPr>
              <w:widowControl w:val="0"/>
              <w:jc w:val="right"/>
              <w:rPr>
                <w:szCs w:val="28"/>
              </w:rPr>
            </w:pPr>
            <w:r w:rsidRPr="00F7588D">
              <w:rPr>
                <w:szCs w:val="28"/>
              </w:rPr>
              <w:lastRenderedPageBreak/>
              <w:br w:type="page"/>
            </w:r>
          </w:p>
        </w:tc>
        <w:tc>
          <w:tcPr>
            <w:tcW w:w="5419" w:type="dxa"/>
          </w:tcPr>
          <w:p w:rsidR="00843B99" w:rsidRPr="00F7588D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F7588D">
              <w:rPr>
                <w:szCs w:val="28"/>
              </w:rPr>
              <w:t>Приложение № 2</w:t>
            </w:r>
          </w:p>
          <w:p w:rsidR="00843B99" w:rsidRPr="00F7588D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F7588D">
              <w:rPr>
                <w:szCs w:val="28"/>
              </w:rPr>
              <w:t>к прогнозу социально-экономического развития муниципального образования город Мурманск на 2018 год и плановый период 2019 и 2020 годов</w:t>
            </w:r>
          </w:p>
        </w:tc>
      </w:tr>
    </w:tbl>
    <w:p w:rsidR="00843B99" w:rsidRPr="00B24227" w:rsidRDefault="00843B99" w:rsidP="00843B99">
      <w:pPr>
        <w:pStyle w:val="1"/>
        <w:spacing w:before="0" w:after="0"/>
        <w:jc w:val="center"/>
        <w:rPr>
          <w:b w:val="0"/>
          <w:caps w:val="0"/>
          <w:szCs w:val="24"/>
          <w:highlight w:val="yellow"/>
        </w:rPr>
      </w:pPr>
    </w:p>
    <w:p w:rsidR="00843B99" w:rsidRPr="00B24227" w:rsidRDefault="00843B99" w:rsidP="00843B99">
      <w:pPr>
        <w:pStyle w:val="1"/>
        <w:spacing w:before="0" w:after="0"/>
        <w:jc w:val="center"/>
        <w:rPr>
          <w:b w:val="0"/>
          <w:caps w:val="0"/>
          <w:szCs w:val="24"/>
          <w:highlight w:val="yellow"/>
        </w:rPr>
      </w:pPr>
    </w:p>
    <w:p w:rsidR="00843B99" w:rsidRPr="00165C07" w:rsidRDefault="00843B99" w:rsidP="00843B99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165C07">
        <w:rPr>
          <w:b w:val="0"/>
          <w:caps w:val="0"/>
          <w:sz w:val="28"/>
          <w:szCs w:val="28"/>
        </w:rPr>
        <w:t xml:space="preserve">Предварительные итоги социально-экономического развития муниципального образования город Мурманск за первое полугодие </w:t>
      </w:r>
      <w:r w:rsidRPr="00165C07">
        <w:rPr>
          <w:b w:val="0"/>
          <w:sz w:val="28"/>
          <w:szCs w:val="28"/>
        </w:rPr>
        <w:t>2017</w:t>
      </w:r>
      <w:r w:rsidRPr="00165C07">
        <w:rPr>
          <w:b w:val="0"/>
          <w:caps w:val="0"/>
          <w:sz w:val="28"/>
          <w:szCs w:val="28"/>
        </w:rPr>
        <w:t xml:space="preserve"> года </w:t>
      </w:r>
    </w:p>
    <w:p w:rsidR="00843B99" w:rsidRPr="00165C07" w:rsidRDefault="00843B99" w:rsidP="00843B99">
      <w:pPr>
        <w:jc w:val="center"/>
      </w:pPr>
      <w:r w:rsidRPr="00165C07">
        <w:t>и ожидаемые итоги социально-экономического развития за 2017 год</w:t>
      </w:r>
    </w:p>
    <w:p w:rsidR="00843B99" w:rsidRPr="00165C07" w:rsidRDefault="00843B99" w:rsidP="00843B99">
      <w:pPr>
        <w:spacing w:line="276" w:lineRule="auto"/>
        <w:jc w:val="center"/>
        <w:rPr>
          <w:szCs w:val="28"/>
        </w:rPr>
      </w:pPr>
    </w:p>
    <w:tbl>
      <w:tblPr>
        <w:tblW w:w="9644" w:type="dxa"/>
        <w:tblInd w:w="103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4116"/>
        <w:gridCol w:w="1418"/>
        <w:gridCol w:w="1417"/>
        <w:gridCol w:w="1418"/>
        <w:gridCol w:w="1275"/>
      </w:tblGrid>
      <w:tr w:rsidR="00843B99" w:rsidRPr="00165C07" w:rsidTr="00B24227">
        <w:trPr>
          <w:trHeight w:val="945"/>
          <w:tblHeader/>
        </w:trPr>
        <w:tc>
          <w:tcPr>
            <w:tcW w:w="4116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F37B8">
              <w:rPr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1 полугодие 201</w:t>
            </w:r>
            <w:r>
              <w:rPr>
                <w:bCs/>
                <w:sz w:val="24"/>
                <w:szCs w:val="24"/>
              </w:rPr>
              <w:t>6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1 полугодие 201</w:t>
            </w:r>
            <w:r>
              <w:rPr>
                <w:bCs/>
                <w:sz w:val="24"/>
                <w:szCs w:val="24"/>
              </w:rPr>
              <w:t>7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Оценка201</w:t>
            </w:r>
            <w:r>
              <w:rPr>
                <w:bCs/>
                <w:sz w:val="24"/>
                <w:szCs w:val="24"/>
              </w:rPr>
              <w:t>7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843B99" w:rsidRPr="00A30B12" w:rsidRDefault="00843B99" w:rsidP="00843B99">
      <w:pPr>
        <w:rPr>
          <w:vanish/>
          <w:highlight w:val="yellow"/>
        </w:rPr>
      </w:pPr>
    </w:p>
    <w:tbl>
      <w:tblPr>
        <w:tblW w:w="9644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18"/>
        <w:gridCol w:w="1419"/>
        <w:gridCol w:w="1414"/>
        <w:gridCol w:w="1418"/>
        <w:gridCol w:w="1275"/>
      </w:tblGrid>
      <w:tr w:rsidR="00843B99" w:rsidRPr="007F2209" w:rsidTr="00B24227">
        <w:trPr>
          <w:trHeight w:val="315"/>
          <w:tblHeader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43B99" w:rsidRPr="007F2209" w:rsidTr="00B24227">
        <w:trPr>
          <w:trHeight w:val="24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bCs/>
                <w:sz w:val="24"/>
                <w:szCs w:val="24"/>
                <w:lang w:eastAsia="en-US"/>
              </w:rPr>
            </w:pPr>
            <w:r w:rsidRPr="007F2209">
              <w:rPr>
                <w:bCs/>
                <w:sz w:val="24"/>
                <w:szCs w:val="24"/>
                <w:lang w:eastAsia="en-US"/>
              </w:rPr>
              <w:t>1. Демографические показатели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Среднегодовая численность населения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296,29</w:t>
            </w:r>
          </w:p>
        </w:tc>
      </w:tr>
      <w:tr w:rsidR="00843B99" w:rsidRPr="007F2209" w:rsidTr="00B24227">
        <w:trPr>
          <w:trHeight w:val="272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1782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3152</w:t>
            </w:r>
          </w:p>
        </w:tc>
      </w:tr>
      <w:tr w:rsidR="00843B99" w:rsidRPr="007F2209" w:rsidTr="00B24227">
        <w:trPr>
          <w:trHeight w:val="23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Умерло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1789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3502</w:t>
            </w:r>
          </w:p>
        </w:tc>
      </w:tr>
      <w:tr w:rsidR="00843B99" w:rsidRPr="007F2209" w:rsidTr="00B24227">
        <w:trPr>
          <w:trHeight w:val="607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рождаемости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11,90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10,70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10,64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смертности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11,90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11,80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11,82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естественного прироста, убыли</w:t>
            </w:r>
            <w:proofErr w:type="gramStart"/>
            <w:r w:rsidRPr="007F2209">
              <w:rPr>
                <w:sz w:val="24"/>
                <w:szCs w:val="24"/>
                <w:lang w:eastAsia="en-US"/>
              </w:rPr>
              <w:t xml:space="preserve"> (-)</w:t>
            </w:r>
            <w:proofErr w:type="gramEnd"/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-1,1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-1,18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миграционного прироста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-11,00</w:t>
            </w:r>
          </w:p>
        </w:tc>
      </w:tr>
      <w:tr w:rsidR="00843B99" w:rsidRPr="007F2209" w:rsidTr="00B24227">
        <w:trPr>
          <w:trHeight w:val="275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2. Производство товаров и услуг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Промышленное производство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промышленного производства (</w:t>
            </w:r>
            <w:r w:rsidR="00784BED">
              <w:rPr>
                <w:sz w:val="24"/>
                <w:szCs w:val="24"/>
                <w:lang w:eastAsia="en-US"/>
              </w:rPr>
              <w:t>р</w:t>
            </w:r>
            <w:r w:rsidRPr="007F2209">
              <w:rPr>
                <w:sz w:val="24"/>
                <w:szCs w:val="24"/>
                <w:lang w:eastAsia="en-US"/>
              </w:rPr>
              <w:t xml:space="preserve">аздел С: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F2209">
              <w:rPr>
                <w:sz w:val="24"/>
                <w:szCs w:val="24"/>
                <w:lang w:eastAsia="en-US"/>
              </w:rPr>
              <w:t>брабатывающие производства</w:t>
            </w:r>
            <w:r w:rsidR="00784BED">
              <w:rPr>
                <w:sz w:val="24"/>
                <w:szCs w:val="24"/>
                <w:lang w:eastAsia="en-US"/>
              </w:rPr>
              <w:t>,раздел D: о</w:t>
            </w:r>
            <w:r w:rsidRPr="007F2209">
              <w:rPr>
                <w:sz w:val="24"/>
                <w:szCs w:val="24"/>
                <w:lang w:eastAsia="en-US"/>
              </w:rPr>
              <w:t>беспечение электрической энергией, газом и паром; кондиционирование воздуха</w:t>
            </w:r>
            <w:r w:rsidR="00784BED">
              <w:rPr>
                <w:sz w:val="24"/>
                <w:szCs w:val="24"/>
                <w:lang w:eastAsia="en-US"/>
              </w:rPr>
              <w:t>,р</w:t>
            </w:r>
            <w:r w:rsidRPr="007F2209">
              <w:rPr>
                <w:sz w:val="24"/>
                <w:szCs w:val="24"/>
                <w:lang w:eastAsia="en-US"/>
              </w:rPr>
              <w:t>аздел</w:t>
            </w:r>
            <w:proofErr w:type="gramStart"/>
            <w:r w:rsidRPr="007F2209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7F2209">
              <w:rPr>
                <w:sz w:val="24"/>
                <w:szCs w:val="24"/>
                <w:lang w:eastAsia="en-US"/>
              </w:rPr>
              <w:t xml:space="preserve">: </w:t>
            </w:r>
            <w:r w:rsidR="00784BED">
              <w:rPr>
                <w:sz w:val="24"/>
                <w:szCs w:val="24"/>
                <w:lang w:eastAsia="en-US"/>
              </w:rPr>
              <w:t>в</w:t>
            </w:r>
            <w:r w:rsidRPr="007F2209">
              <w:rPr>
                <w:sz w:val="24"/>
                <w:szCs w:val="24"/>
                <w:lang w:eastAsia="en-US"/>
              </w:rPr>
              <w:t>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7F2209">
              <w:rPr>
                <w:sz w:val="20"/>
                <w:lang w:eastAsia="en-US"/>
              </w:rPr>
              <w:t>в</w:t>
            </w:r>
            <w:proofErr w:type="gramEnd"/>
            <w:r w:rsidRPr="007F2209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88,16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118,08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</w:rPr>
              <w:t>100,91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784BED" w:rsidP="004A3D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C: о</w:t>
            </w:r>
            <w:r w:rsidR="00843B99" w:rsidRPr="00784BED">
              <w:rPr>
                <w:sz w:val="24"/>
                <w:szCs w:val="24"/>
                <w:lang w:eastAsia="en-US"/>
              </w:rPr>
              <w:t>брабатывающие производства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r w:rsidRPr="00784BED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84BED">
              <w:rPr>
                <w:sz w:val="20"/>
                <w:lang w:eastAsia="en-US"/>
              </w:rPr>
              <w:t>соответст-вующих</w:t>
            </w:r>
            <w:proofErr w:type="spellEnd"/>
            <w:proofErr w:type="gramEnd"/>
            <w:r w:rsidRPr="00784BE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22816,96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23528,26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64559,36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84BED">
              <w:rPr>
                <w:sz w:val="24"/>
                <w:szCs w:val="24"/>
                <w:lang w:eastAsia="en-US"/>
              </w:rPr>
              <w:t xml:space="preserve">Индекс производства – </w:t>
            </w:r>
            <w:r w:rsidR="00784BED">
              <w:rPr>
                <w:sz w:val="24"/>
                <w:szCs w:val="24"/>
                <w:lang w:eastAsia="en-US"/>
              </w:rPr>
              <w:t>р</w:t>
            </w:r>
            <w:r w:rsidRPr="00784BED">
              <w:rPr>
                <w:sz w:val="24"/>
                <w:szCs w:val="24"/>
                <w:lang w:eastAsia="en-US"/>
              </w:rPr>
              <w:t xml:space="preserve">аздел C: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84BED">
              <w:rPr>
                <w:sz w:val="24"/>
                <w:szCs w:val="24"/>
                <w:lang w:eastAsia="en-US"/>
              </w:rPr>
              <w:t>брабатывающие производства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proofErr w:type="gramStart"/>
            <w:r w:rsidRPr="00784BED">
              <w:rPr>
                <w:sz w:val="20"/>
                <w:lang w:eastAsia="en-US"/>
              </w:rPr>
              <w:t>в</w:t>
            </w:r>
            <w:proofErr w:type="gramEnd"/>
            <w:r w:rsidRPr="00784BED">
              <w:rPr>
                <w:sz w:val="20"/>
                <w:lang w:eastAsia="en-US"/>
              </w:rPr>
              <w:t xml:space="preserve"> % </w:t>
            </w:r>
            <w:proofErr w:type="gramStart"/>
            <w:r w:rsidRPr="00784BED">
              <w:rPr>
                <w:sz w:val="20"/>
                <w:lang w:eastAsia="en-US"/>
              </w:rPr>
              <w:t>к</w:t>
            </w:r>
            <w:proofErr w:type="gramEnd"/>
            <w:r w:rsidRPr="00784BED">
              <w:rPr>
                <w:sz w:val="20"/>
                <w:lang w:eastAsia="en-US"/>
              </w:rPr>
              <w:t xml:space="preserve">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123,15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105,45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84BED">
              <w:rPr>
                <w:sz w:val="24"/>
                <w:szCs w:val="24"/>
                <w:lang w:eastAsia="en-US"/>
              </w:rPr>
              <w:t xml:space="preserve">Раздел D: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84BED">
              <w:rPr>
                <w:sz w:val="24"/>
                <w:szCs w:val="24"/>
                <w:lang w:eastAsia="en-US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r w:rsidRPr="00784BED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84BED">
              <w:rPr>
                <w:sz w:val="20"/>
                <w:lang w:eastAsia="en-US"/>
              </w:rPr>
              <w:t>соответст-</w:t>
            </w:r>
            <w:r w:rsidRPr="00784BED">
              <w:rPr>
                <w:sz w:val="20"/>
                <w:lang w:eastAsia="en-US"/>
              </w:rPr>
              <w:lastRenderedPageBreak/>
              <w:t>вующих</w:t>
            </w:r>
            <w:proofErr w:type="spellEnd"/>
            <w:proofErr w:type="gramEnd"/>
            <w:r w:rsidRPr="00784BE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lastRenderedPageBreak/>
              <w:t>6181,02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5973,69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11158,85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color w:val="000000"/>
                <w:sz w:val="24"/>
                <w:szCs w:val="24"/>
              </w:rPr>
              <w:lastRenderedPageBreak/>
              <w:t xml:space="preserve">Индекс производства - </w:t>
            </w:r>
            <w:r w:rsidR="00784BED">
              <w:rPr>
                <w:color w:val="000000"/>
                <w:sz w:val="24"/>
                <w:szCs w:val="24"/>
              </w:rPr>
              <w:t>р</w:t>
            </w:r>
            <w:r w:rsidRPr="00784BED">
              <w:rPr>
                <w:color w:val="000000"/>
                <w:sz w:val="24"/>
                <w:szCs w:val="24"/>
              </w:rPr>
              <w:t xml:space="preserve">аздел D: </w:t>
            </w:r>
            <w:r w:rsidR="00784BED">
              <w:rPr>
                <w:color w:val="000000"/>
                <w:sz w:val="24"/>
                <w:szCs w:val="24"/>
              </w:rPr>
              <w:t>о</w:t>
            </w:r>
            <w:r w:rsidRPr="00784BED">
              <w:rPr>
                <w:color w:val="000000"/>
                <w:sz w:val="24"/>
                <w:szCs w:val="24"/>
              </w:rPr>
              <w:t xml:space="preserve">беспечение электрической энергией, газом и паром; кондиционирование воздуха 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101,82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100,31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rFonts w:eastAsia="Arial Unicode MS"/>
                <w:color w:val="000000"/>
                <w:sz w:val="24"/>
                <w:szCs w:val="24"/>
              </w:rPr>
              <w:t xml:space="preserve">Раздел E: </w:t>
            </w:r>
            <w:r w:rsidR="00784BED">
              <w:rPr>
                <w:rFonts w:eastAsia="Arial Unicode MS"/>
                <w:color w:val="000000"/>
                <w:sz w:val="24"/>
                <w:szCs w:val="24"/>
              </w:rPr>
              <w:t>в</w:t>
            </w:r>
            <w:r w:rsidRPr="00784BED">
              <w:rPr>
                <w:rFonts w:eastAsia="Arial Unicode MS"/>
                <w:color w:val="000000"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proofErr w:type="gram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950,03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974,17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1997,06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color w:val="000000"/>
                <w:sz w:val="24"/>
                <w:szCs w:val="24"/>
              </w:rPr>
              <w:t xml:space="preserve">Индекс производства – </w:t>
            </w:r>
            <w:r w:rsidR="00784BED">
              <w:rPr>
                <w:color w:val="000000"/>
                <w:sz w:val="24"/>
                <w:szCs w:val="24"/>
              </w:rPr>
              <w:t>р</w:t>
            </w:r>
            <w:r w:rsidRPr="00784BED">
              <w:rPr>
                <w:color w:val="000000"/>
                <w:sz w:val="24"/>
                <w:szCs w:val="24"/>
              </w:rPr>
              <w:t xml:space="preserve">аздел E: </w:t>
            </w:r>
            <w:r w:rsidR="00784BED">
              <w:rPr>
                <w:color w:val="000000"/>
                <w:sz w:val="24"/>
                <w:szCs w:val="24"/>
              </w:rPr>
              <w:t>в</w:t>
            </w:r>
            <w:r w:rsidRPr="00784BED">
              <w:rPr>
                <w:color w:val="000000"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proofErr w:type="gramStart"/>
            <w:r w:rsidRPr="007F2209">
              <w:rPr>
                <w:color w:val="000000"/>
                <w:sz w:val="20"/>
              </w:rPr>
              <w:t>в</w:t>
            </w:r>
            <w:proofErr w:type="gramEnd"/>
            <w:r w:rsidRPr="007F2209">
              <w:rPr>
                <w:color w:val="000000"/>
                <w:sz w:val="20"/>
              </w:rPr>
              <w:t xml:space="preserve"> % </w:t>
            </w:r>
            <w:proofErr w:type="gramStart"/>
            <w:r w:rsidRPr="007F2209">
              <w:rPr>
                <w:color w:val="000000"/>
                <w:sz w:val="20"/>
              </w:rPr>
              <w:t>к</w:t>
            </w:r>
            <w:proofErr w:type="gramEnd"/>
            <w:r w:rsidRPr="007F2209">
              <w:rPr>
                <w:color w:val="000000"/>
                <w:sz w:val="20"/>
              </w:rPr>
              <w:t xml:space="preserve">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95,18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96,68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bCs/>
                <w:sz w:val="22"/>
                <w:szCs w:val="22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3. Рынок товаров и услуг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22228,9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17655,6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49985,08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оборота розничной торговли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7F2209">
              <w:rPr>
                <w:sz w:val="20"/>
                <w:lang w:eastAsia="en-US"/>
              </w:rPr>
              <w:t>в</w:t>
            </w:r>
            <w:proofErr w:type="gramEnd"/>
            <w:r w:rsidRPr="007F2209">
              <w:rPr>
                <w:sz w:val="20"/>
                <w:lang w:eastAsia="en-US"/>
              </w:rPr>
              <w:t xml:space="preserve"> % </w:t>
            </w:r>
            <w:proofErr w:type="gramStart"/>
            <w:r w:rsidRPr="007F2209">
              <w:rPr>
                <w:sz w:val="20"/>
                <w:lang w:eastAsia="en-US"/>
              </w:rPr>
              <w:t>к</w:t>
            </w:r>
            <w:proofErr w:type="gramEnd"/>
            <w:r w:rsidRPr="007F2209">
              <w:rPr>
                <w:sz w:val="20"/>
                <w:lang w:eastAsia="en-US"/>
              </w:rPr>
              <w:t xml:space="preserve">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Оборот общественного питания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825,6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1881,34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оборота общественного питания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в % </w:t>
            </w:r>
            <w:proofErr w:type="spellStart"/>
            <w:r w:rsidRPr="007F2209">
              <w:rPr>
                <w:sz w:val="20"/>
                <w:lang w:eastAsia="en-US"/>
              </w:rPr>
              <w:t>кпреды</w:t>
            </w:r>
            <w:r w:rsidR="00535145">
              <w:rPr>
                <w:sz w:val="20"/>
                <w:lang w:eastAsia="en-US"/>
              </w:rPr>
              <w:t>-</w:t>
            </w:r>
            <w:r w:rsidRPr="007F2209">
              <w:rPr>
                <w:sz w:val="20"/>
                <w:lang w:eastAsia="en-US"/>
              </w:rPr>
              <w:t>дущему</w:t>
            </w:r>
            <w:proofErr w:type="spellEnd"/>
            <w:r w:rsidRPr="007F2209">
              <w:rPr>
                <w:sz w:val="20"/>
                <w:lang w:eastAsia="en-US"/>
              </w:rPr>
              <w:t xml:space="preserve">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106,20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10341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9519,67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19029,21</w:t>
            </w:r>
          </w:p>
        </w:tc>
      </w:tr>
      <w:tr w:rsidR="00843B99" w:rsidRPr="007F2209" w:rsidTr="00B24227">
        <w:trPr>
          <w:trHeight w:val="315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платных услуг населению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% к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преды</w:t>
            </w:r>
            <w:r w:rsidR="00B24227">
              <w:rPr>
                <w:sz w:val="20"/>
                <w:lang w:eastAsia="en-US"/>
              </w:rPr>
              <w:t>-</w:t>
            </w:r>
            <w:r w:rsidRPr="007F2209">
              <w:rPr>
                <w:sz w:val="20"/>
                <w:lang w:eastAsia="en-US"/>
              </w:rPr>
              <w:t>дущему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году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90,38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93,99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shd w:val="clear" w:color="auto" w:fill="auto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4. Малое и среднее предпринимательство</w:t>
            </w:r>
            <w:r w:rsidRPr="007F2209">
              <w:rPr>
                <w:rStyle w:val="af0"/>
                <w:sz w:val="24"/>
                <w:szCs w:val="24"/>
                <w:lang w:eastAsia="en-US"/>
              </w:rPr>
              <w:footnoteReference w:id="10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Количество малых предпри</w:t>
            </w:r>
            <w:r w:rsidRPr="007F2209">
              <w:rPr>
                <w:sz w:val="24"/>
                <w:szCs w:val="24"/>
                <w:lang w:eastAsia="en-US"/>
              </w:rPr>
              <w:softHyphen/>
              <w:t>ятий – всего по состоянию на конец года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единиц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9366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9497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индивидуаль</w:t>
            </w:r>
            <w:r w:rsidRPr="007F2209">
              <w:rPr>
                <w:sz w:val="24"/>
                <w:szCs w:val="24"/>
                <w:lang w:eastAsia="en-US"/>
              </w:rPr>
              <w:softHyphen/>
              <w:t>ных предпри</w:t>
            </w:r>
            <w:r w:rsidRPr="007F2209">
              <w:rPr>
                <w:sz w:val="24"/>
                <w:szCs w:val="24"/>
                <w:lang w:eastAsia="en-US"/>
              </w:rPr>
              <w:softHyphen/>
              <w:t>нимателей - по состоянию на конец года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7001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7121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Количество средних пред</w:t>
            </w:r>
            <w:r w:rsidRPr="007F2209">
              <w:rPr>
                <w:sz w:val="24"/>
                <w:szCs w:val="24"/>
                <w:lang w:eastAsia="en-US"/>
              </w:rPr>
              <w:softHyphen/>
              <w:t>приятий – всего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единиц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4. Инвестиции и строительство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286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11874,9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17146,00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03" w:right="-110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52229,33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7F2209">
              <w:rPr>
                <w:sz w:val="20"/>
                <w:lang w:eastAsia="en-US"/>
              </w:rPr>
              <w:t>в</w:t>
            </w:r>
            <w:proofErr w:type="gramEnd"/>
            <w:r w:rsidRPr="007F2209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03" w:right="-110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121,02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lastRenderedPageBreak/>
              <w:t>бюджетные средства</w:t>
            </w:r>
          </w:p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3213,3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3415,06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22374,29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3141,69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21410,06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бюджета субъекта Федерации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698,99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муниципального бюджета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61,37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265,24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собственные средства предприятий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3952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6907,91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20869,80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ублей в ценах соответствующих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388,83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4089,53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% к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преды</w:t>
            </w:r>
            <w:r w:rsidR="00B2422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дущему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году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140,39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158,15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% к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преды</w:t>
            </w:r>
            <w:r w:rsidR="00B2422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дущему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году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103,62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102,64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103,31</w:t>
            </w:r>
          </w:p>
        </w:tc>
      </w:tr>
      <w:tr w:rsidR="00843B99" w:rsidRPr="007F2209" w:rsidTr="00B24227">
        <w:trPr>
          <w:trHeight w:val="17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5. Сальдированный финансовый результат (прибыль, убыток) деятельности крупных и средних предприятий</w:t>
            </w:r>
            <w:r w:rsidRPr="007F2209">
              <w:rPr>
                <w:rStyle w:val="af0"/>
                <w:sz w:val="24"/>
                <w:szCs w:val="24"/>
                <w:lang w:eastAsia="en-US"/>
              </w:rPr>
              <w:footnoteReference w:id="11"/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15421,40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14195,50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31046,02</w:t>
            </w:r>
          </w:p>
        </w:tc>
      </w:tr>
      <w:tr w:rsidR="00843B99" w:rsidRPr="007F2209" w:rsidTr="00B24227">
        <w:trPr>
          <w:trHeight w:val="244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bCs/>
                <w:sz w:val="24"/>
                <w:szCs w:val="24"/>
                <w:lang w:eastAsia="en-US"/>
              </w:rPr>
            </w:pPr>
            <w:r w:rsidRPr="007F2209">
              <w:rPr>
                <w:bCs/>
                <w:sz w:val="24"/>
                <w:szCs w:val="24"/>
                <w:lang w:eastAsia="en-US"/>
              </w:rPr>
              <w:t>6. Труд и занятость</w:t>
            </w:r>
          </w:p>
        </w:tc>
        <w:tc>
          <w:tcPr>
            <w:tcW w:w="1419" w:type="dxa"/>
          </w:tcPr>
          <w:p w:rsidR="00843B99" w:rsidRPr="007F2209" w:rsidRDefault="00843B99" w:rsidP="004A3D3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511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174,11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1,61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Уровень зарегистрированной безработицы (на конец периода)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%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0,92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Среднесписочная численность работников организаций  без внешних совместителей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90,30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90,88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89,41</w:t>
            </w:r>
          </w:p>
        </w:tc>
      </w:tr>
      <w:tr w:rsidR="00843B99" w:rsidRPr="007F2209" w:rsidTr="00B24227">
        <w:trPr>
          <w:trHeight w:val="6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рублей в ценах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val="en-US" w:eastAsia="en-US"/>
              </w:rPr>
              <w:t>5724</w:t>
            </w:r>
            <w:r w:rsidRPr="00C0657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59880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60838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Среднемесячная реальная заработная плата работников организаций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в % </w:t>
            </w:r>
            <w:proofErr w:type="spellStart"/>
            <w:proofErr w:type="gramStart"/>
            <w:r w:rsidRPr="007F2209">
              <w:rPr>
                <w:sz w:val="20"/>
                <w:lang w:eastAsia="en-US"/>
              </w:rPr>
              <w:t>предыду-щему</w:t>
            </w:r>
            <w:proofErr w:type="spellEnd"/>
            <w:proofErr w:type="gramEnd"/>
            <w:r w:rsidRPr="007F2209">
              <w:rPr>
                <w:sz w:val="20"/>
                <w:lang w:eastAsia="en-US"/>
              </w:rPr>
              <w:t xml:space="preserve"> периоду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101,6</w:t>
            </w:r>
          </w:p>
        </w:tc>
      </w:tr>
    </w:tbl>
    <w:p w:rsidR="00843B99" w:rsidRPr="001A67BC" w:rsidRDefault="00843B99" w:rsidP="00843B99">
      <w:pPr>
        <w:ind w:firstLine="709"/>
        <w:jc w:val="both"/>
        <w:rPr>
          <w:sz w:val="16"/>
          <w:szCs w:val="16"/>
        </w:rPr>
      </w:pPr>
    </w:p>
    <w:p w:rsidR="00843B99" w:rsidRPr="001A67BC" w:rsidRDefault="00843B99" w:rsidP="00843B99">
      <w:pPr>
        <w:ind w:firstLine="709"/>
        <w:jc w:val="both"/>
        <w:rPr>
          <w:sz w:val="26"/>
          <w:szCs w:val="26"/>
          <w:highlight w:val="yellow"/>
        </w:rPr>
      </w:pPr>
      <w:r w:rsidRPr="001A67BC">
        <w:rPr>
          <w:sz w:val="26"/>
          <w:szCs w:val="26"/>
        </w:rPr>
        <w:t>Пояснения к 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 приведены в приложении.</w:t>
      </w:r>
    </w:p>
    <w:p w:rsidR="00843B99" w:rsidRPr="001A67BC" w:rsidRDefault="00843B99" w:rsidP="00843B99">
      <w:pPr>
        <w:ind w:firstLine="709"/>
        <w:jc w:val="both"/>
        <w:rPr>
          <w:sz w:val="26"/>
          <w:szCs w:val="26"/>
          <w:highlight w:val="yellow"/>
        </w:rPr>
        <w:sectPr w:rsidR="00843B99" w:rsidRPr="001A67BC" w:rsidSect="00784BED">
          <w:headerReference w:type="default" r:id="rId19"/>
          <w:pgSz w:w="11906" w:h="16838"/>
          <w:pgMar w:top="851" w:right="851" w:bottom="680" w:left="1418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566"/>
        <w:gridCol w:w="5287"/>
      </w:tblGrid>
      <w:tr w:rsidR="00843B99" w:rsidRPr="00165C07" w:rsidTr="004A3D34">
        <w:tc>
          <w:tcPr>
            <w:tcW w:w="4566" w:type="dxa"/>
            <w:shd w:val="clear" w:color="auto" w:fill="auto"/>
          </w:tcPr>
          <w:p w:rsidR="00843B99" w:rsidRPr="00555E0B" w:rsidRDefault="00843B99" w:rsidP="004A3D34">
            <w:pPr>
              <w:jc w:val="right"/>
              <w:rPr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843B99" w:rsidRPr="00555E0B" w:rsidRDefault="00843B99" w:rsidP="004A3D34">
            <w:pPr>
              <w:jc w:val="center"/>
              <w:rPr>
                <w:szCs w:val="28"/>
              </w:rPr>
            </w:pPr>
            <w:r w:rsidRPr="00555E0B">
              <w:rPr>
                <w:szCs w:val="28"/>
              </w:rPr>
              <w:t xml:space="preserve">Приложение </w:t>
            </w:r>
          </w:p>
          <w:p w:rsidR="00843B99" w:rsidRPr="00555E0B" w:rsidRDefault="00843B99" w:rsidP="004A3D34">
            <w:pPr>
              <w:jc w:val="center"/>
              <w:rPr>
                <w:szCs w:val="28"/>
              </w:rPr>
            </w:pPr>
            <w:r w:rsidRPr="00555E0B">
              <w:rPr>
                <w:szCs w:val="28"/>
              </w:rPr>
              <w:t xml:space="preserve">к </w:t>
            </w:r>
            <w:r w:rsidRPr="00555E0B">
              <w:t>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</w:t>
            </w:r>
          </w:p>
        </w:tc>
      </w:tr>
    </w:tbl>
    <w:p w:rsidR="00843B99" w:rsidRPr="00165C07" w:rsidRDefault="00843B99" w:rsidP="00843B99">
      <w:pPr>
        <w:widowControl w:val="0"/>
        <w:jc w:val="center"/>
        <w:outlineLvl w:val="0"/>
        <w:rPr>
          <w:bCs/>
          <w:szCs w:val="28"/>
          <w:highlight w:val="yellow"/>
        </w:rPr>
      </w:pPr>
    </w:p>
    <w:p w:rsidR="00843B99" w:rsidRPr="00165C07" w:rsidRDefault="00843B99" w:rsidP="00843B99">
      <w:pPr>
        <w:widowControl w:val="0"/>
        <w:jc w:val="center"/>
        <w:outlineLvl w:val="0"/>
        <w:rPr>
          <w:bCs/>
          <w:szCs w:val="28"/>
          <w:highlight w:val="yellow"/>
        </w:rPr>
      </w:pPr>
    </w:p>
    <w:p w:rsidR="00843B99" w:rsidRPr="005F37B8" w:rsidRDefault="00843B99" w:rsidP="00843B99">
      <w:pPr>
        <w:widowControl w:val="0"/>
        <w:jc w:val="center"/>
        <w:outlineLvl w:val="0"/>
        <w:rPr>
          <w:bCs/>
          <w:szCs w:val="28"/>
        </w:rPr>
      </w:pPr>
      <w:r w:rsidRPr="005F37B8">
        <w:rPr>
          <w:bCs/>
          <w:szCs w:val="28"/>
        </w:rPr>
        <w:t>Пояснительная записка к 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Демографические показатели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Динамика показателей естественного движения населения города Мурманска в первом полугодии 2017 года к соответствующему периоду 2016 года характеризуется снижением как числа родившихся, так и числа умерших. В январе-июне текущего года родилось 1576 человек – на 206 человек меньше, чем в аналогичном периоде 2016 года, а умерло 1751 человек – на 38 человек меньше. Таким образом, коэффициент рождаемости уменьшился с 11,9 до 10,7 </w:t>
      </w:r>
      <w:proofErr w:type="gramStart"/>
      <w:r w:rsidRPr="007F2209">
        <w:rPr>
          <w:szCs w:val="24"/>
        </w:rPr>
        <w:t>родившихся</w:t>
      </w:r>
      <w:proofErr w:type="gramEnd"/>
      <w:r w:rsidRPr="007F2209">
        <w:rPr>
          <w:szCs w:val="24"/>
        </w:rPr>
        <w:t xml:space="preserve"> на 1000 населения. Снижение рождаемости обусловило естественную убыль населения в размере 1,1 человека на 1000 населения (в январе-июне 2016 года естественное движение отсутствовало).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Ожидается, что по итогам года родится на 341 человека меньше, чем в 2016 году. Коэффициент рождаемости предположительно составит 10,64 человека на 1000 населения, коэффициент смертности – 11,82 человека на 1000 нас</w:t>
      </w:r>
      <w:r w:rsidR="00502F25">
        <w:rPr>
          <w:szCs w:val="24"/>
        </w:rPr>
        <w:t xml:space="preserve">еления. Коэффициент естественнойубыли предположительно составит </w:t>
      </w:r>
      <w:r w:rsidRPr="007F2209">
        <w:rPr>
          <w:szCs w:val="24"/>
        </w:rPr>
        <w:t xml:space="preserve">1,18 на 1000 населения.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Основной и наиболее существенной причиной сокращения населения города Мурманска остается миграционный отток. Динамика механического движения населения характеризуется постепенным уменьшением количества </w:t>
      </w:r>
      <w:proofErr w:type="gramStart"/>
      <w:r w:rsidRPr="007F2209">
        <w:rPr>
          <w:szCs w:val="24"/>
        </w:rPr>
        <w:t>выбывших</w:t>
      </w:r>
      <w:proofErr w:type="gramEnd"/>
      <w:r w:rsidRPr="007F2209">
        <w:rPr>
          <w:szCs w:val="24"/>
        </w:rPr>
        <w:t xml:space="preserve"> и увеличением количества прибывших, что обуславливает некоторое снижение показателя миграционной убыли населения.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Так, в первом полугодии текущего года количество прибывших увеличилось на 232 человека или на 5,2% по сравнению с аналогичным периодом 2016 года, при этом количество выбывших сократилось на 163 человека или 3,1%. По итогам 2017 года коэффициент миграционно</w:t>
      </w:r>
      <w:r w:rsidR="00421483">
        <w:rPr>
          <w:szCs w:val="24"/>
        </w:rPr>
        <w:t xml:space="preserve">йубыли предположительно составит </w:t>
      </w:r>
      <w:r w:rsidRPr="007F2209">
        <w:rPr>
          <w:szCs w:val="24"/>
        </w:rPr>
        <w:t>11,0 человек на 1000 населения.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Ожидается, что в 2017 году среднегодовое значение численности населения города Мурманска сократится на 3542 человека или на 1,2% к предыдущему году и составит296,3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>
        <w:rPr>
          <w:szCs w:val="24"/>
        </w:rPr>
        <w:t>На улучшение демографической</w:t>
      </w:r>
      <w:r w:rsidRPr="007F2209">
        <w:rPr>
          <w:szCs w:val="24"/>
        </w:rPr>
        <w:t xml:space="preserve">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</w:t>
      </w:r>
      <w:r w:rsidRPr="007F2209">
        <w:rPr>
          <w:szCs w:val="24"/>
        </w:rPr>
        <w:lastRenderedPageBreak/>
        <w:t>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В сфере промышленного производства на фоне значительного спада в 2016 году в первом полугодии 2017 года отмечен рост производственных показателей к аналогичному периоду предыдущего года. Объем отгруженной продукции предприятий рыболовства, рыбоводства в действующих ценах увеличился в 23 раза, индекс промышленного производства обрабатывающей промышленности с учетом среднеобластных дефляторов по отдельным видам экономической деятельности оценочно составил 123,15%, в том числе в производстве пищевых продуктов – 113,0% за счет </w:t>
      </w:r>
      <w:proofErr w:type="spellStart"/>
      <w:r w:rsidRPr="007F2209">
        <w:t>рыбопереработки</w:t>
      </w:r>
      <w:proofErr w:type="spellEnd"/>
      <w:r w:rsidRPr="007F2209">
        <w:t xml:space="preserve"> (113,7%), мясной промышленности (107,12%), хлебопекарной (111,52%), производства продуктов мукомольной и крупяной промышленности, крахмала и крахмалосодержащих продуктов (139,66%); в производстве прочих транспортных средств и оборудования – 260,9%, ремонте и монтаже машин и оборудования – 124%.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Отмечен рост объема отгруженной продукции мукомольной и крупяной промышленности, крахмала и крахмалосодержащих продуктов до 5,7 млн. рублей (127,5%), производства транспортных средств и оборудования до 1050,87 млн. рублей (298,9%), ремонта и монтажа машин и оборудования до 1614,87 млн. рублей (136,9%).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В натуральном выражении увеличился выпуск мясных полуфабрикатов (197,7%), </w:t>
      </w:r>
      <w:proofErr w:type="gramStart"/>
      <w:r w:rsidRPr="007F2209">
        <w:t>переработанной</w:t>
      </w:r>
      <w:proofErr w:type="gramEnd"/>
      <w:r w:rsidRPr="007F2209">
        <w:t xml:space="preserve"> и консервированный рыбопродукции (113,1%), мучных кондитерских изделий (130,4%).</w:t>
      </w:r>
    </w:p>
    <w:p w:rsidR="00843B99" w:rsidRPr="007F2209" w:rsidRDefault="00843B99" w:rsidP="000816A4">
      <w:pPr>
        <w:ind w:firstLine="709"/>
        <w:jc w:val="both"/>
      </w:pPr>
      <w:r w:rsidRPr="007F2209">
        <w:t>Также отмечен рост производственных показателей с учетом среднеобластных дефляторов в следующих сферах обрабатывающей промышленности: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– рост в 2,5 раза с учетом ввода в эксплуатацию в 2016 году нового производства мебели </w:t>
      </w:r>
      <w:r w:rsidR="00535145">
        <w:rPr>
          <w:sz w:val="28"/>
          <w:szCs w:val="28"/>
        </w:rPr>
        <w:t>напроезде</w:t>
      </w:r>
      <w:r w:rsidR="00D44A8A">
        <w:rPr>
          <w:sz w:val="28"/>
          <w:szCs w:val="28"/>
        </w:rPr>
        <w:t xml:space="preserve">Михаила </w:t>
      </w:r>
      <w:r w:rsidRPr="007F2209">
        <w:rPr>
          <w:sz w:val="28"/>
          <w:szCs w:val="28"/>
        </w:rPr>
        <w:t>Ивченко, 8 площадью 5,2 тыс. кв</w:t>
      </w:r>
      <w:proofErr w:type="gramStart"/>
      <w:r w:rsidRPr="007F2209">
        <w:rPr>
          <w:sz w:val="28"/>
          <w:szCs w:val="28"/>
        </w:rPr>
        <w:t>.м</w:t>
      </w:r>
      <w:proofErr w:type="gramEnd"/>
      <w:r w:rsidRPr="007F2209">
        <w:rPr>
          <w:sz w:val="28"/>
          <w:szCs w:val="28"/>
        </w:rPr>
        <w:t>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бумаги и бумажных изделий – 102,7%, рост выпуска бумажной тары в натуральном выражении составил 105%;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металлургическое производство – 107,85% с учетом ввода в эксплуатацию в 2016 году нового цеха по производству металлоконструкций площадью 2,4 тыс. кв</w:t>
      </w:r>
      <w:proofErr w:type="gramStart"/>
      <w:r w:rsidRPr="007F2209">
        <w:rPr>
          <w:sz w:val="28"/>
          <w:szCs w:val="28"/>
        </w:rPr>
        <w:t>.м</w:t>
      </w:r>
      <w:proofErr w:type="gramEnd"/>
      <w:r w:rsidRPr="007F2209">
        <w:rPr>
          <w:sz w:val="28"/>
          <w:szCs w:val="28"/>
        </w:rPr>
        <w:t>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готовых металлических изделий, кроме машин и оборудования – 104,75%;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прочих готовых изделий – рост в 2 раза.</w:t>
      </w:r>
    </w:p>
    <w:p w:rsidR="00843B99" w:rsidRPr="007F2209" w:rsidRDefault="00843B99" w:rsidP="000816A4">
      <w:pPr>
        <w:ind w:firstLine="709"/>
        <w:jc w:val="both"/>
      </w:pPr>
      <w:proofErr w:type="gramStart"/>
      <w:r w:rsidRPr="007F2209">
        <w:t xml:space="preserve">По итогам 2017 года ожидается замедление индексов промышленного производства, в том числе в пищевой промышленности до 106%, в судоремонтной до 107,1%, которое обеспечит рост промышленного </w:t>
      </w:r>
      <w:r w:rsidRPr="007F2209">
        <w:lastRenderedPageBreak/>
        <w:t>производства обрабатывающей промышленности по оценочным данным в размере 105,5% к 2016 году.</w:t>
      </w:r>
      <w:proofErr w:type="gramEnd"/>
    </w:p>
    <w:p w:rsidR="00843B99" w:rsidRPr="007F2209" w:rsidRDefault="00843B99" w:rsidP="000816A4">
      <w:pPr>
        <w:ind w:firstLine="709"/>
        <w:jc w:val="both"/>
      </w:pPr>
      <w:r w:rsidRPr="007F2209">
        <w:t xml:space="preserve">Индекс производства по виду деятельности «Обеспечение электрической энергией, газом и паром; кондиционирование воздуха» с учетом </w:t>
      </w:r>
      <w:proofErr w:type="spellStart"/>
      <w:r w:rsidRPr="007F2209">
        <w:t>среднеобластного</w:t>
      </w:r>
      <w:proofErr w:type="spellEnd"/>
      <w:r w:rsidRPr="007F2209">
        <w:t xml:space="preserve"> индекса-дефлятора по данному виду экономической деятельности оценочно составил 101,82%. В феврале 2017 года введена в эксплуатацию блочная комплектная трансформаторная подстанция ПАО «ГМК «Норильский Никель» по проезду Портов</w:t>
      </w:r>
      <w:r w:rsidR="00D44A8A">
        <w:t>ому</w:t>
      </w:r>
      <w:r w:rsidRPr="007F2209">
        <w:t xml:space="preserve">. Объем производства пара и горячей воды в натуральном выражении сократился до 1592,1 тыс. Гкал, составив 97,8% к уровню первого полугодия 2016 года. Отмечен значительный рост численности работников на предприятиях обеспечения электрической энергией, газом и паром, кондиционирования воздуха на 14,3% до 3963 человек по итогам первого полугодия 2017 года. </w:t>
      </w:r>
      <w:proofErr w:type="gramStart"/>
      <w:r w:rsidRPr="007F2209">
        <w:t>На конец</w:t>
      </w:r>
      <w:proofErr w:type="gramEnd"/>
      <w:r w:rsidRPr="007F2209">
        <w:t xml:space="preserve"> 2017 года с учетом ожидаемого замедления роста промышленного производства индекс промышленного производства оценочно составит 100,8%.</w:t>
      </w:r>
    </w:p>
    <w:p w:rsidR="00843B99" w:rsidRPr="007F2209" w:rsidRDefault="00843B99" w:rsidP="000816A4">
      <w:pPr>
        <w:ind w:firstLine="709"/>
        <w:jc w:val="both"/>
      </w:pPr>
      <w:r w:rsidRPr="007F2209">
        <w:t>Объем промышленного производства по виду деятельности «Водоснабжение; водоотведение, организация сбора и утилизации отходов, деятельность по ликвидации загрязнений» с учетом среднеобластных индексов-дефляторов по классам данного вида экономической деятельности оценочно составил 95,2% в связи с низким показателем по классу «Сбор, обработка и утилизация отходов; обработка вторичного сырья» (86,7%). В 2017 году по итогам трех месяцев сократился объем отпущенной воды (холодной до 93% к аналогичному периоду прошлого года, горячей до 92%) и пропущенных сточных вод (83,3%). Также отмечено снижение численности работников в сфере водоснабжения; водоотведения, организации сбора и утилизации отходов, деятельности по ликвидации загрязнений до 1951 человек</w:t>
      </w:r>
      <w:r w:rsidR="00D44A8A">
        <w:t>а</w:t>
      </w:r>
      <w:r w:rsidRPr="007F2209">
        <w:t xml:space="preserve"> (97,9% к первому полугодию 2016 года). С учетом сложившихся результатов по итогам первого полугодия к концу 2017 года индекс промышленного производства оценочно составит 96,68%.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843B99" w:rsidRPr="007F2209" w:rsidRDefault="00843B99" w:rsidP="000816A4">
      <w:pPr>
        <w:ind w:firstLine="709"/>
        <w:jc w:val="both"/>
        <w:rPr>
          <w:szCs w:val="28"/>
        </w:rPr>
      </w:pPr>
      <w:proofErr w:type="gramStart"/>
      <w:r w:rsidRPr="007F2209">
        <w:rPr>
          <w:szCs w:val="28"/>
        </w:rPr>
        <w:t>На потребительском рынке города Мурманска в первом полугодии 2017 года в условиях замедления снижения реальной заработной платы до 99,8% с 99,2% в аналогичном периоде 2016 года, снижения средневзвешенной процентной ставки по рублевым кредитам физическим лицам, которая в июне 2017 года оценивалась в 15,9%, сократившись</w:t>
      </w:r>
      <w:r w:rsidR="00D44A8A">
        <w:rPr>
          <w:szCs w:val="28"/>
        </w:rPr>
        <w:t xml:space="preserve"> с начала отчетного года на 0,1%</w:t>
      </w:r>
      <w:r w:rsidRPr="007F2209">
        <w:rPr>
          <w:szCs w:val="28"/>
        </w:rPr>
        <w:t>, отмечено заметное увеличение кредитной активности физических лиц по сравнению с</w:t>
      </w:r>
      <w:proofErr w:type="gramEnd"/>
      <w:r w:rsidRPr="007F2209">
        <w:rPr>
          <w:szCs w:val="28"/>
        </w:rPr>
        <w:t xml:space="preserve"> </w:t>
      </w:r>
      <w:proofErr w:type="gramStart"/>
      <w:r w:rsidRPr="007F2209">
        <w:rPr>
          <w:szCs w:val="28"/>
        </w:rPr>
        <w:t xml:space="preserve">аналогичным периодом 2016 года (рост выдачи на 18,0%). </w:t>
      </w:r>
      <w:proofErr w:type="gramEnd"/>
    </w:p>
    <w:p w:rsidR="00843B99" w:rsidRPr="007F2209" w:rsidRDefault="00843B99" w:rsidP="000816A4">
      <w:pPr>
        <w:ind w:firstLine="709"/>
        <w:jc w:val="both"/>
      </w:pPr>
      <w:proofErr w:type="gramStart"/>
      <w:r w:rsidRPr="007F2209">
        <w:rPr>
          <w:szCs w:val="28"/>
        </w:rPr>
        <w:t xml:space="preserve">Снижение процентных ставок по кредитам и вкладам обеспечило сокращение платы за пользование потребительским кредитом (процентная </w:t>
      </w:r>
      <w:r w:rsidRPr="007F2209">
        <w:t>ставка в стоимостном выражении) в среднем до 19619,52 руб. (84,92% к июню 2016 года), что составляет треть средней заработной платы по городу Мурманску, замедление прироста по вкладам физлиц (74,7%), общая сумма которых на 01.07.2017 составила 101,1% к первому полугодию 2016 года, и рост потребительских расходов</w:t>
      </w:r>
      <w:proofErr w:type="gramEnd"/>
      <w:r w:rsidRPr="007F2209">
        <w:t xml:space="preserve"> </w:t>
      </w:r>
      <w:proofErr w:type="gramStart"/>
      <w:r w:rsidRPr="007F2209">
        <w:t xml:space="preserve">населения (104,2%), в т.ч. платежей за товары с </w:t>
      </w:r>
      <w:r w:rsidRPr="007F2209">
        <w:lastRenderedPageBreak/>
        <w:t>использованием банковских карт за рубежом</w:t>
      </w:r>
      <w:proofErr w:type="gramEnd"/>
      <w:r w:rsidRPr="007F2209">
        <w:t xml:space="preserve"> (123,5%), доля которых в общем объеме потребительских расходов возросла с 2,5% до 3%. В целом отмечен рост количества операций с использованием платежных карт в январе-июне 2017, составивший 110,6% к аналогичному периоду предыдущего года. Их объем в стоимостном выражении составил 103,7% к первому полугодию 2016 года. При этом число транзакций и объем операций, совершенных с использований платежных карт по оплате товаров и услуг, увеличились на 14,1% и 14,4% соответственно. Количество и объем операций по получению наличных денег с использованием платежных карт, напротив, снизились на 5,1% и 2,3%.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t xml:space="preserve">Перечисленные факторы наряду со снижением индекса потребительских цен на товары и услуги до 104,9% по сравнению с аналогичным периодом 2016 года (108,1%) за счет непродовольственных товаров (до 107,3% с 111,6%) и платных услуг (до 101,9% с 108%) обусловили рост в первом полугодии </w:t>
      </w:r>
      <w:r w:rsidRPr="007F2209">
        <w:rPr>
          <w:color w:val="000000"/>
        </w:rPr>
        <w:t>в сопоставимых ценах оборота розничной торговли (104%) и общественного питания (111%)</w:t>
      </w:r>
      <w:r w:rsidRPr="007F2209">
        <w:t xml:space="preserve">. 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Общий объем платных услуг населению сократился до 9,5 млрд. рублей (92,1% в действующих ценах), в том числе коммунальных – до 3,7 млрд. рублей (85,1%), жилищных – до 235,1 млн. рублей (93,8%). Отмечено значительное сокращение в действующих ценах услуг учреждений культуры (в 3 раза), услуг почтовой </w:t>
      </w:r>
      <w:proofErr w:type="spellStart"/>
      <w:proofErr w:type="gramStart"/>
      <w:r w:rsidRPr="007F2209">
        <w:rPr>
          <w:color w:val="000000"/>
        </w:rPr>
        <w:t>c</w:t>
      </w:r>
      <w:proofErr w:type="gramEnd"/>
      <w:r w:rsidRPr="007F2209">
        <w:rPr>
          <w:color w:val="000000"/>
        </w:rPr>
        <w:t>вязи</w:t>
      </w:r>
      <w:proofErr w:type="spellEnd"/>
      <w:r w:rsidRPr="007F2209">
        <w:rPr>
          <w:color w:val="000000"/>
        </w:rPr>
        <w:t xml:space="preserve"> и курьерских услуг (в 4 раза), бытовых услуг (в 2 раза), главным образом, по техническому обслуживанию и ремонту транспортных средств, машин и оборудования (в 5 раз). Снижение отмечено по </w:t>
      </w:r>
      <w:r w:rsidRPr="007F2209">
        <w:t>услугам гостиниц и аналогичных средств размещения</w:t>
      </w:r>
      <w:r w:rsidRPr="007F2209">
        <w:rPr>
          <w:color w:val="000000"/>
        </w:rPr>
        <w:t xml:space="preserve"> (94,2%), медицинским (94,3%) и образовательным (89,4%) услугам. 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Рост платных услуг населению в действующих ценах коснулся транспортных услуг (105,8%) на фоне увеличения </w:t>
      </w:r>
      <w:r w:rsidRPr="007F2209">
        <w:t>числа перевезенных пассажиров автобусного транспорта (104,6%)</w:t>
      </w:r>
      <w:r w:rsidRPr="007F2209">
        <w:rPr>
          <w:color w:val="000000"/>
        </w:rPr>
        <w:t xml:space="preserve">, телекоммуникационных услуг (112%) с развитием электронной торговли, среди бытовых услуг - ремонта и технического обслуживания бытовой радиоэлектронной аппаратуры, бытовых машин и приборов, ремонта и изготовления металлоизделий (129%), </w:t>
      </w:r>
      <w:r w:rsidRPr="007F2209">
        <w:t>услуги бань, душевых и саун</w:t>
      </w:r>
      <w:r w:rsidRPr="007F2209">
        <w:rPr>
          <w:color w:val="000000"/>
        </w:rPr>
        <w:t xml:space="preserve"> (110,6%), ритуальных услуг (144,6%).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Сохраняется тенденция </w:t>
      </w:r>
      <w:r w:rsidRPr="007F2209">
        <w:rPr>
          <w:szCs w:val="28"/>
        </w:rPr>
        <w:t xml:space="preserve">роста обеспеченности населения торговыми площадями. С начала года за </w:t>
      </w:r>
      <w:r w:rsidRPr="007F2209">
        <w:t>счет нового строительства введена 1 тыс. кв</w:t>
      </w:r>
      <w:proofErr w:type="gramStart"/>
      <w:r w:rsidRPr="007F2209">
        <w:t>.м</w:t>
      </w:r>
      <w:proofErr w:type="gramEnd"/>
      <w:r w:rsidRPr="007F2209">
        <w:t xml:space="preserve"> торговой площади торговых предприятий (в 10 раз больше к январю-июню 2016 года), реконструировано 0,5 тыс. кв.м торговых площадей. Помимо того в результате перевода жилых помещений в нежилые открыто 2 предприятия розничной торговли общей площадью 107,8 кв</w:t>
      </w:r>
      <w:proofErr w:type="gramStart"/>
      <w:r w:rsidRPr="007F2209">
        <w:t>.м</w:t>
      </w:r>
      <w:proofErr w:type="gramEnd"/>
      <w:r w:rsidRPr="007F2209">
        <w:t>, в т.ч. торговой площадью – 73,9 кв.м. Всего в первом полугодии 2016 года введено 7 коммерческих зданий (соответствует уровню аналогичного периода прошлого года) общей площадью 3,5 тыс. кв.м (в 4,6 раза больше).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Согласно выданным разрешениям, всего до конца 2017 года в результате реконструкции и строительства ожидается ввод в строй 24 объектов потребительского рынка общей площадью 33,7 тыс. кв.м., самыми крупными из которых являются: многофункциональное здание общественного назначения по </w:t>
      </w:r>
      <w:r w:rsidRPr="007F2209">
        <w:rPr>
          <w:color w:val="000000"/>
        </w:rPr>
        <w:lastRenderedPageBreak/>
        <w:t>ул. Гвардейск</w:t>
      </w:r>
      <w:r w:rsidR="00D44A8A">
        <w:rPr>
          <w:color w:val="000000"/>
        </w:rPr>
        <w:t>ой</w:t>
      </w:r>
      <w:r w:rsidRPr="007F2209">
        <w:rPr>
          <w:color w:val="000000"/>
        </w:rPr>
        <w:t xml:space="preserve"> (10,2 тыс. кв</w:t>
      </w:r>
      <w:proofErr w:type="gramStart"/>
      <w:r w:rsidRPr="007F2209">
        <w:rPr>
          <w:color w:val="000000"/>
        </w:rPr>
        <w:t>.м</w:t>
      </w:r>
      <w:proofErr w:type="gramEnd"/>
      <w:r w:rsidRPr="007F2209">
        <w:rPr>
          <w:color w:val="000000"/>
        </w:rPr>
        <w:t>), предприятие розничной торговли по ул. </w:t>
      </w:r>
      <w:proofErr w:type="spellStart"/>
      <w:r w:rsidRPr="007F2209">
        <w:rPr>
          <w:color w:val="000000"/>
        </w:rPr>
        <w:t>Рогозерской</w:t>
      </w:r>
      <w:proofErr w:type="spellEnd"/>
      <w:r w:rsidRPr="007F2209">
        <w:rPr>
          <w:color w:val="000000"/>
        </w:rPr>
        <w:t xml:space="preserve">  (9,54 тыс. кв.м), автомобильный салон в районе дома № 130 по просп. Кольскому (2,108 тыс. кв.м), предпр</w:t>
      </w:r>
      <w:r w:rsidR="00D44A8A">
        <w:rPr>
          <w:color w:val="000000"/>
        </w:rPr>
        <w:t xml:space="preserve">иятия розничной торговли по ул. Юрия </w:t>
      </w:r>
      <w:r w:rsidRPr="007F2209">
        <w:rPr>
          <w:color w:val="000000"/>
        </w:rPr>
        <w:t>Гагарина, 33 (1,277 тыс. кв.м), по ул. Ломоносова, 11 (1,221 тыс. кв.м), по ул. Героев Рыбачьего, 40Б (1,134 тыс. кв.м).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Помимо того, до конца 2017 года ожидается два понижения ключевой </w:t>
      </w:r>
      <w:r w:rsidRPr="007F2209">
        <w:t>ставки ЦБ РФ до 8,5% и сохранение реальной заработной платы на уровне предыдущего года, что позволяет</w:t>
      </w:r>
      <w:r w:rsidRPr="007F2209">
        <w:rPr>
          <w:color w:val="000000"/>
        </w:rPr>
        <w:t xml:space="preserve"> рассчитывать на дальнейшее сохранение кредитной и, соответственно, потребительской активности населения по итогам года. По оценочным данным, индекс физического объема оборота розничной торговли по сравнению к юбилейному 2016 году снизится до 102,7%, из-за чего оборот розничной торговли по итогам года не превысит 50 млрд. рублей. Несколько замедлится рост оборота общественного питания до 106,2%, который по оценочным данным достигнет почти 1,9 млрд. рублей. С учетом результатов первого полугодия 2017 года, несмотря на открытие крупного </w:t>
      </w:r>
      <w:r w:rsidRPr="007F2209">
        <w:t xml:space="preserve">торгово-развлекательного спортивного комплекса </w:t>
      </w:r>
      <w:proofErr w:type="gramStart"/>
      <w:r w:rsidRPr="007F2209">
        <w:rPr>
          <w:szCs w:val="28"/>
        </w:rPr>
        <w:t>бизнес-класса</w:t>
      </w:r>
      <w:proofErr w:type="gramEnd"/>
      <w:r w:rsidRPr="007F2209">
        <w:t>«X-</w:t>
      </w:r>
      <w:r w:rsidRPr="007F2209">
        <w:rPr>
          <w:lang w:val="en-US"/>
        </w:rPr>
        <w:t>Fit</w:t>
      </w:r>
      <w:r w:rsidRPr="007F2209">
        <w:t>»</w:t>
      </w:r>
      <w:r w:rsidRPr="007F2209">
        <w:rPr>
          <w:color w:val="000000"/>
        </w:rPr>
        <w:t>, к концу года ожидается сохранение снижения объема платных услуг (93,99% к 2016 году) до 19 млрд. рублей.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Малое и среднее предпринимательство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В течение первого полугодия 2017 года наблюдается положительная динамика увеличения количества субъектов малого и среднего предпринимательства, общее число которых по данным Федеральной налоговой инспекции РФ достигло 16395 единиц, увеличившись с начала года  на 1216 единиц и составив 108% к 01.01.2017.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09">
        <w:rPr>
          <w:rFonts w:ascii="Times New Roman" w:hAnsi="Times New Roman"/>
          <w:sz w:val="28"/>
          <w:szCs w:val="28"/>
        </w:rPr>
        <w:t>В первом полугодии 2017 года резко возросла доля малого и среднего бизнеса в объеме выдачи кредитов юридическим лицам и индивидуальным предпринимателям в первом полугодии 2017 года к уровню 2014-2015 годов на 11,7 п.п. до 33,9%. Средневзвешенная процентная ставка по рублевым кредитам субъектам малого и среднего бизнеса в июне 2017 года при этом осталась без изменений и оценивалась в 13,2</w:t>
      </w:r>
      <w:proofErr w:type="gramEnd"/>
      <w:r w:rsidRPr="007F2209">
        <w:rPr>
          <w:rFonts w:ascii="Times New Roman" w:hAnsi="Times New Roman"/>
          <w:sz w:val="28"/>
          <w:szCs w:val="28"/>
        </w:rPr>
        <w:t xml:space="preserve">%. </w:t>
      </w:r>
      <w:proofErr w:type="gramStart"/>
      <w:r w:rsidRPr="007F2209">
        <w:rPr>
          <w:rFonts w:ascii="Times New Roman" w:hAnsi="Times New Roman"/>
          <w:sz w:val="28"/>
          <w:szCs w:val="28"/>
        </w:rPr>
        <w:t>Объем выданных кредитов индивидуальным предпринимателям возрос в 1,3 раза, доля показателя в общем объеме выданных кредитов хозяйствующим субъектам возросла</w:t>
      </w:r>
      <w:proofErr w:type="gramEnd"/>
      <w:r w:rsidRPr="007F2209">
        <w:rPr>
          <w:rFonts w:ascii="Times New Roman" w:hAnsi="Times New Roman"/>
          <w:sz w:val="28"/>
          <w:szCs w:val="28"/>
        </w:rPr>
        <w:t xml:space="preserve"> с 2% до 3,8%. Объем задолженности по выданным индивидуальным предпринимателям кредитам сократился почти на треть (70,56%). Отмечено сокращение поступления средств на счетах физлиц-предпринимателей (71,3%).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На этом фоне объем инвестиций средних предприятий города Мурманска в первом полугодии 2017 года сократился в 5 раз до 231 млн. рублей из-за снижения капиталовложений организаций рыболовства-рыбоводства в 20 раз до 7,6 млн. рублей. При этом отмечен пятикратный рост инвестиций торговых предприятий до 97,2 млн. рублей за счет оптовой торговли за исключением оптовой торговли автотранспортными средствами и мотоциклами до 84,9 млн. рублей. Число средних предприятий, осуществлявших инвестиции в 2016 году, составило 14 единиц, в т.ч. 3 рыболовных компании, 6 торговых организаций, из которых 3 предприятия оптовой торговли</w:t>
      </w:r>
      <w:r w:rsidR="00930FE5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за исключением оптовой торговли </w:t>
      </w:r>
      <w:r w:rsidRPr="007F2209">
        <w:rPr>
          <w:rFonts w:ascii="Times New Roman" w:hAnsi="Times New Roman"/>
          <w:sz w:val="28"/>
          <w:szCs w:val="28"/>
        </w:rPr>
        <w:lastRenderedPageBreak/>
        <w:t>автотранспортными средствами и мотоциклами.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По итогам первого полугодия 2017 года количество малых предприятий, включая </w:t>
      </w:r>
      <w:proofErr w:type="spellStart"/>
      <w:r w:rsidRPr="007F220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, учтённых в Едином реестре субъектов малого и среднего предпринимательства составило 9 366 единиц. При этом за данный период в Единый реестр субъектов МСП включено 407 </w:t>
      </w:r>
      <w:proofErr w:type="spellStart"/>
      <w:r w:rsidRPr="007F2209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7F2209">
        <w:rPr>
          <w:rFonts w:ascii="Times New Roman" w:hAnsi="Times New Roman"/>
          <w:sz w:val="28"/>
          <w:szCs w:val="28"/>
        </w:rPr>
        <w:t>, а предприятий, относимых к типу «малые»</w:t>
      </w:r>
      <w:r w:rsidR="000816A4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не зарегистрировано. С учетом актуализации реестра до конца 2017 года ожидается увеличение количества предприятий до 9 497 единиц.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Численность индивидуальных предпринимателей в 2017 году по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на фоне сокращения количества организаций сохранила тенденцию к росту и по итогам первого полугодия 2017 года достигла 8189 человек (103% к первому полугодию 2016 года). В Едином реестре субъектов малого и среднего предпринимательства по итогам 6 месяцев 2017 года числится 7 001 человек. При этом за период с 01.01.2017 по 01.07.2017 зарегистрировано 809 индивидуальных предпринимателей, из них количество вновь зарегистрированных составило 736 человек. До конца 2017 года ожидается сохранение роста численности предпринимателей до 7121 человека.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Количество средних предприятий в первом полугодии 2017 года по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составило 29 единиц, в Едином реестре субъектов малого и среднего предпринимательства по итогам 6 месяцев 2017 года числится 24 единицы.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09">
        <w:rPr>
          <w:rFonts w:ascii="Times New Roman" w:hAnsi="Times New Roman"/>
          <w:sz w:val="28"/>
          <w:szCs w:val="28"/>
        </w:rPr>
        <w:t>С сокращением числа организаций в 2 раза сократился оборот средних предприятий до 12,8 млрд. рублей, в т.ч. объем отгруженных товаров собственного производства, выполнено работ и услуг собственными силами до 6 млрд. рублей (63,4% к январю-июню 2015 года), доля которого в обороте возросла до 47% с 39% в аналогичном периоде 2015 года из-за увеличения показателя в 3,7 раза по средним</w:t>
      </w:r>
      <w:proofErr w:type="gramEnd"/>
      <w:r w:rsidRPr="007F22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209">
        <w:rPr>
          <w:rFonts w:ascii="Times New Roman" w:hAnsi="Times New Roman"/>
          <w:sz w:val="28"/>
          <w:szCs w:val="28"/>
        </w:rPr>
        <w:t>предприятиям в сфере транспорта до 3,3 млрд. рублей, торговли - почти на треть до 357 млн. рублей, из которых 251,6 млн</w:t>
      </w:r>
      <w:proofErr w:type="gramEnd"/>
      <w:r w:rsidRPr="007F2209">
        <w:rPr>
          <w:rFonts w:ascii="Times New Roman" w:hAnsi="Times New Roman"/>
          <w:sz w:val="28"/>
          <w:szCs w:val="28"/>
        </w:rPr>
        <w:t>. рублей - оптовая специализированная торговля, 102,2 млн. рублей - оптовая и розничная торговля автотранспортными средствами и мотоциклами и их ремонт. Объем проданных средними предприятиями товаров несобственного производства сократился более чем в 2 раза до 6,8 млрд. рублей (46,13% к январю-июню 2017 года), 99,1% которого приходится на торговые организации. Рост показателя отмечен у транспортных предприятий в 145 раз до 14,5 млн. рублей.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На фоне устойчивой тенденции снижения числа организаций, ужесточения конкуренции между торговыми предприятиями, которые составляют две трети средних организаций, с учетом пополнения Единого реестра субъектов малого и среднего предпринимательства Федеральной налоговой службой РФ по состоянию на конец года ожидается сохранение числа средних предприятий на уровне 33 единиц.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Объем инвестиций в первом полугодии 2017 года в сопоставимых ценах увеличился в 1,3 раза до 17 млрд. рублей за счет модернизации оборудования и </w:t>
      </w:r>
      <w:r w:rsidRPr="007F2209">
        <w:lastRenderedPageBreak/>
        <w:t xml:space="preserve">транспортных средств (в 1,3 раза до 11,4 млрд. рублей), зданий и сооружений, улучшения земель. В три раза сократились инвестиции в жилищное строительство до 101 млн. рублей, в 14 раз прочие инвестиции – до 2,6 млн. рублей. </w:t>
      </w:r>
      <w:proofErr w:type="gramStart"/>
      <w:r w:rsidRPr="007F2209">
        <w:t xml:space="preserve">Количество организаций, осуществлявших инвестиции в первом полугодии 2017 года снизилось на 7 единиц до 478 единиц (98,56% к аналогичному периоду предыдущего года), из них около трети – организации образования, 12% - </w:t>
      </w:r>
      <w:proofErr w:type="spellStart"/>
      <w:r w:rsidRPr="007F2209">
        <w:t>госуправления</w:t>
      </w:r>
      <w:proofErr w:type="spellEnd"/>
      <w:r w:rsidRPr="007F2209">
        <w:t>, 8,8% - торговые организации, 8% - в сфере здравоохранения и социальных услуг, 7% - в области культуры, спорта, организации досуга и развлечений, 5,4% - транспортные компании, 5,2% - организации в сфере профессиональной, научной и технической</w:t>
      </w:r>
      <w:proofErr w:type="gramEnd"/>
      <w:r w:rsidRPr="007F2209">
        <w:t xml:space="preserve"> деятельности, 4,2% - рыбопромышленные компании.</w:t>
      </w:r>
    </w:p>
    <w:p w:rsidR="00843B99" w:rsidRPr="007F2209" w:rsidRDefault="00843B99" w:rsidP="000816A4">
      <w:pPr>
        <w:ind w:firstLine="709"/>
        <w:jc w:val="both"/>
      </w:pPr>
      <w:proofErr w:type="gramStart"/>
      <w:r w:rsidRPr="007F2209">
        <w:t xml:space="preserve">Наибольший объем инвестиций приходится на сферу транспорта (48,3% общего объема инвестиций или 8,3 млрд. рублей), сбора, обработки и утилизации отходов, обработки вторичного сырья (14,6% до 2,5 млрд. рублей), деятельности головных офисов, консультирования по вопросам управления (13,6% или 2,3 млрд. рублей), рыболовства, рыбоводства (7,7% или 1,3 млрд. рублей), </w:t>
      </w:r>
      <w:proofErr w:type="spellStart"/>
      <w:r w:rsidRPr="007F2209">
        <w:t>госуправление</w:t>
      </w:r>
      <w:proofErr w:type="spellEnd"/>
      <w:r w:rsidRPr="007F2209">
        <w:t xml:space="preserve"> (3,9% или 666,5 млн. рублей).</w:t>
      </w:r>
      <w:proofErr w:type="gramEnd"/>
    </w:p>
    <w:p w:rsidR="00843B99" w:rsidRPr="007F2209" w:rsidRDefault="00843B99" w:rsidP="000816A4">
      <w:pPr>
        <w:ind w:firstLine="709"/>
        <w:jc w:val="both"/>
      </w:pPr>
      <w:r w:rsidRPr="007F2209">
        <w:t xml:space="preserve">На фоне роста объема инвестиций по основным видам экономической деятельности отмечено снижение инвестиционной активности в сфере </w:t>
      </w:r>
      <w:proofErr w:type="spellStart"/>
      <w:r w:rsidRPr="007F2209">
        <w:t>гостинично-ресторанного</w:t>
      </w:r>
      <w:proofErr w:type="spellEnd"/>
      <w:r w:rsidRPr="007F2209">
        <w:t xml:space="preserve"> бизнеса (59,1% к январю-июню 2016 года с применением индекса-дефлятора инвестиций в основной капитал по Мурманской области в целом), образования (59,9%), предоставления прочих коммунальных,  социальных и персональных услуг (69,4%).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В структуре источников инвестиций отмечается рост доли собственных средств с 33,2% в первом полугодии 2016 года до 40,3% за аналогичный период 2017 года. </w:t>
      </w:r>
      <w:proofErr w:type="gramStart"/>
      <w:r w:rsidRPr="007F2209">
        <w:t>Объем инвестиций за счет собственных средств увеличился в 1,7 раза до 6,9 млрд. рублей, в т.ч. предприятиями рыболовства, рыбоводства в 2,1 раза до 1,3 млрд. рублей, транспорта - в 1,6 раза до 4,2 млрд. рублей, привлеченных в 1,3 раза до 7,9 млрд. рублей, главным образом, за счет привлечения прочих источников (в 6,5 раз) транспортными компаниями.</w:t>
      </w:r>
      <w:proofErr w:type="gramEnd"/>
    </w:p>
    <w:p w:rsidR="00843B99" w:rsidRPr="007F2209" w:rsidRDefault="00843B99" w:rsidP="000816A4">
      <w:pPr>
        <w:ind w:firstLine="709"/>
        <w:jc w:val="both"/>
      </w:pPr>
      <w:r w:rsidRPr="007F2209">
        <w:t>Объем бюджетного финансирования инвестиций в первом полугодии 2017 года увеличился до 3,4 млрд. рублей, составив 106,3% к аналогичному периоду предыдущего года, в том числе из средств федерального бюджета – 3,1 млрд. рублей (111,3%) за счет деятельности головных офисов, консультирования по вопросам управления (2,3 млрд. рублей). Почти на треть сократились инвестиции из-за рубежа до 2,5 млрд. рублей (70,78% к январю-июню 2016 года), направленные в сферу сбора, обработки и утилизации отходов, обработки вторичного сырья.</w:t>
      </w:r>
    </w:p>
    <w:p w:rsidR="00843B99" w:rsidRPr="007F2209" w:rsidRDefault="00843B99" w:rsidP="000816A4">
      <w:pPr>
        <w:ind w:firstLine="709"/>
        <w:jc w:val="both"/>
      </w:pPr>
      <w:proofErr w:type="gramStart"/>
      <w:r w:rsidRPr="007F2209">
        <w:t xml:space="preserve">С учетом завершения в первом полугодии 2017 года строительства здания спортивно-оздоровительного комплекса (фитнес-центра) по ул. Гвардейской, частного детского сада по ул. Калинина, 42, реконструкции южной горловины железнодорожной станции Мурманск, открытия перегрузочного терминала ПАО «ГМК «Норильский никель», а также реализации масштабных проектов по модернизации портовой инфраструктуры и строительству морских транспортных средств, до конца 2017 года ожидается сохранение тенденции </w:t>
      </w:r>
      <w:r w:rsidRPr="007F2209">
        <w:lastRenderedPageBreak/>
        <w:t>роста объема инвестиций</w:t>
      </w:r>
      <w:proofErr w:type="gramEnd"/>
      <w:r w:rsidRPr="007F2209">
        <w:t xml:space="preserve"> в сопоставимых ценах на уровне 121,02% к 2016 году, главным образом, за счет собственных сре</w:t>
      </w:r>
      <w:proofErr w:type="gramStart"/>
      <w:r w:rsidRPr="007F2209">
        <w:t>дств пр</w:t>
      </w:r>
      <w:proofErr w:type="gramEnd"/>
      <w:r w:rsidRPr="007F2209">
        <w:t>едприятий рыболовства, рыбоводства и транспорта при снижении бюджетного финансирования до 95,13%.</w:t>
      </w:r>
    </w:p>
    <w:p w:rsidR="00843B99" w:rsidRPr="007F2209" w:rsidRDefault="00843B99" w:rsidP="000816A4">
      <w:pPr>
        <w:ind w:firstLine="709"/>
        <w:jc w:val="both"/>
      </w:pPr>
      <w:r w:rsidRPr="007F2209">
        <w:t>Объем работ строительного подряда в январе-июне 2017 года в действующих ценах увеличился до 560,3 млн. рублей (144,1%). За 1 полугодие 2017 года введено 20 зданий (74.1% к январю-июню 2016 года) общей площадью около 13 тыс. кв</w:t>
      </w:r>
      <w:proofErr w:type="gramStart"/>
      <w:r w:rsidRPr="007F2209">
        <w:t>.м</w:t>
      </w:r>
      <w:proofErr w:type="gramEnd"/>
      <w:r w:rsidRPr="007F2209">
        <w:t xml:space="preserve"> (в 1,2 раза больше), в т.ч. 8 жилых домов (в 2 раза больше) общей площадью жилья 4,9 тыс. кв.м (в 8,1 раза больше), 7 коммерческих зданий (соответствует уровню аналогичного периода прошлого года) общей площадью 3,5 тыс. кв.м (в 4,6 раза больше) и 1 административное здание (100% к январю-июню 2016 года) площадью 923 кв</w:t>
      </w:r>
      <w:proofErr w:type="gramStart"/>
      <w:r w:rsidRPr="007F2209">
        <w:t>.м</w:t>
      </w:r>
      <w:proofErr w:type="gramEnd"/>
      <w:r w:rsidRPr="007F2209">
        <w:t xml:space="preserve"> (в 2,2 раза больше). За счет нового строительства введено 0,8 тыс. кв</w:t>
      </w:r>
      <w:proofErr w:type="gramStart"/>
      <w:r w:rsidRPr="007F2209">
        <w:t>.м</w:t>
      </w:r>
      <w:proofErr w:type="gramEnd"/>
      <w:r w:rsidRPr="007F2209">
        <w:t xml:space="preserve"> складской площади (53,3% к январю-июню 2016 года), 1 тыс. кв.м торговой площади торговых предприятий (в 10 раз больше), реконструировано 0,5 тыс. кв.м торговых площадей.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Наиболее крупными объектами строительства в 2017 году являются 14-этажный жилой дом с многофункциональным комплексом «Молодежный» по проспекту Кольский, многоквартирный жилой дом по ул. Туристов, 28, здание Мурманского областного драматического театра, многофункциональный комплекс по ул. </w:t>
      </w:r>
      <w:proofErr w:type="spellStart"/>
      <w:r w:rsidRPr="007F2209">
        <w:t>Рогозерской</w:t>
      </w:r>
      <w:proofErr w:type="spellEnd"/>
      <w:r w:rsidRPr="007F2209">
        <w:t>, зона отдыха на Семеновском озере, объект благоустройства «Детский город</w:t>
      </w:r>
      <w:r w:rsidR="00930FE5">
        <w:t>ок» на пр. Героев-с</w:t>
      </w:r>
      <w:r w:rsidRPr="007F2209">
        <w:t>евероморцев, здание гарнизонного дома офицеров, реконструируемое для областного кукольного театра. Продолжаются капитальный ремонт объектов культурного наследия, многоквартирных домов, работы по обновлению кровли и фасадов при участии Фонда капитального ремонта общего имущества в многоквартирных домах в Мурманской области, ремонт дорог, лестниц и дворовых территорий в рамках муниципальных программ.</w:t>
      </w:r>
    </w:p>
    <w:p w:rsidR="00843B99" w:rsidRPr="007F2209" w:rsidRDefault="00843B99" w:rsidP="000816A4">
      <w:pPr>
        <w:ind w:firstLine="709"/>
        <w:jc w:val="both"/>
      </w:pPr>
      <w:r w:rsidRPr="007F2209">
        <w:t>С учетом оживления строительной деятельности в городе на фоне снижения в 2015-2016 годах по итогам 2017 года ожидается сохранение роста объема выполненных работ по виду деятельности «Строительство» в сопоставимых ценах до 158,2% к 2016 году.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Сальдированный финансовый результат (прибыль, убыток) деятельности крупных и средних предприятий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Снижение в январе-мае 2017 года сальдированного финансового результата деятельности организаций до 14,2 млрд. рублей (92,1% к январю-маю 2016 года) обусловлено снижением прибыли транспортных предприятий (82,5%). Рост прибыли и сальдированного результата сохраняется в сфере рыболовства, рыбоводства (115,7% и 124,3% соответственно), деятельности по операциям с недвижимым имуществом (181,6% и 150,8%), образования (183,2% и 210%). Отсутствуют убыточные организации в строительстве, где отмечен рост прибыли и сальдированного результата в 10,4 раза, в области здравоохранения и социальных услуг - в 1,6 раза, культуры, спорта, организации досуга и развлечений – в 1,3 раза. </w:t>
      </w:r>
    </w:p>
    <w:p w:rsidR="00843B99" w:rsidRPr="007F2209" w:rsidRDefault="00843B99" w:rsidP="000816A4">
      <w:pPr>
        <w:ind w:firstLine="709"/>
        <w:jc w:val="both"/>
      </w:pPr>
      <w:r w:rsidRPr="007F2209">
        <w:lastRenderedPageBreak/>
        <w:t xml:space="preserve">Отрицательный финансовый результат деятельности по итогам отчетного периода сложился у организаций профессиональной, научной и технической деятельности, две трети которых остались убыточными по сравнению с аналогичным периодом предыдущего года, в результате снижения прибыли в 5 раз и убытков в 2 раза. Отрицательный финансовый результат деятельности в организациях обрабатывающей промышленности, половина которых остались убыточными, и </w:t>
      </w:r>
      <w:proofErr w:type="spellStart"/>
      <w:r w:rsidRPr="007F2209">
        <w:t>гостинично-ресторанного</w:t>
      </w:r>
      <w:proofErr w:type="spellEnd"/>
      <w:r w:rsidRPr="007F2209">
        <w:t xml:space="preserve"> бизнеса, где две трети прибыльных предприятий стали убыточными </w:t>
      </w:r>
      <w:r w:rsidRPr="007F2209">
        <w:rPr>
          <w:color w:val="000000"/>
        </w:rPr>
        <w:t>на фоне сокращения стоимости проживания в гостинице до 1750,2 рублей сутки с человека (97,7%)</w:t>
      </w:r>
      <w:r w:rsidRPr="007F2209">
        <w:t>, сформировался в результате роста убытков на 20% и в 90,5 раз соответственно. С ростом затрат на производство значительный рост убытков отмечен в сфере обеспечения электрической энергией, газом и паром (в 99,2 раза) и водоснабжения, водоотведения, организации сбора и утилизации отходов, деятельности по ликвидации загрязнений (в 1093,8 раз). В целом доля убыточных организаций возросла на 1%.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С учетом </w:t>
      </w:r>
      <w:proofErr w:type="gramStart"/>
      <w:r w:rsidRPr="007F2209">
        <w:t>замедления роста финансовых результатов деятельности предприятий транспорта</w:t>
      </w:r>
      <w:proofErr w:type="gramEnd"/>
      <w:r w:rsidRPr="007F2209">
        <w:t xml:space="preserve"> и рыболовства, рыбоводства, низких показателей деятельности торговых организаций, высокой убыточности в сфере профессиональной, научной и технической деятельности, на фоне сохранения стабильной успешной работы предприятий по обеспечению электрической энергией, газом и паром; кондиционированию воздуха, водоснабжению; </w:t>
      </w:r>
      <w:proofErr w:type="gramStart"/>
      <w:r w:rsidRPr="007F2209">
        <w:t>водоотведению, организации сбора и утилизации отходов, ликвидации загрязнений до конца года ожидается заметное снижение сальдированного финансового результата к 2015 году более чем на треть до 31046,02 млн. рублей.</w:t>
      </w:r>
      <w:proofErr w:type="gramEnd"/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Труд и занятость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Сложившаяся в городе Мурманске демографическая ситуация характеризуется, в частности, сокращением численности трудоспособного населения. Несмотря на присоединение в 2015 году к городу Мурманску п.г.т. </w:t>
      </w:r>
      <w:proofErr w:type="spellStart"/>
      <w:r w:rsidRPr="007F2209">
        <w:rPr>
          <w:szCs w:val="24"/>
        </w:rPr>
        <w:t>Росляково</w:t>
      </w:r>
      <w:proofErr w:type="spellEnd"/>
      <w:r w:rsidRPr="007F2209">
        <w:rPr>
          <w:szCs w:val="24"/>
        </w:rPr>
        <w:t xml:space="preserve">, в 2016 году был отмечен возврат к отрицательной динамике данного показателя - численность населения указанной категории сократилась на 3,7 тыс. человек или на 2,8% к 2015 году и составила 177,70 тыс. человек.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В 2017 году ожидается сохранение отрицательной динамики – среднегодовое значение численности населения в трудоспособном возрасте предположительно составит 174,11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При этом в первом полугодии текущего года отмечено увеличение по сравнению с аналогичным периодом 2016 года численности работников организаций города Мурманска (без субъектов малого предпринимательства) на 4,4% до 89,97 тыс. человек. Тем не менее, к концу 2017 года ожидается сокращение численности работников организаций до 89,41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На фоне </w:t>
      </w:r>
      <w:proofErr w:type="gramStart"/>
      <w:r w:rsidRPr="007F2209">
        <w:rPr>
          <w:szCs w:val="24"/>
        </w:rPr>
        <w:t>сокращения численности работников организаций города Мурманска</w:t>
      </w:r>
      <w:proofErr w:type="gramEnd"/>
      <w:r w:rsidRPr="007F2209">
        <w:rPr>
          <w:szCs w:val="24"/>
        </w:rPr>
        <w:t xml:space="preserve"> ожидается рост среднемесячной номинальной начисленной заработной платы. В первом полугодии текущего года ее рост составил 4,6% к соответствующему периоду 2016 года.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lastRenderedPageBreak/>
        <w:t xml:space="preserve">В 2017 году благодаря постепенному оздоровлению экономики города Мурманска ожидается увеличение среднемесячной заработной </w:t>
      </w:r>
      <w:proofErr w:type="gramStart"/>
      <w:r w:rsidRPr="007F2209">
        <w:rPr>
          <w:szCs w:val="24"/>
        </w:rPr>
        <w:t>платы</w:t>
      </w:r>
      <w:proofErr w:type="gramEnd"/>
      <w:r w:rsidRPr="007F2209">
        <w:rPr>
          <w:szCs w:val="24"/>
        </w:rPr>
        <w:t xml:space="preserve"> как в номинальном, так и в реальном выражении – до 60838 рублей и 58051 рубл</w:t>
      </w:r>
      <w:r w:rsidR="00CA083A">
        <w:rPr>
          <w:szCs w:val="24"/>
        </w:rPr>
        <w:t>я</w:t>
      </w:r>
      <w:r w:rsidRPr="007F2209">
        <w:rPr>
          <w:szCs w:val="24"/>
        </w:rPr>
        <w:t xml:space="preserve"> соответственно.</w:t>
      </w:r>
    </w:p>
    <w:p w:rsidR="00843B9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Численность безработных, зарегистрированных в службах занятости, по итогам первого полугодия 2017 года составила 1,40 тыс. человек, снизившись на 15,7% к аналогичному периоду предыдущего года. К концу текущего года ожидается увеличение численности безработных, зарегистрированных в службах занятости населения, до 1,61 человек.</w:t>
      </w:r>
    </w:p>
    <w:p w:rsidR="00843B99" w:rsidRDefault="00843B99" w:rsidP="00843B99">
      <w:pPr>
        <w:ind w:firstLine="709"/>
        <w:jc w:val="both"/>
        <w:rPr>
          <w:szCs w:val="24"/>
        </w:rPr>
      </w:pPr>
    </w:p>
    <w:p w:rsidR="00843B99" w:rsidRPr="007F2209" w:rsidRDefault="00843B99" w:rsidP="00843B99">
      <w:pPr>
        <w:ind w:firstLine="709"/>
        <w:jc w:val="both"/>
        <w:rPr>
          <w:szCs w:val="24"/>
        </w:rPr>
      </w:pPr>
    </w:p>
    <w:p w:rsidR="00843B99" w:rsidRPr="00F65988" w:rsidRDefault="00843B99" w:rsidP="00843B99">
      <w:pPr>
        <w:jc w:val="center"/>
        <w:rPr>
          <w:szCs w:val="28"/>
        </w:rPr>
      </w:pPr>
      <w:r w:rsidRPr="0059431C">
        <w:rPr>
          <w:szCs w:val="28"/>
        </w:rPr>
        <w:t>____________________</w:t>
      </w:r>
    </w:p>
    <w:p w:rsidR="00843B99" w:rsidRPr="00165C07" w:rsidRDefault="00843B99" w:rsidP="00843B99">
      <w:pPr>
        <w:widowControl w:val="0"/>
        <w:jc w:val="center"/>
        <w:outlineLvl w:val="0"/>
        <w:rPr>
          <w:szCs w:val="28"/>
        </w:rPr>
      </w:pPr>
    </w:p>
    <w:p w:rsidR="001F4748" w:rsidRPr="00165C07" w:rsidRDefault="001F4748" w:rsidP="009853A0">
      <w:pPr>
        <w:widowControl w:val="0"/>
        <w:jc w:val="center"/>
        <w:outlineLvl w:val="0"/>
        <w:rPr>
          <w:szCs w:val="28"/>
        </w:rPr>
      </w:pPr>
    </w:p>
    <w:sectPr w:rsidR="001F4748" w:rsidRPr="00165C07" w:rsidSect="00502F25">
      <w:headerReference w:type="default" r:id="rId20"/>
      <w:headerReference w:type="first" r:id="rId21"/>
      <w:pgSz w:w="11906" w:h="16838"/>
      <w:pgMar w:top="1134" w:right="851" w:bottom="993" w:left="1418" w:header="709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84" w:rsidRDefault="00026B84" w:rsidP="006468DF">
      <w:r>
        <w:separator/>
      </w:r>
    </w:p>
  </w:endnote>
  <w:endnote w:type="continuationSeparator" w:id="1">
    <w:p w:rsidR="00026B84" w:rsidRDefault="00026B84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7D5B07" w:rsidP="00CA4568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03810" w:rsidRDefault="00203810" w:rsidP="00CA456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7D5B07" w:rsidP="00CA4568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26B84" w:rsidRDefault="00026B84" w:rsidP="00CA456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84" w:rsidRDefault="00026B84" w:rsidP="006468DF">
      <w:r>
        <w:separator/>
      </w:r>
    </w:p>
  </w:footnote>
  <w:footnote w:type="continuationSeparator" w:id="1">
    <w:p w:rsidR="00026B84" w:rsidRDefault="00026B84" w:rsidP="006468DF">
      <w:r>
        <w:continuationSeparator/>
      </w:r>
    </w:p>
  </w:footnote>
  <w:footnote w:id="2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Здесь и далее по сноске оценочные данные.</w:t>
      </w:r>
    </w:p>
  </w:footnote>
  <w:footnote w:id="3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1-й вариант – базовый.</w:t>
      </w:r>
    </w:p>
  </w:footnote>
  <w:footnote w:id="4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2-й вариант – целевой.</w:t>
      </w:r>
    </w:p>
  </w:footnote>
  <w:footnote w:id="5">
    <w:p w:rsidR="00026B84" w:rsidRDefault="00026B84" w:rsidP="00843B99">
      <w:pPr>
        <w:pStyle w:val="ae"/>
      </w:pPr>
      <w:r>
        <w:rPr>
          <w:rStyle w:val="af0"/>
        </w:rPr>
        <w:footnoteRef/>
      </w:r>
      <w:proofErr w:type="gramStart"/>
      <w:r>
        <w:t xml:space="preserve">Отчётные данные по видам деятельности </w:t>
      </w:r>
      <w:r w:rsidRPr="00330845">
        <w:rPr>
          <w:rFonts w:eastAsia="Arial Unicode MS"/>
          <w:color w:val="000000"/>
          <w:sz w:val="22"/>
        </w:rPr>
        <w:t>D</w:t>
      </w:r>
      <w:r w:rsidRPr="00FC3AE2">
        <w:rPr>
          <w:rFonts w:eastAsia="Arial Unicode MS"/>
          <w:color w:val="000000"/>
          <w:sz w:val="22"/>
        </w:rPr>
        <w:t xml:space="preserve">, </w:t>
      </w:r>
      <w:r w:rsidRPr="00330845">
        <w:rPr>
          <w:rFonts w:eastAsia="Arial Unicode MS"/>
          <w:color w:val="000000"/>
          <w:sz w:val="22"/>
        </w:rPr>
        <w:t>E</w:t>
      </w:r>
      <w:r>
        <w:t xml:space="preserve"> в соответствии с введённым в действие с 2017 года ОКВЭД отсутствуют.</w:t>
      </w:r>
      <w:proofErr w:type="gramEnd"/>
    </w:p>
  </w:footnote>
  <w:footnote w:id="6">
    <w:p w:rsidR="00026B84" w:rsidRDefault="00026B84" w:rsidP="00843B99">
      <w:pPr>
        <w:pStyle w:val="ae"/>
        <w:jc w:val="both"/>
      </w:pPr>
      <w:r>
        <w:rPr>
          <w:rStyle w:val="af0"/>
        </w:rPr>
        <w:footnoteRef/>
      </w:r>
      <w:proofErr w:type="gramStart"/>
      <w:r>
        <w:t xml:space="preserve">Отчётные данные за 2015 год приведены по данным </w:t>
      </w:r>
      <w:proofErr w:type="spellStart"/>
      <w:r>
        <w:t>Мурманскстата</w:t>
      </w:r>
      <w:proofErr w:type="spellEnd"/>
      <w:r>
        <w:t xml:space="preserve">, за 2016 год - по данным Единого реестра субъектов малого и среднего предпринимательства Федеральной налоговой службы РФ в соответствии с Федеральным законом от 29.12.2015 № 408-ФЗ «О внесении изменений в отдельные законодательные акты Российской Федерации», методическими рекомендациями </w:t>
      </w:r>
      <w:r w:rsidRPr="00C9354E">
        <w:t>по разработке основных показателей прогноза социально-экономического развития муниципального образования Мурманской области</w:t>
      </w:r>
      <w:r>
        <w:t>.</w:t>
      </w:r>
      <w:proofErr w:type="gramEnd"/>
    </w:p>
  </w:footnote>
  <w:footnote w:id="7">
    <w:p w:rsidR="00026B84" w:rsidRDefault="00026B84" w:rsidP="00843B99">
      <w:pPr>
        <w:pStyle w:val="ae"/>
      </w:pPr>
      <w:r>
        <w:rPr>
          <w:rStyle w:val="af0"/>
        </w:rPr>
        <w:footnoteRef/>
      </w:r>
      <w:r>
        <w:rPr>
          <w:szCs w:val="28"/>
        </w:rPr>
        <w:t xml:space="preserve">доставка блюд на дом, в офисы, организация </w:t>
      </w:r>
      <w:r w:rsidRPr="00DD6F99">
        <w:rPr>
          <w:szCs w:val="28"/>
        </w:rPr>
        <w:t>выездн</w:t>
      </w:r>
      <w:r>
        <w:rPr>
          <w:szCs w:val="28"/>
        </w:rPr>
        <w:t>ых банкетов, фуршетов, барбекю.</w:t>
      </w:r>
    </w:p>
  </w:footnote>
  <w:footnote w:id="8">
    <w:p w:rsidR="00026B84" w:rsidRDefault="00026B84" w:rsidP="00A22AE9">
      <w:pPr>
        <w:pStyle w:val="ae"/>
        <w:jc w:val="both"/>
      </w:pPr>
      <w:r>
        <w:rPr>
          <w:rStyle w:val="af0"/>
        </w:rPr>
        <w:footnoteRef/>
      </w:r>
      <w:r>
        <w:t xml:space="preserve"> Единый реестр субъектов малого и среднего предпринимательства </w:t>
      </w:r>
      <w:r w:rsidRPr="007547FF">
        <w:t>(</w:t>
      </w:r>
      <w:hyperlink r:id="rId1" w:history="1">
        <w:r w:rsidRPr="007547FF">
          <w:t>https://rmsp.nalog.ru/search.html</w:t>
        </w:r>
      </w:hyperlink>
      <w:r w:rsidRPr="007547FF">
        <w:t xml:space="preserve">) </w:t>
      </w:r>
      <w:r>
        <w:t xml:space="preserve">создан и ведется Федеральной налоговой службой РФ с 01.08.2016 в соответствии с Федеральным законом от 29.12.2015 № 408-ФЗ «О внесении изменений в отдельные законодательные акты Российской Федерации» для учета субъектов малого и среднего предпринимательства. В этой связи </w:t>
      </w:r>
      <w:r w:rsidRPr="00F034F8">
        <w:t>отчетные данные за 2016 год и на плановый период приведены в соответствии с указанным реестром.</w:t>
      </w:r>
    </w:p>
  </w:footnote>
  <w:footnote w:id="9">
    <w:p w:rsidR="00026B84" w:rsidRPr="00B757D3" w:rsidRDefault="00026B84" w:rsidP="00843B99">
      <w:pPr>
        <w:rPr>
          <w:sz w:val="22"/>
          <w:szCs w:val="22"/>
        </w:rPr>
      </w:pPr>
      <w:r>
        <w:rPr>
          <w:rStyle w:val="af0"/>
        </w:rPr>
        <w:footnoteRef/>
      </w:r>
      <w:r w:rsidRPr="00B757D3">
        <w:rPr>
          <w:sz w:val="22"/>
          <w:szCs w:val="22"/>
        </w:rPr>
        <w:t>Реконструкция объектов муниципальных дошкольных образовательных учреждений г. Мурманска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объектов муниципальных спортивных школ г. Мурманска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областных учреждений культуры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здания Ледового дворца в г. Мурманске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здания плавательного бассейна по ул. Челюск</w:t>
      </w:r>
      <w:r>
        <w:rPr>
          <w:sz w:val="22"/>
          <w:szCs w:val="22"/>
        </w:rPr>
        <w:t xml:space="preserve">инцев, </w:t>
      </w:r>
      <w:r w:rsidRPr="00B757D3">
        <w:rPr>
          <w:sz w:val="22"/>
          <w:szCs w:val="22"/>
        </w:rPr>
        <w:t>2 в г. Мурманске</w:t>
      </w:r>
      <w:r>
        <w:rPr>
          <w:sz w:val="22"/>
          <w:szCs w:val="22"/>
        </w:rPr>
        <w:t>.</w:t>
      </w:r>
    </w:p>
    <w:p w:rsidR="00026B84" w:rsidRDefault="00026B84" w:rsidP="00843B99">
      <w:pPr>
        <w:pStyle w:val="ae"/>
      </w:pPr>
    </w:p>
  </w:footnote>
  <w:footnote w:id="10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По данным Единого реестра субъектов малого и среднего предпринимательства Федеральной налоговой службы РФ.</w:t>
      </w:r>
    </w:p>
  </w:footnote>
  <w:footnote w:id="11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Отчетные данные за январь-май соответствующего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7D5B07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03810" w:rsidRDefault="002038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7D5B07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50DE0">
      <w:rPr>
        <w:rStyle w:val="af5"/>
        <w:noProof/>
      </w:rPr>
      <w:t>2</w:t>
    </w:r>
    <w:r>
      <w:rPr>
        <w:rStyle w:val="af5"/>
      </w:rPr>
      <w:fldChar w:fldCharType="end"/>
    </w:r>
  </w:p>
  <w:p w:rsidR="00203810" w:rsidRDefault="002038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7D5B07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26B84" w:rsidRDefault="00026B8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7D5B07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50DE0">
      <w:rPr>
        <w:rStyle w:val="af5"/>
        <w:noProof/>
      </w:rPr>
      <w:t>6</w:t>
    </w:r>
    <w:r>
      <w:rPr>
        <w:rStyle w:val="af5"/>
      </w:rPr>
      <w:fldChar w:fldCharType="end"/>
    </w:r>
  </w:p>
  <w:p w:rsidR="00026B84" w:rsidRDefault="00026B84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7D5B07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38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Pr="00F67951" w:rsidRDefault="00026B84" w:rsidP="00F67951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7D5B07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41</w:t>
    </w:r>
    <w:r>
      <w:rPr>
        <w:noProof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Pr="00ED3C00" w:rsidRDefault="007D5B07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51</w:t>
    </w:r>
    <w:r>
      <w:rPr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026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85CFF"/>
    <w:multiLevelType w:val="hybridMultilevel"/>
    <w:tmpl w:val="ECCA9652"/>
    <w:lvl w:ilvl="0" w:tplc="BBE6E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A6F65"/>
    <w:multiLevelType w:val="hybridMultilevel"/>
    <w:tmpl w:val="ABF45DE8"/>
    <w:lvl w:ilvl="0" w:tplc="D68C6C0C">
      <w:start w:val="1"/>
      <w:numFmt w:val="bullet"/>
      <w:lvlText w:val="–"/>
      <w:lvlJc w:val="left"/>
      <w:pPr>
        <w:ind w:left="75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E0692A"/>
    <w:multiLevelType w:val="hybridMultilevel"/>
    <w:tmpl w:val="7D5E12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2892"/>
    <w:multiLevelType w:val="hybridMultilevel"/>
    <w:tmpl w:val="4A6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F2192"/>
    <w:multiLevelType w:val="hybridMultilevel"/>
    <w:tmpl w:val="6056466C"/>
    <w:lvl w:ilvl="0" w:tplc="4126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"/>
  </w:num>
  <w:num w:numId="5">
    <w:abstractNumId w:val="28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7"/>
  </w:num>
  <w:num w:numId="11">
    <w:abstractNumId w:val="32"/>
  </w:num>
  <w:num w:numId="12">
    <w:abstractNumId w:val="31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33"/>
  </w:num>
  <w:num w:numId="19">
    <w:abstractNumId w:val="29"/>
  </w:num>
  <w:num w:numId="20">
    <w:abstractNumId w:val="8"/>
  </w:num>
  <w:num w:numId="21">
    <w:abstractNumId w:val="20"/>
  </w:num>
  <w:num w:numId="22">
    <w:abstractNumId w:val="23"/>
  </w:num>
  <w:num w:numId="23">
    <w:abstractNumId w:val="24"/>
  </w:num>
  <w:num w:numId="24">
    <w:abstractNumId w:val="17"/>
  </w:num>
  <w:num w:numId="25">
    <w:abstractNumId w:val="5"/>
  </w:num>
  <w:num w:numId="26">
    <w:abstractNumId w:val="11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4"/>
  </w:num>
  <w:num w:numId="32">
    <w:abstractNumId w:val="14"/>
  </w:num>
  <w:num w:numId="33">
    <w:abstractNumId w:val="1"/>
  </w:num>
  <w:num w:numId="34">
    <w:abstractNumId w:val="16"/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37843"/>
    <w:rsid w:val="00000E52"/>
    <w:rsid w:val="000018A8"/>
    <w:rsid w:val="00002C43"/>
    <w:rsid w:val="00003A18"/>
    <w:rsid w:val="000046C5"/>
    <w:rsid w:val="000078DE"/>
    <w:rsid w:val="00010459"/>
    <w:rsid w:val="0001068C"/>
    <w:rsid w:val="00010BB7"/>
    <w:rsid w:val="00013C43"/>
    <w:rsid w:val="000140F8"/>
    <w:rsid w:val="0001465B"/>
    <w:rsid w:val="00014857"/>
    <w:rsid w:val="000148D4"/>
    <w:rsid w:val="00014C73"/>
    <w:rsid w:val="000155D0"/>
    <w:rsid w:val="00015A63"/>
    <w:rsid w:val="00015E27"/>
    <w:rsid w:val="00016110"/>
    <w:rsid w:val="000163DA"/>
    <w:rsid w:val="00016C6A"/>
    <w:rsid w:val="00017012"/>
    <w:rsid w:val="00017469"/>
    <w:rsid w:val="000202EF"/>
    <w:rsid w:val="0002215E"/>
    <w:rsid w:val="0002414A"/>
    <w:rsid w:val="00025BDF"/>
    <w:rsid w:val="00026B84"/>
    <w:rsid w:val="00027D11"/>
    <w:rsid w:val="00032037"/>
    <w:rsid w:val="00034BA2"/>
    <w:rsid w:val="0003718F"/>
    <w:rsid w:val="00041CA1"/>
    <w:rsid w:val="0004426F"/>
    <w:rsid w:val="00044E88"/>
    <w:rsid w:val="000516C1"/>
    <w:rsid w:val="00053478"/>
    <w:rsid w:val="00053B70"/>
    <w:rsid w:val="0005461E"/>
    <w:rsid w:val="00055458"/>
    <w:rsid w:val="00055A0E"/>
    <w:rsid w:val="0005714B"/>
    <w:rsid w:val="00057E9C"/>
    <w:rsid w:val="00060032"/>
    <w:rsid w:val="00060521"/>
    <w:rsid w:val="0006187B"/>
    <w:rsid w:val="00061C6F"/>
    <w:rsid w:val="00062172"/>
    <w:rsid w:val="00062321"/>
    <w:rsid w:val="000634DD"/>
    <w:rsid w:val="000636F8"/>
    <w:rsid w:val="00063813"/>
    <w:rsid w:val="000652E8"/>
    <w:rsid w:val="00065817"/>
    <w:rsid w:val="00066573"/>
    <w:rsid w:val="00066F16"/>
    <w:rsid w:val="00067149"/>
    <w:rsid w:val="000677E9"/>
    <w:rsid w:val="00067EFC"/>
    <w:rsid w:val="00071A36"/>
    <w:rsid w:val="00071AB9"/>
    <w:rsid w:val="00072875"/>
    <w:rsid w:val="00073760"/>
    <w:rsid w:val="00074A48"/>
    <w:rsid w:val="00074E88"/>
    <w:rsid w:val="0007522D"/>
    <w:rsid w:val="00075388"/>
    <w:rsid w:val="000761B4"/>
    <w:rsid w:val="00076A61"/>
    <w:rsid w:val="00076C6E"/>
    <w:rsid w:val="00080A80"/>
    <w:rsid w:val="000816A4"/>
    <w:rsid w:val="0008382E"/>
    <w:rsid w:val="000924EC"/>
    <w:rsid w:val="000950E1"/>
    <w:rsid w:val="00096D91"/>
    <w:rsid w:val="00096E2C"/>
    <w:rsid w:val="00096F8D"/>
    <w:rsid w:val="00097681"/>
    <w:rsid w:val="00097D84"/>
    <w:rsid w:val="000A1239"/>
    <w:rsid w:val="000A1D6D"/>
    <w:rsid w:val="000A2B97"/>
    <w:rsid w:val="000A487D"/>
    <w:rsid w:val="000A4B14"/>
    <w:rsid w:val="000A6207"/>
    <w:rsid w:val="000A7F04"/>
    <w:rsid w:val="000B05AC"/>
    <w:rsid w:val="000B1838"/>
    <w:rsid w:val="000B2647"/>
    <w:rsid w:val="000B3322"/>
    <w:rsid w:val="000B3E56"/>
    <w:rsid w:val="000B5426"/>
    <w:rsid w:val="000B593A"/>
    <w:rsid w:val="000B685D"/>
    <w:rsid w:val="000B755C"/>
    <w:rsid w:val="000C05F9"/>
    <w:rsid w:val="000C08B8"/>
    <w:rsid w:val="000C2E3A"/>
    <w:rsid w:val="000C3C94"/>
    <w:rsid w:val="000C7EB8"/>
    <w:rsid w:val="000D0291"/>
    <w:rsid w:val="000D02B4"/>
    <w:rsid w:val="000D3D04"/>
    <w:rsid w:val="000D6F3B"/>
    <w:rsid w:val="000D7F66"/>
    <w:rsid w:val="000E10FF"/>
    <w:rsid w:val="000E1237"/>
    <w:rsid w:val="000E3A00"/>
    <w:rsid w:val="000F17B8"/>
    <w:rsid w:val="000F242A"/>
    <w:rsid w:val="000F4145"/>
    <w:rsid w:val="000F45EE"/>
    <w:rsid w:val="000F4C9E"/>
    <w:rsid w:val="000F6759"/>
    <w:rsid w:val="00100AF8"/>
    <w:rsid w:val="0010189A"/>
    <w:rsid w:val="00102B59"/>
    <w:rsid w:val="001057D1"/>
    <w:rsid w:val="00105C49"/>
    <w:rsid w:val="00105EF3"/>
    <w:rsid w:val="0011023D"/>
    <w:rsid w:val="0011146B"/>
    <w:rsid w:val="001116FF"/>
    <w:rsid w:val="00112323"/>
    <w:rsid w:val="00113F93"/>
    <w:rsid w:val="00114B57"/>
    <w:rsid w:val="00114C8E"/>
    <w:rsid w:val="001151EF"/>
    <w:rsid w:val="00115385"/>
    <w:rsid w:val="00115657"/>
    <w:rsid w:val="001208D9"/>
    <w:rsid w:val="00120B70"/>
    <w:rsid w:val="0012273B"/>
    <w:rsid w:val="0012280C"/>
    <w:rsid w:val="00122EBC"/>
    <w:rsid w:val="00123695"/>
    <w:rsid w:val="0012533A"/>
    <w:rsid w:val="00125839"/>
    <w:rsid w:val="001306E7"/>
    <w:rsid w:val="00135D81"/>
    <w:rsid w:val="0013668F"/>
    <w:rsid w:val="001405C5"/>
    <w:rsid w:val="00140BFC"/>
    <w:rsid w:val="00140D0A"/>
    <w:rsid w:val="00142C9C"/>
    <w:rsid w:val="0014436D"/>
    <w:rsid w:val="00144AE0"/>
    <w:rsid w:val="00146BC9"/>
    <w:rsid w:val="001476B7"/>
    <w:rsid w:val="00150795"/>
    <w:rsid w:val="00155012"/>
    <w:rsid w:val="00156699"/>
    <w:rsid w:val="00156790"/>
    <w:rsid w:val="00156857"/>
    <w:rsid w:val="00160C70"/>
    <w:rsid w:val="00160D66"/>
    <w:rsid w:val="00161AE5"/>
    <w:rsid w:val="0016219F"/>
    <w:rsid w:val="00163FD4"/>
    <w:rsid w:val="001642CD"/>
    <w:rsid w:val="0016500F"/>
    <w:rsid w:val="00165C07"/>
    <w:rsid w:val="001664EC"/>
    <w:rsid w:val="00167992"/>
    <w:rsid w:val="00167D37"/>
    <w:rsid w:val="00170CAA"/>
    <w:rsid w:val="00171741"/>
    <w:rsid w:val="001718A8"/>
    <w:rsid w:val="00174C94"/>
    <w:rsid w:val="00175BD7"/>
    <w:rsid w:val="00175C5F"/>
    <w:rsid w:val="00176A7B"/>
    <w:rsid w:val="00181695"/>
    <w:rsid w:val="00183072"/>
    <w:rsid w:val="001831C4"/>
    <w:rsid w:val="00183448"/>
    <w:rsid w:val="00184077"/>
    <w:rsid w:val="001848E4"/>
    <w:rsid w:val="00186107"/>
    <w:rsid w:val="001867EB"/>
    <w:rsid w:val="00191E77"/>
    <w:rsid w:val="00192075"/>
    <w:rsid w:val="00193A0B"/>
    <w:rsid w:val="00193D77"/>
    <w:rsid w:val="001948BB"/>
    <w:rsid w:val="00196444"/>
    <w:rsid w:val="00196561"/>
    <w:rsid w:val="001976ED"/>
    <w:rsid w:val="00197CA9"/>
    <w:rsid w:val="001A0C21"/>
    <w:rsid w:val="001A213D"/>
    <w:rsid w:val="001A3D23"/>
    <w:rsid w:val="001A487C"/>
    <w:rsid w:val="001A5376"/>
    <w:rsid w:val="001A5599"/>
    <w:rsid w:val="001A61D9"/>
    <w:rsid w:val="001A67BC"/>
    <w:rsid w:val="001A75C8"/>
    <w:rsid w:val="001B0ADC"/>
    <w:rsid w:val="001B0F51"/>
    <w:rsid w:val="001B26B8"/>
    <w:rsid w:val="001B33CF"/>
    <w:rsid w:val="001B44BA"/>
    <w:rsid w:val="001B592D"/>
    <w:rsid w:val="001B594F"/>
    <w:rsid w:val="001B6A32"/>
    <w:rsid w:val="001B6A90"/>
    <w:rsid w:val="001B7A32"/>
    <w:rsid w:val="001C1DFA"/>
    <w:rsid w:val="001C336C"/>
    <w:rsid w:val="001C3644"/>
    <w:rsid w:val="001C3A68"/>
    <w:rsid w:val="001C40B8"/>
    <w:rsid w:val="001C694D"/>
    <w:rsid w:val="001C7762"/>
    <w:rsid w:val="001D1089"/>
    <w:rsid w:val="001D2B57"/>
    <w:rsid w:val="001D3436"/>
    <w:rsid w:val="001D576E"/>
    <w:rsid w:val="001D6BBB"/>
    <w:rsid w:val="001E04FA"/>
    <w:rsid w:val="001E3026"/>
    <w:rsid w:val="001E7800"/>
    <w:rsid w:val="001F153B"/>
    <w:rsid w:val="001F4748"/>
    <w:rsid w:val="001F4C14"/>
    <w:rsid w:val="001F6266"/>
    <w:rsid w:val="001F6EFB"/>
    <w:rsid w:val="001F7C54"/>
    <w:rsid w:val="002002BF"/>
    <w:rsid w:val="002025A6"/>
    <w:rsid w:val="00202B83"/>
    <w:rsid w:val="002031FE"/>
    <w:rsid w:val="00203810"/>
    <w:rsid w:val="002046A2"/>
    <w:rsid w:val="00204D63"/>
    <w:rsid w:val="00206CFE"/>
    <w:rsid w:val="00211830"/>
    <w:rsid w:val="0021189F"/>
    <w:rsid w:val="002131F6"/>
    <w:rsid w:val="00213579"/>
    <w:rsid w:val="002144EE"/>
    <w:rsid w:val="00214B95"/>
    <w:rsid w:val="0022011E"/>
    <w:rsid w:val="002202C2"/>
    <w:rsid w:val="002203E2"/>
    <w:rsid w:val="00223F43"/>
    <w:rsid w:val="002261B7"/>
    <w:rsid w:val="002266C6"/>
    <w:rsid w:val="002267A1"/>
    <w:rsid w:val="002271A3"/>
    <w:rsid w:val="00230CC4"/>
    <w:rsid w:val="00231EB8"/>
    <w:rsid w:val="00233881"/>
    <w:rsid w:val="002365C0"/>
    <w:rsid w:val="00242697"/>
    <w:rsid w:val="00242FED"/>
    <w:rsid w:val="00243876"/>
    <w:rsid w:val="00244A13"/>
    <w:rsid w:val="0024616F"/>
    <w:rsid w:val="002475AB"/>
    <w:rsid w:val="00247F2F"/>
    <w:rsid w:val="002516BA"/>
    <w:rsid w:val="002516EA"/>
    <w:rsid w:val="00251AD4"/>
    <w:rsid w:val="00252398"/>
    <w:rsid w:val="00252E07"/>
    <w:rsid w:val="00253FE8"/>
    <w:rsid w:val="00255E57"/>
    <w:rsid w:val="00256180"/>
    <w:rsid w:val="00257984"/>
    <w:rsid w:val="00257EE7"/>
    <w:rsid w:val="00260068"/>
    <w:rsid w:val="0026007A"/>
    <w:rsid w:val="00260110"/>
    <w:rsid w:val="00261627"/>
    <w:rsid w:val="00265C9D"/>
    <w:rsid w:val="00266842"/>
    <w:rsid w:val="00266E79"/>
    <w:rsid w:val="00267451"/>
    <w:rsid w:val="00267471"/>
    <w:rsid w:val="002702BD"/>
    <w:rsid w:val="00275666"/>
    <w:rsid w:val="002762E6"/>
    <w:rsid w:val="00280554"/>
    <w:rsid w:val="00282E32"/>
    <w:rsid w:val="00285011"/>
    <w:rsid w:val="00285662"/>
    <w:rsid w:val="002868B2"/>
    <w:rsid w:val="00290329"/>
    <w:rsid w:val="00292B34"/>
    <w:rsid w:val="00292D48"/>
    <w:rsid w:val="002936F0"/>
    <w:rsid w:val="002945B3"/>
    <w:rsid w:val="002950E8"/>
    <w:rsid w:val="00295166"/>
    <w:rsid w:val="0029787E"/>
    <w:rsid w:val="002A00A8"/>
    <w:rsid w:val="002A0ECD"/>
    <w:rsid w:val="002A1792"/>
    <w:rsid w:val="002A388C"/>
    <w:rsid w:val="002A396F"/>
    <w:rsid w:val="002A3D8F"/>
    <w:rsid w:val="002A416B"/>
    <w:rsid w:val="002A50F2"/>
    <w:rsid w:val="002A5429"/>
    <w:rsid w:val="002A5B76"/>
    <w:rsid w:val="002A63D3"/>
    <w:rsid w:val="002A7A1D"/>
    <w:rsid w:val="002B0056"/>
    <w:rsid w:val="002B0270"/>
    <w:rsid w:val="002B0C98"/>
    <w:rsid w:val="002B17C8"/>
    <w:rsid w:val="002B3132"/>
    <w:rsid w:val="002B3629"/>
    <w:rsid w:val="002B3DD6"/>
    <w:rsid w:val="002B49F1"/>
    <w:rsid w:val="002B5C5A"/>
    <w:rsid w:val="002B68BC"/>
    <w:rsid w:val="002B6D26"/>
    <w:rsid w:val="002C166E"/>
    <w:rsid w:val="002C2B46"/>
    <w:rsid w:val="002C3848"/>
    <w:rsid w:val="002C6931"/>
    <w:rsid w:val="002C7B63"/>
    <w:rsid w:val="002D1986"/>
    <w:rsid w:val="002D230B"/>
    <w:rsid w:val="002D2868"/>
    <w:rsid w:val="002D3917"/>
    <w:rsid w:val="002D5868"/>
    <w:rsid w:val="002E038E"/>
    <w:rsid w:val="002E2F6A"/>
    <w:rsid w:val="002E3B46"/>
    <w:rsid w:val="002E4EAA"/>
    <w:rsid w:val="002E50A6"/>
    <w:rsid w:val="002E517D"/>
    <w:rsid w:val="002E5645"/>
    <w:rsid w:val="002E7FA2"/>
    <w:rsid w:val="002F06DA"/>
    <w:rsid w:val="002F116F"/>
    <w:rsid w:val="002F2132"/>
    <w:rsid w:val="002F393F"/>
    <w:rsid w:val="002F433D"/>
    <w:rsid w:val="002F4C5A"/>
    <w:rsid w:val="002F58F9"/>
    <w:rsid w:val="002F604A"/>
    <w:rsid w:val="002F7250"/>
    <w:rsid w:val="00301089"/>
    <w:rsid w:val="003019B2"/>
    <w:rsid w:val="00301E5A"/>
    <w:rsid w:val="00302C88"/>
    <w:rsid w:val="003034ED"/>
    <w:rsid w:val="00307AAE"/>
    <w:rsid w:val="0031323B"/>
    <w:rsid w:val="003156A8"/>
    <w:rsid w:val="003162B4"/>
    <w:rsid w:val="00317B7F"/>
    <w:rsid w:val="00324194"/>
    <w:rsid w:val="003246DB"/>
    <w:rsid w:val="00324E80"/>
    <w:rsid w:val="00330845"/>
    <w:rsid w:val="003317A2"/>
    <w:rsid w:val="00332E3A"/>
    <w:rsid w:val="0033307F"/>
    <w:rsid w:val="00337418"/>
    <w:rsid w:val="0034110D"/>
    <w:rsid w:val="00341175"/>
    <w:rsid w:val="00343505"/>
    <w:rsid w:val="00344879"/>
    <w:rsid w:val="003457BD"/>
    <w:rsid w:val="00345E34"/>
    <w:rsid w:val="00350F2B"/>
    <w:rsid w:val="0035130E"/>
    <w:rsid w:val="003537C5"/>
    <w:rsid w:val="003554DC"/>
    <w:rsid w:val="003575C8"/>
    <w:rsid w:val="00360FB0"/>
    <w:rsid w:val="00361242"/>
    <w:rsid w:val="00363586"/>
    <w:rsid w:val="00363D25"/>
    <w:rsid w:val="00365F4D"/>
    <w:rsid w:val="00366892"/>
    <w:rsid w:val="00367FED"/>
    <w:rsid w:val="00371353"/>
    <w:rsid w:val="00371902"/>
    <w:rsid w:val="003719A0"/>
    <w:rsid w:val="00371F86"/>
    <w:rsid w:val="0037257D"/>
    <w:rsid w:val="00373195"/>
    <w:rsid w:val="00375C3F"/>
    <w:rsid w:val="0038072F"/>
    <w:rsid w:val="00383BA2"/>
    <w:rsid w:val="00383F24"/>
    <w:rsid w:val="0038483B"/>
    <w:rsid w:val="00386800"/>
    <w:rsid w:val="00387181"/>
    <w:rsid w:val="00387952"/>
    <w:rsid w:val="00390A25"/>
    <w:rsid w:val="00391760"/>
    <w:rsid w:val="0039187C"/>
    <w:rsid w:val="003934A8"/>
    <w:rsid w:val="00393EB1"/>
    <w:rsid w:val="00396048"/>
    <w:rsid w:val="00397760"/>
    <w:rsid w:val="003A1B9B"/>
    <w:rsid w:val="003A2446"/>
    <w:rsid w:val="003A2E3F"/>
    <w:rsid w:val="003A4365"/>
    <w:rsid w:val="003A7F28"/>
    <w:rsid w:val="003B1187"/>
    <w:rsid w:val="003B1C3B"/>
    <w:rsid w:val="003B2BAB"/>
    <w:rsid w:val="003B2CF2"/>
    <w:rsid w:val="003B392F"/>
    <w:rsid w:val="003B45FB"/>
    <w:rsid w:val="003B5861"/>
    <w:rsid w:val="003B5BC2"/>
    <w:rsid w:val="003B610A"/>
    <w:rsid w:val="003C0175"/>
    <w:rsid w:val="003C2C7E"/>
    <w:rsid w:val="003C5795"/>
    <w:rsid w:val="003C5AEA"/>
    <w:rsid w:val="003D12A2"/>
    <w:rsid w:val="003D2B51"/>
    <w:rsid w:val="003D3275"/>
    <w:rsid w:val="003D3D69"/>
    <w:rsid w:val="003D781E"/>
    <w:rsid w:val="003E097F"/>
    <w:rsid w:val="003E1063"/>
    <w:rsid w:val="003E3CB1"/>
    <w:rsid w:val="003E5044"/>
    <w:rsid w:val="003E5AAA"/>
    <w:rsid w:val="003E5C89"/>
    <w:rsid w:val="003E64A7"/>
    <w:rsid w:val="003F2AF6"/>
    <w:rsid w:val="003F3F33"/>
    <w:rsid w:val="00402A0E"/>
    <w:rsid w:val="0040547B"/>
    <w:rsid w:val="00411C83"/>
    <w:rsid w:val="00413463"/>
    <w:rsid w:val="00415D3E"/>
    <w:rsid w:val="00415DD0"/>
    <w:rsid w:val="00417AE2"/>
    <w:rsid w:val="00421127"/>
    <w:rsid w:val="00421483"/>
    <w:rsid w:val="00421F9A"/>
    <w:rsid w:val="0042265C"/>
    <w:rsid w:val="00424303"/>
    <w:rsid w:val="004265CC"/>
    <w:rsid w:val="004268D3"/>
    <w:rsid w:val="00426D31"/>
    <w:rsid w:val="00426E04"/>
    <w:rsid w:val="0042718F"/>
    <w:rsid w:val="00427C21"/>
    <w:rsid w:val="00430101"/>
    <w:rsid w:val="0043106E"/>
    <w:rsid w:val="00431793"/>
    <w:rsid w:val="00432589"/>
    <w:rsid w:val="004336F4"/>
    <w:rsid w:val="00433C52"/>
    <w:rsid w:val="0043586B"/>
    <w:rsid w:val="00435B37"/>
    <w:rsid w:val="00436D94"/>
    <w:rsid w:val="004374AA"/>
    <w:rsid w:val="004421C0"/>
    <w:rsid w:val="004428BB"/>
    <w:rsid w:val="004439E0"/>
    <w:rsid w:val="004440DB"/>
    <w:rsid w:val="0044556C"/>
    <w:rsid w:val="00445AD1"/>
    <w:rsid w:val="00447221"/>
    <w:rsid w:val="004515C3"/>
    <w:rsid w:val="00452AA0"/>
    <w:rsid w:val="00460088"/>
    <w:rsid w:val="00461B33"/>
    <w:rsid w:val="00466713"/>
    <w:rsid w:val="00467F1E"/>
    <w:rsid w:val="00470147"/>
    <w:rsid w:val="00472766"/>
    <w:rsid w:val="00472F95"/>
    <w:rsid w:val="004746D4"/>
    <w:rsid w:val="00474A32"/>
    <w:rsid w:val="004750F7"/>
    <w:rsid w:val="0047525D"/>
    <w:rsid w:val="00477532"/>
    <w:rsid w:val="004777C0"/>
    <w:rsid w:val="00484350"/>
    <w:rsid w:val="0048444F"/>
    <w:rsid w:val="00484D38"/>
    <w:rsid w:val="00484DE5"/>
    <w:rsid w:val="00485AF9"/>
    <w:rsid w:val="00485BF5"/>
    <w:rsid w:val="004862AB"/>
    <w:rsid w:val="00491C34"/>
    <w:rsid w:val="00492662"/>
    <w:rsid w:val="004927C3"/>
    <w:rsid w:val="0049312D"/>
    <w:rsid w:val="00493AFF"/>
    <w:rsid w:val="00493CEE"/>
    <w:rsid w:val="00495EB2"/>
    <w:rsid w:val="004A142D"/>
    <w:rsid w:val="004A2D55"/>
    <w:rsid w:val="004A3D34"/>
    <w:rsid w:val="004A4DDB"/>
    <w:rsid w:val="004A57F4"/>
    <w:rsid w:val="004B1D11"/>
    <w:rsid w:val="004B2BFC"/>
    <w:rsid w:val="004B536A"/>
    <w:rsid w:val="004B566A"/>
    <w:rsid w:val="004B5A07"/>
    <w:rsid w:val="004B7D93"/>
    <w:rsid w:val="004C1627"/>
    <w:rsid w:val="004C1E73"/>
    <w:rsid w:val="004C20BA"/>
    <w:rsid w:val="004C229A"/>
    <w:rsid w:val="004C258F"/>
    <w:rsid w:val="004C5B67"/>
    <w:rsid w:val="004C5FC9"/>
    <w:rsid w:val="004C6AD7"/>
    <w:rsid w:val="004D0557"/>
    <w:rsid w:val="004D2073"/>
    <w:rsid w:val="004D63DE"/>
    <w:rsid w:val="004E25F0"/>
    <w:rsid w:val="004E27FD"/>
    <w:rsid w:val="004E3CCD"/>
    <w:rsid w:val="004E59CA"/>
    <w:rsid w:val="004E6FE7"/>
    <w:rsid w:val="004E74ED"/>
    <w:rsid w:val="004F0906"/>
    <w:rsid w:val="004F1DB5"/>
    <w:rsid w:val="004F2132"/>
    <w:rsid w:val="004F2234"/>
    <w:rsid w:val="004F44A5"/>
    <w:rsid w:val="004F6904"/>
    <w:rsid w:val="004F7CA3"/>
    <w:rsid w:val="005003DA"/>
    <w:rsid w:val="00502653"/>
    <w:rsid w:val="00502F25"/>
    <w:rsid w:val="0050404B"/>
    <w:rsid w:val="005043B5"/>
    <w:rsid w:val="005046B2"/>
    <w:rsid w:val="00505B86"/>
    <w:rsid w:val="00511190"/>
    <w:rsid w:val="00511218"/>
    <w:rsid w:val="00513023"/>
    <w:rsid w:val="00513236"/>
    <w:rsid w:val="005133E6"/>
    <w:rsid w:val="005149CE"/>
    <w:rsid w:val="00515C57"/>
    <w:rsid w:val="00515C5D"/>
    <w:rsid w:val="00516314"/>
    <w:rsid w:val="0052082D"/>
    <w:rsid w:val="00522E31"/>
    <w:rsid w:val="0052320A"/>
    <w:rsid w:val="00526BB3"/>
    <w:rsid w:val="005273F2"/>
    <w:rsid w:val="00532D12"/>
    <w:rsid w:val="00535145"/>
    <w:rsid w:val="005359D1"/>
    <w:rsid w:val="00537675"/>
    <w:rsid w:val="00537705"/>
    <w:rsid w:val="00537B27"/>
    <w:rsid w:val="00537BF7"/>
    <w:rsid w:val="00541C2B"/>
    <w:rsid w:val="0054201F"/>
    <w:rsid w:val="005440AA"/>
    <w:rsid w:val="00544CCC"/>
    <w:rsid w:val="00544CE8"/>
    <w:rsid w:val="0054550A"/>
    <w:rsid w:val="00546E2B"/>
    <w:rsid w:val="00547340"/>
    <w:rsid w:val="005500D1"/>
    <w:rsid w:val="00552E2F"/>
    <w:rsid w:val="00553A30"/>
    <w:rsid w:val="005543C9"/>
    <w:rsid w:val="00554952"/>
    <w:rsid w:val="00555E0B"/>
    <w:rsid w:val="0055613C"/>
    <w:rsid w:val="005564C7"/>
    <w:rsid w:val="0055682F"/>
    <w:rsid w:val="005575A7"/>
    <w:rsid w:val="00560B2D"/>
    <w:rsid w:val="005615C0"/>
    <w:rsid w:val="005675D8"/>
    <w:rsid w:val="00567A1E"/>
    <w:rsid w:val="00570DF8"/>
    <w:rsid w:val="00571B29"/>
    <w:rsid w:val="0057512E"/>
    <w:rsid w:val="005777B1"/>
    <w:rsid w:val="005779A6"/>
    <w:rsid w:val="00580B3C"/>
    <w:rsid w:val="00581137"/>
    <w:rsid w:val="0058193A"/>
    <w:rsid w:val="00581DCB"/>
    <w:rsid w:val="00581F85"/>
    <w:rsid w:val="00582BE2"/>
    <w:rsid w:val="00583A5C"/>
    <w:rsid w:val="00584ED2"/>
    <w:rsid w:val="00585E12"/>
    <w:rsid w:val="00586BD0"/>
    <w:rsid w:val="00586F4B"/>
    <w:rsid w:val="005926F7"/>
    <w:rsid w:val="00593B0F"/>
    <w:rsid w:val="0059431C"/>
    <w:rsid w:val="00594614"/>
    <w:rsid w:val="0059487F"/>
    <w:rsid w:val="00596437"/>
    <w:rsid w:val="005970EF"/>
    <w:rsid w:val="0059753A"/>
    <w:rsid w:val="005978A5"/>
    <w:rsid w:val="00597D54"/>
    <w:rsid w:val="005A0F0F"/>
    <w:rsid w:val="005A14D9"/>
    <w:rsid w:val="005A3307"/>
    <w:rsid w:val="005A3CAB"/>
    <w:rsid w:val="005A42AD"/>
    <w:rsid w:val="005A4894"/>
    <w:rsid w:val="005A4C51"/>
    <w:rsid w:val="005A5D07"/>
    <w:rsid w:val="005A6546"/>
    <w:rsid w:val="005B032D"/>
    <w:rsid w:val="005B0620"/>
    <w:rsid w:val="005B0C46"/>
    <w:rsid w:val="005B12D8"/>
    <w:rsid w:val="005B2AC0"/>
    <w:rsid w:val="005B4A85"/>
    <w:rsid w:val="005C1539"/>
    <w:rsid w:val="005C3251"/>
    <w:rsid w:val="005C3438"/>
    <w:rsid w:val="005C3485"/>
    <w:rsid w:val="005C4EB5"/>
    <w:rsid w:val="005D113F"/>
    <w:rsid w:val="005D1F48"/>
    <w:rsid w:val="005D28B9"/>
    <w:rsid w:val="005D413D"/>
    <w:rsid w:val="005D41EA"/>
    <w:rsid w:val="005D43EA"/>
    <w:rsid w:val="005D4645"/>
    <w:rsid w:val="005D57F5"/>
    <w:rsid w:val="005D67C3"/>
    <w:rsid w:val="005E0439"/>
    <w:rsid w:val="005E3FEC"/>
    <w:rsid w:val="005E58FA"/>
    <w:rsid w:val="005E62F4"/>
    <w:rsid w:val="005F0BD9"/>
    <w:rsid w:val="005F1222"/>
    <w:rsid w:val="005F37B8"/>
    <w:rsid w:val="005F41DE"/>
    <w:rsid w:val="005F715D"/>
    <w:rsid w:val="005F7886"/>
    <w:rsid w:val="00600678"/>
    <w:rsid w:val="00600D9F"/>
    <w:rsid w:val="00601A2E"/>
    <w:rsid w:val="00601F41"/>
    <w:rsid w:val="006023FE"/>
    <w:rsid w:val="00602941"/>
    <w:rsid w:val="00602D3C"/>
    <w:rsid w:val="0060366F"/>
    <w:rsid w:val="0060416D"/>
    <w:rsid w:val="006064D1"/>
    <w:rsid w:val="00606D01"/>
    <w:rsid w:val="006071AA"/>
    <w:rsid w:val="00611F5C"/>
    <w:rsid w:val="00612961"/>
    <w:rsid w:val="00613165"/>
    <w:rsid w:val="00615C1D"/>
    <w:rsid w:val="00615CD4"/>
    <w:rsid w:val="00616A4F"/>
    <w:rsid w:val="0061779D"/>
    <w:rsid w:val="006179F2"/>
    <w:rsid w:val="00617EB6"/>
    <w:rsid w:val="00620D16"/>
    <w:rsid w:val="0062257D"/>
    <w:rsid w:val="00624857"/>
    <w:rsid w:val="00625AEC"/>
    <w:rsid w:val="00626970"/>
    <w:rsid w:val="00627CA8"/>
    <w:rsid w:val="006303FE"/>
    <w:rsid w:val="00631E25"/>
    <w:rsid w:val="0063323A"/>
    <w:rsid w:val="006335CC"/>
    <w:rsid w:val="00634312"/>
    <w:rsid w:val="006356E8"/>
    <w:rsid w:val="0063641B"/>
    <w:rsid w:val="00636919"/>
    <w:rsid w:val="00637324"/>
    <w:rsid w:val="006374A8"/>
    <w:rsid w:val="0064194B"/>
    <w:rsid w:val="00643AD3"/>
    <w:rsid w:val="0064453D"/>
    <w:rsid w:val="006455D2"/>
    <w:rsid w:val="006468DF"/>
    <w:rsid w:val="00647B0D"/>
    <w:rsid w:val="00647DC6"/>
    <w:rsid w:val="00650DE0"/>
    <w:rsid w:val="00651B9D"/>
    <w:rsid w:val="00651BD6"/>
    <w:rsid w:val="00653645"/>
    <w:rsid w:val="00655711"/>
    <w:rsid w:val="006559A6"/>
    <w:rsid w:val="00657524"/>
    <w:rsid w:val="00662422"/>
    <w:rsid w:val="00664616"/>
    <w:rsid w:val="0066600C"/>
    <w:rsid w:val="006665FF"/>
    <w:rsid w:val="00667144"/>
    <w:rsid w:val="00667EFC"/>
    <w:rsid w:val="00670CFE"/>
    <w:rsid w:val="006726C5"/>
    <w:rsid w:val="00672965"/>
    <w:rsid w:val="0067476A"/>
    <w:rsid w:val="00676A1C"/>
    <w:rsid w:val="00676B5F"/>
    <w:rsid w:val="00677013"/>
    <w:rsid w:val="00677278"/>
    <w:rsid w:val="00677428"/>
    <w:rsid w:val="00680272"/>
    <w:rsid w:val="006817CB"/>
    <w:rsid w:val="00681EE3"/>
    <w:rsid w:val="00682419"/>
    <w:rsid w:val="00683208"/>
    <w:rsid w:val="0068417A"/>
    <w:rsid w:val="00684DCC"/>
    <w:rsid w:val="006852A8"/>
    <w:rsid w:val="00685CD0"/>
    <w:rsid w:val="0068675B"/>
    <w:rsid w:val="0068736E"/>
    <w:rsid w:val="0069017F"/>
    <w:rsid w:val="006911D4"/>
    <w:rsid w:val="00691E71"/>
    <w:rsid w:val="006923C3"/>
    <w:rsid w:val="00693D56"/>
    <w:rsid w:val="006948F8"/>
    <w:rsid w:val="006950FF"/>
    <w:rsid w:val="006955F4"/>
    <w:rsid w:val="00696425"/>
    <w:rsid w:val="006977AC"/>
    <w:rsid w:val="00697866"/>
    <w:rsid w:val="006A0520"/>
    <w:rsid w:val="006A077B"/>
    <w:rsid w:val="006A181A"/>
    <w:rsid w:val="006A25B5"/>
    <w:rsid w:val="006A291F"/>
    <w:rsid w:val="006A6D84"/>
    <w:rsid w:val="006B0C9D"/>
    <w:rsid w:val="006B1B6F"/>
    <w:rsid w:val="006B2152"/>
    <w:rsid w:val="006B2F96"/>
    <w:rsid w:val="006B3731"/>
    <w:rsid w:val="006B44A4"/>
    <w:rsid w:val="006B4E0C"/>
    <w:rsid w:val="006B5F2C"/>
    <w:rsid w:val="006B66C8"/>
    <w:rsid w:val="006C1008"/>
    <w:rsid w:val="006C4BD1"/>
    <w:rsid w:val="006C4C37"/>
    <w:rsid w:val="006C68BF"/>
    <w:rsid w:val="006D2272"/>
    <w:rsid w:val="006D3573"/>
    <w:rsid w:val="006D5B4D"/>
    <w:rsid w:val="006D5EFA"/>
    <w:rsid w:val="006D78EE"/>
    <w:rsid w:val="006E28E9"/>
    <w:rsid w:val="006E29B3"/>
    <w:rsid w:val="006E313F"/>
    <w:rsid w:val="006E32D3"/>
    <w:rsid w:val="006E41DB"/>
    <w:rsid w:val="006E511E"/>
    <w:rsid w:val="006E638B"/>
    <w:rsid w:val="006E6A4A"/>
    <w:rsid w:val="006F169B"/>
    <w:rsid w:val="006F1EF6"/>
    <w:rsid w:val="006F4228"/>
    <w:rsid w:val="006F4509"/>
    <w:rsid w:val="006F4E06"/>
    <w:rsid w:val="006F6C44"/>
    <w:rsid w:val="006F7927"/>
    <w:rsid w:val="0070188F"/>
    <w:rsid w:val="00701CCB"/>
    <w:rsid w:val="00701EBB"/>
    <w:rsid w:val="00702066"/>
    <w:rsid w:val="007026B1"/>
    <w:rsid w:val="00704F82"/>
    <w:rsid w:val="00705ACC"/>
    <w:rsid w:val="00705D63"/>
    <w:rsid w:val="00707232"/>
    <w:rsid w:val="0070779A"/>
    <w:rsid w:val="0071113D"/>
    <w:rsid w:val="00712491"/>
    <w:rsid w:val="0071263A"/>
    <w:rsid w:val="00714FFA"/>
    <w:rsid w:val="00715974"/>
    <w:rsid w:val="007172B7"/>
    <w:rsid w:val="00717F39"/>
    <w:rsid w:val="00720164"/>
    <w:rsid w:val="0072060F"/>
    <w:rsid w:val="00721B14"/>
    <w:rsid w:val="0072393B"/>
    <w:rsid w:val="00723999"/>
    <w:rsid w:val="007240D7"/>
    <w:rsid w:val="00726FE7"/>
    <w:rsid w:val="0073022D"/>
    <w:rsid w:val="007321FB"/>
    <w:rsid w:val="00736A77"/>
    <w:rsid w:val="00737A78"/>
    <w:rsid w:val="00737EB3"/>
    <w:rsid w:val="00740B80"/>
    <w:rsid w:val="00743008"/>
    <w:rsid w:val="007461C6"/>
    <w:rsid w:val="00747C94"/>
    <w:rsid w:val="00750F8D"/>
    <w:rsid w:val="0075154C"/>
    <w:rsid w:val="007518ED"/>
    <w:rsid w:val="0075390A"/>
    <w:rsid w:val="007547FF"/>
    <w:rsid w:val="00754ABD"/>
    <w:rsid w:val="00755484"/>
    <w:rsid w:val="00756048"/>
    <w:rsid w:val="007639C9"/>
    <w:rsid w:val="007652C3"/>
    <w:rsid w:val="00766410"/>
    <w:rsid w:val="00770DF2"/>
    <w:rsid w:val="00773C4A"/>
    <w:rsid w:val="007742C5"/>
    <w:rsid w:val="00774646"/>
    <w:rsid w:val="0077527C"/>
    <w:rsid w:val="00780913"/>
    <w:rsid w:val="00780BB8"/>
    <w:rsid w:val="007820D8"/>
    <w:rsid w:val="0078391C"/>
    <w:rsid w:val="00783ECF"/>
    <w:rsid w:val="007845D5"/>
    <w:rsid w:val="00784640"/>
    <w:rsid w:val="00784BED"/>
    <w:rsid w:val="007877E1"/>
    <w:rsid w:val="00791274"/>
    <w:rsid w:val="00792030"/>
    <w:rsid w:val="007936F5"/>
    <w:rsid w:val="0079413F"/>
    <w:rsid w:val="00796CB1"/>
    <w:rsid w:val="007974D4"/>
    <w:rsid w:val="007A324A"/>
    <w:rsid w:val="007A38B0"/>
    <w:rsid w:val="007A3E8D"/>
    <w:rsid w:val="007A6C24"/>
    <w:rsid w:val="007A6F97"/>
    <w:rsid w:val="007A7491"/>
    <w:rsid w:val="007A7D8B"/>
    <w:rsid w:val="007B2AC8"/>
    <w:rsid w:val="007B2D16"/>
    <w:rsid w:val="007B41DE"/>
    <w:rsid w:val="007B4834"/>
    <w:rsid w:val="007B4A67"/>
    <w:rsid w:val="007B5D45"/>
    <w:rsid w:val="007B7E94"/>
    <w:rsid w:val="007C0F8D"/>
    <w:rsid w:val="007C1B4D"/>
    <w:rsid w:val="007C2356"/>
    <w:rsid w:val="007C3EC2"/>
    <w:rsid w:val="007C4CA9"/>
    <w:rsid w:val="007D2477"/>
    <w:rsid w:val="007D3C9F"/>
    <w:rsid w:val="007D3F74"/>
    <w:rsid w:val="007D48A9"/>
    <w:rsid w:val="007D4B17"/>
    <w:rsid w:val="007D4BEE"/>
    <w:rsid w:val="007D4C5C"/>
    <w:rsid w:val="007D5540"/>
    <w:rsid w:val="007D5B07"/>
    <w:rsid w:val="007E0292"/>
    <w:rsid w:val="007E0BE4"/>
    <w:rsid w:val="007E332B"/>
    <w:rsid w:val="007E33CE"/>
    <w:rsid w:val="007E4A94"/>
    <w:rsid w:val="007E520A"/>
    <w:rsid w:val="007E7587"/>
    <w:rsid w:val="007F2A60"/>
    <w:rsid w:val="007F3096"/>
    <w:rsid w:val="007F4B69"/>
    <w:rsid w:val="007F4BA9"/>
    <w:rsid w:val="007F5174"/>
    <w:rsid w:val="007F6CAD"/>
    <w:rsid w:val="0080051A"/>
    <w:rsid w:val="00801131"/>
    <w:rsid w:val="008022D2"/>
    <w:rsid w:val="0080244F"/>
    <w:rsid w:val="00803BCE"/>
    <w:rsid w:val="00804AD7"/>
    <w:rsid w:val="00805D16"/>
    <w:rsid w:val="00810023"/>
    <w:rsid w:val="008109F0"/>
    <w:rsid w:val="008115D7"/>
    <w:rsid w:val="0081184A"/>
    <w:rsid w:val="00812484"/>
    <w:rsid w:val="008151E0"/>
    <w:rsid w:val="0081669B"/>
    <w:rsid w:val="00820F82"/>
    <w:rsid w:val="008228E5"/>
    <w:rsid w:val="00822C8F"/>
    <w:rsid w:val="00822C97"/>
    <w:rsid w:val="00823149"/>
    <w:rsid w:val="00823959"/>
    <w:rsid w:val="00824CC4"/>
    <w:rsid w:val="00824DB5"/>
    <w:rsid w:val="00827577"/>
    <w:rsid w:val="00830821"/>
    <w:rsid w:val="008324CE"/>
    <w:rsid w:val="00833FC9"/>
    <w:rsid w:val="008351BA"/>
    <w:rsid w:val="0084004C"/>
    <w:rsid w:val="0084026F"/>
    <w:rsid w:val="008404FE"/>
    <w:rsid w:val="008416CB"/>
    <w:rsid w:val="00841FE3"/>
    <w:rsid w:val="00843AEE"/>
    <w:rsid w:val="00843B99"/>
    <w:rsid w:val="00844ECC"/>
    <w:rsid w:val="00850DC0"/>
    <w:rsid w:val="008517CC"/>
    <w:rsid w:val="0085235F"/>
    <w:rsid w:val="0085257C"/>
    <w:rsid w:val="00852EB8"/>
    <w:rsid w:val="00854875"/>
    <w:rsid w:val="00854C07"/>
    <w:rsid w:val="008553E2"/>
    <w:rsid w:val="00856F43"/>
    <w:rsid w:val="00860800"/>
    <w:rsid w:val="008619CE"/>
    <w:rsid w:val="00861CAF"/>
    <w:rsid w:val="00862A91"/>
    <w:rsid w:val="0086351D"/>
    <w:rsid w:val="00863FC4"/>
    <w:rsid w:val="0086478E"/>
    <w:rsid w:val="00865457"/>
    <w:rsid w:val="00867AEB"/>
    <w:rsid w:val="0087030A"/>
    <w:rsid w:val="008707C8"/>
    <w:rsid w:val="00871BB6"/>
    <w:rsid w:val="0087292B"/>
    <w:rsid w:val="00872E54"/>
    <w:rsid w:val="008743AE"/>
    <w:rsid w:val="00875DAA"/>
    <w:rsid w:val="00875F28"/>
    <w:rsid w:val="008773CB"/>
    <w:rsid w:val="00886002"/>
    <w:rsid w:val="008875F6"/>
    <w:rsid w:val="008900B2"/>
    <w:rsid w:val="008904B8"/>
    <w:rsid w:val="00892130"/>
    <w:rsid w:val="0089238A"/>
    <w:rsid w:val="00892FAF"/>
    <w:rsid w:val="00895292"/>
    <w:rsid w:val="00895B04"/>
    <w:rsid w:val="00896D65"/>
    <w:rsid w:val="008A0893"/>
    <w:rsid w:val="008A1D9F"/>
    <w:rsid w:val="008A391D"/>
    <w:rsid w:val="008A46CF"/>
    <w:rsid w:val="008A61A9"/>
    <w:rsid w:val="008A61E8"/>
    <w:rsid w:val="008B09D0"/>
    <w:rsid w:val="008B1AF7"/>
    <w:rsid w:val="008B3838"/>
    <w:rsid w:val="008B475D"/>
    <w:rsid w:val="008B517B"/>
    <w:rsid w:val="008B784B"/>
    <w:rsid w:val="008B7ABB"/>
    <w:rsid w:val="008C0A0E"/>
    <w:rsid w:val="008C1251"/>
    <w:rsid w:val="008C2762"/>
    <w:rsid w:val="008C40B1"/>
    <w:rsid w:val="008C600A"/>
    <w:rsid w:val="008C7A68"/>
    <w:rsid w:val="008D2C53"/>
    <w:rsid w:val="008E2BD8"/>
    <w:rsid w:val="008E30E2"/>
    <w:rsid w:val="008E510B"/>
    <w:rsid w:val="008E59CF"/>
    <w:rsid w:val="008E7A08"/>
    <w:rsid w:val="008F0183"/>
    <w:rsid w:val="008F159D"/>
    <w:rsid w:val="008F5D9A"/>
    <w:rsid w:val="008F73F6"/>
    <w:rsid w:val="008F77FB"/>
    <w:rsid w:val="009000DC"/>
    <w:rsid w:val="009004B8"/>
    <w:rsid w:val="00901387"/>
    <w:rsid w:val="00907122"/>
    <w:rsid w:val="0090723A"/>
    <w:rsid w:val="00911C74"/>
    <w:rsid w:val="00911FF8"/>
    <w:rsid w:val="009120DA"/>
    <w:rsid w:val="00913B85"/>
    <w:rsid w:val="00913D32"/>
    <w:rsid w:val="00914461"/>
    <w:rsid w:val="00915905"/>
    <w:rsid w:val="00916005"/>
    <w:rsid w:val="009162A2"/>
    <w:rsid w:val="0092096C"/>
    <w:rsid w:val="009225B3"/>
    <w:rsid w:val="0092753D"/>
    <w:rsid w:val="0092796F"/>
    <w:rsid w:val="00930883"/>
    <w:rsid w:val="00930E48"/>
    <w:rsid w:val="00930FE5"/>
    <w:rsid w:val="009321D3"/>
    <w:rsid w:val="00936399"/>
    <w:rsid w:val="00936F01"/>
    <w:rsid w:val="009402B5"/>
    <w:rsid w:val="00940983"/>
    <w:rsid w:val="00940C92"/>
    <w:rsid w:val="009418D6"/>
    <w:rsid w:val="00942865"/>
    <w:rsid w:val="00943FEF"/>
    <w:rsid w:val="00951FE5"/>
    <w:rsid w:val="00952366"/>
    <w:rsid w:val="00955580"/>
    <w:rsid w:val="00955D12"/>
    <w:rsid w:val="00955E26"/>
    <w:rsid w:val="00960F3D"/>
    <w:rsid w:val="009613AE"/>
    <w:rsid w:val="00961754"/>
    <w:rsid w:val="009645AB"/>
    <w:rsid w:val="00965DAC"/>
    <w:rsid w:val="00967917"/>
    <w:rsid w:val="009706C9"/>
    <w:rsid w:val="009733A3"/>
    <w:rsid w:val="00974878"/>
    <w:rsid w:val="00975292"/>
    <w:rsid w:val="009768CE"/>
    <w:rsid w:val="00981833"/>
    <w:rsid w:val="00984DD8"/>
    <w:rsid w:val="009853A0"/>
    <w:rsid w:val="00986FB1"/>
    <w:rsid w:val="0098706A"/>
    <w:rsid w:val="00987702"/>
    <w:rsid w:val="00990198"/>
    <w:rsid w:val="00992254"/>
    <w:rsid w:val="00996FEE"/>
    <w:rsid w:val="009976F0"/>
    <w:rsid w:val="009A13AD"/>
    <w:rsid w:val="009A1A4A"/>
    <w:rsid w:val="009A277F"/>
    <w:rsid w:val="009A2E31"/>
    <w:rsid w:val="009A3AC3"/>
    <w:rsid w:val="009A3C1C"/>
    <w:rsid w:val="009A5E4B"/>
    <w:rsid w:val="009A6442"/>
    <w:rsid w:val="009A7AFB"/>
    <w:rsid w:val="009A7FF5"/>
    <w:rsid w:val="009B12A0"/>
    <w:rsid w:val="009B2415"/>
    <w:rsid w:val="009B31C1"/>
    <w:rsid w:val="009B3DD1"/>
    <w:rsid w:val="009B4F06"/>
    <w:rsid w:val="009B73CA"/>
    <w:rsid w:val="009B77DC"/>
    <w:rsid w:val="009C11F9"/>
    <w:rsid w:val="009C4FCF"/>
    <w:rsid w:val="009C5A6D"/>
    <w:rsid w:val="009C6F22"/>
    <w:rsid w:val="009D01E4"/>
    <w:rsid w:val="009D223D"/>
    <w:rsid w:val="009D2B11"/>
    <w:rsid w:val="009D2BA5"/>
    <w:rsid w:val="009D3904"/>
    <w:rsid w:val="009D3DBC"/>
    <w:rsid w:val="009D3F26"/>
    <w:rsid w:val="009D4266"/>
    <w:rsid w:val="009D46E2"/>
    <w:rsid w:val="009D4B05"/>
    <w:rsid w:val="009D641D"/>
    <w:rsid w:val="009D7E94"/>
    <w:rsid w:val="009E0AF2"/>
    <w:rsid w:val="009E1000"/>
    <w:rsid w:val="009E18EA"/>
    <w:rsid w:val="009E1AF1"/>
    <w:rsid w:val="009E1E6D"/>
    <w:rsid w:val="009E2472"/>
    <w:rsid w:val="009E25D9"/>
    <w:rsid w:val="009E415F"/>
    <w:rsid w:val="009E4B5F"/>
    <w:rsid w:val="009E5BD3"/>
    <w:rsid w:val="009E6014"/>
    <w:rsid w:val="009E6BB5"/>
    <w:rsid w:val="009E6CFE"/>
    <w:rsid w:val="009E6EB3"/>
    <w:rsid w:val="009E73F5"/>
    <w:rsid w:val="009F0C3D"/>
    <w:rsid w:val="009F0D31"/>
    <w:rsid w:val="009F0D87"/>
    <w:rsid w:val="009F10BB"/>
    <w:rsid w:val="009F154D"/>
    <w:rsid w:val="009F381A"/>
    <w:rsid w:val="00A00DE7"/>
    <w:rsid w:val="00A035A4"/>
    <w:rsid w:val="00A0590D"/>
    <w:rsid w:val="00A068FF"/>
    <w:rsid w:val="00A06CBE"/>
    <w:rsid w:val="00A1191E"/>
    <w:rsid w:val="00A1401A"/>
    <w:rsid w:val="00A143DD"/>
    <w:rsid w:val="00A14869"/>
    <w:rsid w:val="00A14D89"/>
    <w:rsid w:val="00A16658"/>
    <w:rsid w:val="00A16B84"/>
    <w:rsid w:val="00A16D7E"/>
    <w:rsid w:val="00A171E4"/>
    <w:rsid w:val="00A173F2"/>
    <w:rsid w:val="00A17ACC"/>
    <w:rsid w:val="00A21D32"/>
    <w:rsid w:val="00A22A87"/>
    <w:rsid w:val="00A22AE9"/>
    <w:rsid w:val="00A2431D"/>
    <w:rsid w:val="00A24494"/>
    <w:rsid w:val="00A25B05"/>
    <w:rsid w:val="00A27AC9"/>
    <w:rsid w:val="00A306A4"/>
    <w:rsid w:val="00A30B12"/>
    <w:rsid w:val="00A31D16"/>
    <w:rsid w:val="00A32E5E"/>
    <w:rsid w:val="00A343B6"/>
    <w:rsid w:val="00A35393"/>
    <w:rsid w:val="00A37F3A"/>
    <w:rsid w:val="00A404A2"/>
    <w:rsid w:val="00A405F1"/>
    <w:rsid w:val="00A421E0"/>
    <w:rsid w:val="00A42451"/>
    <w:rsid w:val="00A44604"/>
    <w:rsid w:val="00A469AE"/>
    <w:rsid w:val="00A52544"/>
    <w:rsid w:val="00A535D6"/>
    <w:rsid w:val="00A5424F"/>
    <w:rsid w:val="00A54449"/>
    <w:rsid w:val="00A558B3"/>
    <w:rsid w:val="00A56E27"/>
    <w:rsid w:val="00A57D90"/>
    <w:rsid w:val="00A62019"/>
    <w:rsid w:val="00A6229A"/>
    <w:rsid w:val="00A6525A"/>
    <w:rsid w:val="00A67247"/>
    <w:rsid w:val="00A7082B"/>
    <w:rsid w:val="00A70887"/>
    <w:rsid w:val="00A70D16"/>
    <w:rsid w:val="00A718D6"/>
    <w:rsid w:val="00A727B9"/>
    <w:rsid w:val="00A73271"/>
    <w:rsid w:val="00A74A68"/>
    <w:rsid w:val="00A75B62"/>
    <w:rsid w:val="00A75BAA"/>
    <w:rsid w:val="00A76E05"/>
    <w:rsid w:val="00A81DD2"/>
    <w:rsid w:val="00A86A05"/>
    <w:rsid w:val="00A87420"/>
    <w:rsid w:val="00A87E2C"/>
    <w:rsid w:val="00A91303"/>
    <w:rsid w:val="00A922E7"/>
    <w:rsid w:val="00A929E3"/>
    <w:rsid w:val="00A94AEA"/>
    <w:rsid w:val="00A967A8"/>
    <w:rsid w:val="00AA299B"/>
    <w:rsid w:val="00AA29EB"/>
    <w:rsid w:val="00AA2D58"/>
    <w:rsid w:val="00AA4417"/>
    <w:rsid w:val="00AA4AE1"/>
    <w:rsid w:val="00AA5705"/>
    <w:rsid w:val="00AA67C4"/>
    <w:rsid w:val="00AB0186"/>
    <w:rsid w:val="00AB05FC"/>
    <w:rsid w:val="00AB0884"/>
    <w:rsid w:val="00AB0BFA"/>
    <w:rsid w:val="00AB11EB"/>
    <w:rsid w:val="00AB1833"/>
    <w:rsid w:val="00AB33E0"/>
    <w:rsid w:val="00AB4CD8"/>
    <w:rsid w:val="00AB7068"/>
    <w:rsid w:val="00AB7407"/>
    <w:rsid w:val="00AC0B7E"/>
    <w:rsid w:val="00AC1F25"/>
    <w:rsid w:val="00AC23F6"/>
    <w:rsid w:val="00AC3C0A"/>
    <w:rsid w:val="00AC40DE"/>
    <w:rsid w:val="00AC43FB"/>
    <w:rsid w:val="00AC50A2"/>
    <w:rsid w:val="00AC52E6"/>
    <w:rsid w:val="00AC7CE8"/>
    <w:rsid w:val="00AD171E"/>
    <w:rsid w:val="00AD18CC"/>
    <w:rsid w:val="00AD1DBE"/>
    <w:rsid w:val="00AD2062"/>
    <w:rsid w:val="00AD472D"/>
    <w:rsid w:val="00AD4FCA"/>
    <w:rsid w:val="00AE37DD"/>
    <w:rsid w:val="00AE3C9A"/>
    <w:rsid w:val="00AE7D30"/>
    <w:rsid w:val="00AF0516"/>
    <w:rsid w:val="00AF0AF5"/>
    <w:rsid w:val="00AF0CDB"/>
    <w:rsid w:val="00AF3412"/>
    <w:rsid w:val="00AF47D6"/>
    <w:rsid w:val="00AF5810"/>
    <w:rsid w:val="00AF5F21"/>
    <w:rsid w:val="00B00FC6"/>
    <w:rsid w:val="00B01977"/>
    <w:rsid w:val="00B035F3"/>
    <w:rsid w:val="00B047C8"/>
    <w:rsid w:val="00B064B5"/>
    <w:rsid w:val="00B072D5"/>
    <w:rsid w:val="00B07628"/>
    <w:rsid w:val="00B07B08"/>
    <w:rsid w:val="00B07EBE"/>
    <w:rsid w:val="00B12033"/>
    <w:rsid w:val="00B163BB"/>
    <w:rsid w:val="00B20ABD"/>
    <w:rsid w:val="00B2170D"/>
    <w:rsid w:val="00B2339C"/>
    <w:rsid w:val="00B23647"/>
    <w:rsid w:val="00B236FF"/>
    <w:rsid w:val="00B24227"/>
    <w:rsid w:val="00B243C5"/>
    <w:rsid w:val="00B25770"/>
    <w:rsid w:val="00B275C8"/>
    <w:rsid w:val="00B302D0"/>
    <w:rsid w:val="00B31654"/>
    <w:rsid w:val="00B3196F"/>
    <w:rsid w:val="00B32B6E"/>
    <w:rsid w:val="00B35AFC"/>
    <w:rsid w:val="00B362A3"/>
    <w:rsid w:val="00B40154"/>
    <w:rsid w:val="00B410D6"/>
    <w:rsid w:val="00B436DA"/>
    <w:rsid w:val="00B43878"/>
    <w:rsid w:val="00B45361"/>
    <w:rsid w:val="00B4587B"/>
    <w:rsid w:val="00B45937"/>
    <w:rsid w:val="00B4669A"/>
    <w:rsid w:val="00B51248"/>
    <w:rsid w:val="00B51812"/>
    <w:rsid w:val="00B518C8"/>
    <w:rsid w:val="00B52D55"/>
    <w:rsid w:val="00B53FA6"/>
    <w:rsid w:val="00B55FD0"/>
    <w:rsid w:val="00B567D3"/>
    <w:rsid w:val="00B56DD3"/>
    <w:rsid w:val="00B60B01"/>
    <w:rsid w:val="00B62ABF"/>
    <w:rsid w:val="00B65E90"/>
    <w:rsid w:val="00B664B3"/>
    <w:rsid w:val="00B6759B"/>
    <w:rsid w:val="00B7025A"/>
    <w:rsid w:val="00B716C5"/>
    <w:rsid w:val="00B72345"/>
    <w:rsid w:val="00B72D1D"/>
    <w:rsid w:val="00B73FA2"/>
    <w:rsid w:val="00B7444D"/>
    <w:rsid w:val="00B757D3"/>
    <w:rsid w:val="00B759E4"/>
    <w:rsid w:val="00B7737D"/>
    <w:rsid w:val="00B77ADC"/>
    <w:rsid w:val="00B8108B"/>
    <w:rsid w:val="00B843CF"/>
    <w:rsid w:val="00B84AA5"/>
    <w:rsid w:val="00B84DE4"/>
    <w:rsid w:val="00B86033"/>
    <w:rsid w:val="00B86485"/>
    <w:rsid w:val="00B866DE"/>
    <w:rsid w:val="00B91055"/>
    <w:rsid w:val="00B91555"/>
    <w:rsid w:val="00B91C3C"/>
    <w:rsid w:val="00B9322A"/>
    <w:rsid w:val="00B93BE9"/>
    <w:rsid w:val="00B93E52"/>
    <w:rsid w:val="00B9497D"/>
    <w:rsid w:val="00B95414"/>
    <w:rsid w:val="00B9563F"/>
    <w:rsid w:val="00B96525"/>
    <w:rsid w:val="00B96689"/>
    <w:rsid w:val="00B96CE4"/>
    <w:rsid w:val="00B96EFB"/>
    <w:rsid w:val="00B9731E"/>
    <w:rsid w:val="00B97C8A"/>
    <w:rsid w:val="00BA0B1D"/>
    <w:rsid w:val="00BA1776"/>
    <w:rsid w:val="00BA2C28"/>
    <w:rsid w:val="00BA371B"/>
    <w:rsid w:val="00BA3D39"/>
    <w:rsid w:val="00BA4ADD"/>
    <w:rsid w:val="00BA51E5"/>
    <w:rsid w:val="00BB0502"/>
    <w:rsid w:val="00BB0AA4"/>
    <w:rsid w:val="00BB2916"/>
    <w:rsid w:val="00BB3658"/>
    <w:rsid w:val="00BB36D2"/>
    <w:rsid w:val="00BB3DD1"/>
    <w:rsid w:val="00BB5BFE"/>
    <w:rsid w:val="00BB7381"/>
    <w:rsid w:val="00BC0E9F"/>
    <w:rsid w:val="00BC1822"/>
    <w:rsid w:val="00BC3850"/>
    <w:rsid w:val="00BC4039"/>
    <w:rsid w:val="00BC503C"/>
    <w:rsid w:val="00BC5146"/>
    <w:rsid w:val="00BC560D"/>
    <w:rsid w:val="00BC5BC0"/>
    <w:rsid w:val="00BC5ED7"/>
    <w:rsid w:val="00BD3408"/>
    <w:rsid w:val="00BD5B57"/>
    <w:rsid w:val="00BD7869"/>
    <w:rsid w:val="00BE1539"/>
    <w:rsid w:val="00BE37BF"/>
    <w:rsid w:val="00BE3D1E"/>
    <w:rsid w:val="00BE477C"/>
    <w:rsid w:val="00BE4F59"/>
    <w:rsid w:val="00BF1E67"/>
    <w:rsid w:val="00BF1FBE"/>
    <w:rsid w:val="00BF4BDB"/>
    <w:rsid w:val="00BF5610"/>
    <w:rsid w:val="00BF5634"/>
    <w:rsid w:val="00BF6B28"/>
    <w:rsid w:val="00C02255"/>
    <w:rsid w:val="00C03ED1"/>
    <w:rsid w:val="00C0406F"/>
    <w:rsid w:val="00C040A1"/>
    <w:rsid w:val="00C04534"/>
    <w:rsid w:val="00C06483"/>
    <w:rsid w:val="00C06571"/>
    <w:rsid w:val="00C065A8"/>
    <w:rsid w:val="00C0692E"/>
    <w:rsid w:val="00C06E36"/>
    <w:rsid w:val="00C07034"/>
    <w:rsid w:val="00C1088C"/>
    <w:rsid w:val="00C109FF"/>
    <w:rsid w:val="00C1120F"/>
    <w:rsid w:val="00C1345D"/>
    <w:rsid w:val="00C13641"/>
    <w:rsid w:val="00C14308"/>
    <w:rsid w:val="00C143C3"/>
    <w:rsid w:val="00C164A3"/>
    <w:rsid w:val="00C16B52"/>
    <w:rsid w:val="00C20B2B"/>
    <w:rsid w:val="00C212A4"/>
    <w:rsid w:val="00C2166F"/>
    <w:rsid w:val="00C21C24"/>
    <w:rsid w:val="00C21D34"/>
    <w:rsid w:val="00C22446"/>
    <w:rsid w:val="00C22C85"/>
    <w:rsid w:val="00C24AF1"/>
    <w:rsid w:val="00C30959"/>
    <w:rsid w:val="00C30E54"/>
    <w:rsid w:val="00C32145"/>
    <w:rsid w:val="00C32B95"/>
    <w:rsid w:val="00C34B8E"/>
    <w:rsid w:val="00C35452"/>
    <w:rsid w:val="00C36056"/>
    <w:rsid w:val="00C360EA"/>
    <w:rsid w:val="00C40953"/>
    <w:rsid w:val="00C414C3"/>
    <w:rsid w:val="00C429D4"/>
    <w:rsid w:val="00C434B7"/>
    <w:rsid w:val="00C4381D"/>
    <w:rsid w:val="00C44C17"/>
    <w:rsid w:val="00C44D63"/>
    <w:rsid w:val="00C469BF"/>
    <w:rsid w:val="00C47974"/>
    <w:rsid w:val="00C522A7"/>
    <w:rsid w:val="00C55E75"/>
    <w:rsid w:val="00C56939"/>
    <w:rsid w:val="00C577C1"/>
    <w:rsid w:val="00C62560"/>
    <w:rsid w:val="00C62A3D"/>
    <w:rsid w:val="00C633FC"/>
    <w:rsid w:val="00C6366B"/>
    <w:rsid w:val="00C64942"/>
    <w:rsid w:val="00C65535"/>
    <w:rsid w:val="00C66270"/>
    <w:rsid w:val="00C66710"/>
    <w:rsid w:val="00C74D5A"/>
    <w:rsid w:val="00C77855"/>
    <w:rsid w:val="00C77AB9"/>
    <w:rsid w:val="00C77AD1"/>
    <w:rsid w:val="00C81E19"/>
    <w:rsid w:val="00C83C91"/>
    <w:rsid w:val="00C84A38"/>
    <w:rsid w:val="00C87039"/>
    <w:rsid w:val="00C921CD"/>
    <w:rsid w:val="00C9309D"/>
    <w:rsid w:val="00C935A9"/>
    <w:rsid w:val="00C93EC5"/>
    <w:rsid w:val="00C9407B"/>
    <w:rsid w:val="00C94168"/>
    <w:rsid w:val="00C9418A"/>
    <w:rsid w:val="00C95B79"/>
    <w:rsid w:val="00C96B80"/>
    <w:rsid w:val="00CA083A"/>
    <w:rsid w:val="00CA0B21"/>
    <w:rsid w:val="00CA155C"/>
    <w:rsid w:val="00CA3D40"/>
    <w:rsid w:val="00CA4568"/>
    <w:rsid w:val="00CA68A5"/>
    <w:rsid w:val="00CA7B8C"/>
    <w:rsid w:val="00CB2CDA"/>
    <w:rsid w:val="00CB5536"/>
    <w:rsid w:val="00CB669F"/>
    <w:rsid w:val="00CB7F25"/>
    <w:rsid w:val="00CC12FF"/>
    <w:rsid w:val="00CC14AD"/>
    <w:rsid w:val="00CC2885"/>
    <w:rsid w:val="00CC37C8"/>
    <w:rsid w:val="00CC3D00"/>
    <w:rsid w:val="00CC6FD6"/>
    <w:rsid w:val="00CD1543"/>
    <w:rsid w:val="00CD21D8"/>
    <w:rsid w:val="00CD32D2"/>
    <w:rsid w:val="00CD397F"/>
    <w:rsid w:val="00CD3B76"/>
    <w:rsid w:val="00CD47B1"/>
    <w:rsid w:val="00CD680B"/>
    <w:rsid w:val="00CE05D0"/>
    <w:rsid w:val="00CE19EA"/>
    <w:rsid w:val="00CE30C0"/>
    <w:rsid w:val="00CE3459"/>
    <w:rsid w:val="00CE416A"/>
    <w:rsid w:val="00CE4B91"/>
    <w:rsid w:val="00CE5F8B"/>
    <w:rsid w:val="00CE6994"/>
    <w:rsid w:val="00CE6C27"/>
    <w:rsid w:val="00CE7A35"/>
    <w:rsid w:val="00CF0A04"/>
    <w:rsid w:val="00CF0C3C"/>
    <w:rsid w:val="00CF155D"/>
    <w:rsid w:val="00CF1B17"/>
    <w:rsid w:val="00CF3338"/>
    <w:rsid w:val="00CF45E5"/>
    <w:rsid w:val="00CF477C"/>
    <w:rsid w:val="00CF5D32"/>
    <w:rsid w:val="00CF621F"/>
    <w:rsid w:val="00CF6F33"/>
    <w:rsid w:val="00D0207D"/>
    <w:rsid w:val="00D06ECC"/>
    <w:rsid w:val="00D10B95"/>
    <w:rsid w:val="00D1126C"/>
    <w:rsid w:val="00D11344"/>
    <w:rsid w:val="00D1374A"/>
    <w:rsid w:val="00D14302"/>
    <w:rsid w:val="00D14C2C"/>
    <w:rsid w:val="00D15176"/>
    <w:rsid w:val="00D1633E"/>
    <w:rsid w:val="00D22BA4"/>
    <w:rsid w:val="00D22FD4"/>
    <w:rsid w:val="00D23CE4"/>
    <w:rsid w:val="00D25925"/>
    <w:rsid w:val="00D26173"/>
    <w:rsid w:val="00D300EE"/>
    <w:rsid w:val="00D31072"/>
    <w:rsid w:val="00D31558"/>
    <w:rsid w:val="00D315EA"/>
    <w:rsid w:val="00D3230E"/>
    <w:rsid w:val="00D34B00"/>
    <w:rsid w:val="00D34F3C"/>
    <w:rsid w:val="00D40CC5"/>
    <w:rsid w:val="00D421AB"/>
    <w:rsid w:val="00D42C90"/>
    <w:rsid w:val="00D44A8A"/>
    <w:rsid w:val="00D46024"/>
    <w:rsid w:val="00D4723F"/>
    <w:rsid w:val="00D500DC"/>
    <w:rsid w:val="00D5029F"/>
    <w:rsid w:val="00D53597"/>
    <w:rsid w:val="00D53B6B"/>
    <w:rsid w:val="00D559DC"/>
    <w:rsid w:val="00D6004D"/>
    <w:rsid w:val="00D607A7"/>
    <w:rsid w:val="00D608F7"/>
    <w:rsid w:val="00D61498"/>
    <w:rsid w:val="00D61AC9"/>
    <w:rsid w:val="00D64551"/>
    <w:rsid w:val="00D64809"/>
    <w:rsid w:val="00D64AD4"/>
    <w:rsid w:val="00D65A29"/>
    <w:rsid w:val="00D6641E"/>
    <w:rsid w:val="00D671B1"/>
    <w:rsid w:val="00D7514A"/>
    <w:rsid w:val="00D76798"/>
    <w:rsid w:val="00D77C03"/>
    <w:rsid w:val="00D80595"/>
    <w:rsid w:val="00D81999"/>
    <w:rsid w:val="00D83AEF"/>
    <w:rsid w:val="00D8680E"/>
    <w:rsid w:val="00D878BA"/>
    <w:rsid w:val="00D90A99"/>
    <w:rsid w:val="00D910F5"/>
    <w:rsid w:val="00D91CE3"/>
    <w:rsid w:val="00D925DD"/>
    <w:rsid w:val="00D9261B"/>
    <w:rsid w:val="00D92CFC"/>
    <w:rsid w:val="00D93BA0"/>
    <w:rsid w:val="00D94BA4"/>
    <w:rsid w:val="00D94BAC"/>
    <w:rsid w:val="00D95118"/>
    <w:rsid w:val="00D95320"/>
    <w:rsid w:val="00D968DE"/>
    <w:rsid w:val="00DA2E3B"/>
    <w:rsid w:val="00DA3847"/>
    <w:rsid w:val="00DA6260"/>
    <w:rsid w:val="00DB064C"/>
    <w:rsid w:val="00DB1782"/>
    <w:rsid w:val="00DB6B38"/>
    <w:rsid w:val="00DB6FC5"/>
    <w:rsid w:val="00DC0610"/>
    <w:rsid w:val="00DC0ADF"/>
    <w:rsid w:val="00DC27B0"/>
    <w:rsid w:val="00DC3A3F"/>
    <w:rsid w:val="00DC606F"/>
    <w:rsid w:val="00DC630E"/>
    <w:rsid w:val="00DC6AB2"/>
    <w:rsid w:val="00DD0136"/>
    <w:rsid w:val="00DD19A9"/>
    <w:rsid w:val="00DD31AE"/>
    <w:rsid w:val="00DD3557"/>
    <w:rsid w:val="00DD5285"/>
    <w:rsid w:val="00DD6D02"/>
    <w:rsid w:val="00DD7D66"/>
    <w:rsid w:val="00DE2895"/>
    <w:rsid w:val="00DE2AC4"/>
    <w:rsid w:val="00DE3D02"/>
    <w:rsid w:val="00DE4C4A"/>
    <w:rsid w:val="00DE78DA"/>
    <w:rsid w:val="00DF031E"/>
    <w:rsid w:val="00DF1865"/>
    <w:rsid w:val="00DF3204"/>
    <w:rsid w:val="00DF42F2"/>
    <w:rsid w:val="00DF6915"/>
    <w:rsid w:val="00DF7468"/>
    <w:rsid w:val="00DF7FB6"/>
    <w:rsid w:val="00E00095"/>
    <w:rsid w:val="00E002B8"/>
    <w:rsid w:val="00E01C2C"/>
    <w:rsid w:val="00E020E6"/>
    <w:rsid w:val="00E07498"/>
    <w:rsid w:val="00E10B87"/>
    <w:rsid w:val="00E11093"/>
    <w:rsid w:val="00E12143"/>
    <w:rsid w:val="00E126CF"/>
    <w:rsid w:val="00E13D3F"/>
    <w:rsid w:val="00E141B5"/>
    <w:rsid w:val="00E146AE"/>
    <w:rsid w:val="00E156C2"/>
    <w:rsid w:val="00E1584A"/>
    <w:rsid w:val="00E15C82"/>
    <w:rsid w:val="00E229D6"/>
    <w:rsid w:val="00E23588"/>
    <w:rsid w:val="00E244D1"/>
    <w:rsid w:val="00E26CDD"/>
    <w:rsid w:val="00E27C4A"/>
    <w:rsid w:val="00E317CA"/>
    <w:rsid w:val="00E31937"/>
    <w:rsid w:val="00E34E33"/>
    <w:rsid w:val="00E358D4"/>
    <w:rsid w:val="00E3593A"/>
    <w:rsid w:val="00E35C2C"/>
    <w:rsid w:val="00E360BD"/>
    <w:rsid w:val="00E37843"/>
    <w:rsid w:val="00E41E48"/>
    <w:rsid w:val="00E42894"/>
    <w:rsid w:val="00E429B7"/>
    <w:rsid w:val="00E42EAD"/>
    <w:rsid w:val="00E46A4F"/>
    <w:rsid w:val="00E50C2B"/>
    <w:rsid w:val="00E51FB6"/>
    <w:rsid w:val="00E51FC5"/>
    <w:rsid w:val="00E528D2"/>
    <w:rsid w:val="00E535F1"/>
    <w:rsid w:val="00E567C8"/>
    <w:rsid w:val="00E56DC3"/>
    <w:rsid w:val="00E60E23"/>
    <w:rsid w:val="00E61729"/>
    <w:rsid w:val="00E62A01"/>
    <w:rsid w:val="00E6381F"/>
    <w:rsid w:val="00E638B0"/>
    <w:rsid w:val="00E64843"/>
    <w:rsid w:val="00E65467"/>
    <w:rsid w:val="00E664F4"/>
    <w:rsid w:val="00E671F5"/>
    <w:rsid w:val="00E702A8"/>
    <w:rsid w:val="00E706F4"/>
    <w:rsid w:val="00E73969"/>
    <w:rsid w:val="00E73ECC"/>
    <w:rsid w:val="00E74167"/>
    <w:rsid w:val="00E75563"/>
    <w:rsid w:val="00E75C35"/>
    <w:rsid w:val="00E7721E"/>
    <w:rsid w:val="00E77626"/>
    <w:rsid w:val="00E777D2"/>
    <w:rsid w:val="00E80432"/>
    <w:rsid w:val="00E81659"/>
    <w:rsid w:val="00E822FE"/>
    <w:rsid w:val="00E82EFB"/>
    <w:rsid w:val="00E83EC9"/>
    <w:rsid w:val="00E8508F"/>
    <w:rsid w:val="00E85BFA"/>
    <w:rsid w:val="00E9161C"/>
    <w:rsid w:val="00E961E1"/>
    <w:rsid w:val="00EA1D75"/>
    <w:rsid w:val="00EA1FB6"/>
    <w:rsid w:val="00EA5533"/>
    <w:rsid w:val="00EA61AB"/>
    <w:rsid w:val="00EA6391"/>
    <w:rsid w:val="00EA7A7C"/>
    <w:rsid w:val="00EA7B46"/>
    <w:rsid w:val="00EB0BE0"/>
    <w:rsid w:val="00EB0EE2"/>
    <w:rsid w:val="00EB21DC"/>
    <w:rsid w:val="00EB2719"/>
    <w:rsid w:val="00EB2F59"/>
    <w:rsid w:val="00EB32AD"/>
    <w:rsid w:val="00EB36BE"/>
    <w:rsid w:val="00EB45BC"/>
    <w:rsid w:val="00EB4F41"/>
    <w:rsid w:val="00EB501C"/>
    <w:rsid w:val="00EB6924"/>
    <w:rsid w:val="00EB74FB"/>
    <w:rsid w:val="00EC0FFC"/>
    <w:rsid w:val="00EC1E4A"/>
    <w:rsid w:val="00EC2E30"/>
    <w:rsid w:val="00EC433A"/>
    <w:rsid w:val="00EC55F4"/>
    <w:rsid w:val="00EC610B"/>
    <w:rsid w:val="00EC617A"/>
    <w:rsid w:val="00EC795D"/>
    <w:rsid w:val="00EC7D77"/>
    <w:rsid w:val="00ED364D"/>
    <w:rsid w:val="00ED4A8E"/>
    <w:rsid w:val="00ED4B70"/>
    <w:rsid w:val="00ED76C9"/>
    <w:rsid w:val="00EE221C"/>
    <w:rsid w:val="00EF0009"/>
    <w:rsid w:val="00EF075F"/>
    <w:rsid w:val="00EF1461"/>
    <w:rsid w:val="00EF3117"/>
    <w:rsid w:val="00EF3398"/>
    <w:rsid w:val="00EF341F"/>
    <w:rsid w:val="00F01137"/>
    <w:rsid w:val="00F0215A"/>
    <w:rsid w:val="00F034F8"/>
    <w:rsid w:val="00F05390"/>
    <w:rsid w:val="00F054C1"/>
    <w:rsid w:val="00F070F3"/>
    <w:rsid w:val="00F10247"/>
    <w:rsid w:val="00F11B8E"/>
    <w:rsid w:val="00F1360D"/>
    <w:rsid w:val="00F136E7"/>
    <w:rsid w:val="00F14DF6"/>
    <w:rsid w:val="00F16B4A"/>
    <w:rsid w:val="00F200F1"/>
    <w:rsid w:val="00F20492"/>
    <w:rsid w:val="00F2163A"/>
    <w:rsid w:val="00F26A6C"/>
    <w:rsid w:val="00F32567"/>
    <w:rsid w:val="00F32BCD"/>
    <w:rsid w:val="00F32D94"/>
    <w:rsid w:val="00F40901"/>
    <w:rsid w:val="00F418BA"/>
    <w:rsid w:val="00F41944"/>
    <w:rsid w:val="00F424F4"/>
    <w:rsid w:val="00F42578"/>
    <w:rsid w:val="00F42A96"/>
    <w:rsid w:val="00F42C08"/>
    <w:rsid w:val="00F43D4C"/>
    <w:rsid w:val="00F43DF1"/>
    <w:rsid w:val="00F43F08"/>
    <w:rsid w:val="00F444CF"/>
    <w:rsid w:val="00F462DE"/>
    <w:rsid w:val="00F46F5C"/>
    <w:rsid w:val="00F50A67"/>
    <w:rsid w:val="00F53CDA"/>
    <w:rsid w:val="00F5631E"/>
    <w:rsid w:val="00F571AD"/>
    <w:rsid w:val="00F617B7"/>
    <w:rsid w:val="00F61D7B"/>
    <w:rsid w:val="00F61E05"/>
    <w:rsid w:val="00F62B71"/>
    <w:rsid w:val="00F63F93"/>
    <w:rsid w:val="00F648E3"/>
    <w:rsid w:val="00F65988"/>
    <w:rsid w:val="00F667BC"/>
    <w:rsid w:val="00F67951"/>
    <w:rsid w:val="00F707B0"/>
    <w:rsid w:val="00F75312"/>
    <w:rsid w:val="00F7588D"/>
    <w:rsid w:val="00F75DE1"/>
    <w:rsid w:val="00F767E5"/>
    <w:rsid w:val="00F80AB5"/>
    <w:rsid w:val="00F81851"/>
    <w:rsid w:val="00F824CE"/>
    <w:rsid w:val="00F829BD"/>
    <w:rsid w:val="00F831CF"/>
    <w:rsid w:val="00F8464E"/>
    <w:rsid w:val="00F90469"/>
    <w:rsid w:val="00F90D1D"/>
    <w:rsid w:val="00F91D8D"/>
    <w:rsid w:val="00F93729"/>
    <w:rsid w:val="00F95D2E"/>
    <w:rsid w:val="00FA3B29"/>
    <w:rsid w:val="00FA497B"/>
    <w:rsid w:val="00FA4C98"/>
    <w:rsid w:val="00FA5FD6"/>
    <w:rsid w:val="00FA7891"/>
    <w:rsid w:val="00FB0B70"/>
    <w:rsid w:val="00FB691F"/>
    <w:rsid w:val="00FC03FC"/>
    <w:rsid w:val="00FC1DC8"/>
    <w:rsid w:val="00FC3AE2"/>
    <w:rsid w:val="00FC53EB"/>
    <w:rsid w:val="00FC5BFA"/>
    <w:rsid w:val="00FC5C0F"/>
    <w:rsid w:val="00FC6D4C"/>
    <w:rsid w:val="00FD1798"/>
    <w:rsid w:val="00FD1976"/>
    <w:rsid w:val="00FD2CE3"/>
    <w:rsid w:val="00FD6697"/>
    <w:rsid w:val="00FD6CD6"/>
    <w:rsid w:val="00FE0E2A"/>
    <w:rsid w:val="00FE3E5E"/>
    <w:rsid w:val="00FE421C"/>
    <w:rsid w:val="00FE5150"/>
    <w:rsid w:val="00FE7FCA"/>
    <w:rsid w:val="00FF0163"/>
    <w:rsid w:val="00FF0E1C"/>
    <w:rsid w:val="00FF1387"/>
    <w:rsid w:val="00FF2F59"/>
    <w:rsid w:val="00FF37D7"/>
    <w:rsid w:val="00FF508F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B44BA"/>
    <w:pPr>
      <w:ind w:left="720"/>
      <w:contextualSpacing/>
    </w:pPr>
    <w:rPr>
      <w:sz w:val="20"/>
    </w:rPr>
  </w:style>
  <w:style w:type="character" w:customStyle="1" w:styleId="a8">
    <w:name w:val="Абзац списка Знак"/>
    <w:link w:val="a7"/>
    <w:uiPriority w:val="34"/>
    <w:locked/>
    <w:rsid w:val="00475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D0136"/>
    <w:rPr>
      <w:sz w:val="20"/>
    </w:rPr>
  </w:style>
  <w:style w:type="character" w:customStyle="1" w:styleId="af">
    <w:name w:val="Текст сноски Знак"/>
    <w:basedOn w:val="a0"/>
    <w:link w:val="ae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D0136"/>
    <w:rPr>
      <w:vertAlign w:val="superscript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1">
    <w:name w:val="Body Text"/>
    <w:basedOn w:val="a"/>
    <w:link w:val="af2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2">
    <w:name w:val="Основной текст Знак"/>
    <w:basedOn w:val="a0"/>
    <w:link w:val="af1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4">
    <w:name w:val="Основной текст с отступом Знак"/>
    <w:basedOn w:val="a0"/>
    <w:link w:val="af3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B7ABB"/>
  </w:style>
  <w:style w:type="paragraph" w:styleId="af6">
    <w:name w:val="endnote text"/>
    <w:basedOn w:val="a"/>
    <w:link w:val="af7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Текст концевой сноски Знак"/>
    <w:basedOn w:val="a0"/>
    <w:link w:val="af6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8B7ABB"/>
    <w:rPr>
      <w:vertAlign w:val="superscript"/>
    </w:rPr>
  </w:style>
  <w:style w:type="paragraph" w:styleId="af9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a">
    <w:name w:val="Emphasis"/>
    <w:basedOn w:val="a0"/>
    <w:uiPriority w:val="20"/>
    <w:qFormat/>
    <w:rsid w:val="008B7ABB"/>
    <w:rPr>
      <w:i/>
      <w:iCs/>
    </w:rPr>
  </w:style>
  <w:style w:type="paragraph" w:styleId="afb">
    <w:name w:val="Normal (Web)"/>
    <w:aliases w:val="Обычный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-datetime">
    <w:name w:val="e-datetime"/>
    <w:basedOn w:val="a0"/>
    <w:rsid w:val="003554DC"/>
  </w:style>
  <w:style w:type="paragraph" w:customStyle="1" w:styleId="e-hidden">
    <w:name w:val="e-hidden"/>
    <w:basedOn w:val="a"/>
    <w:rsid w:val="003554DC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текст осн."/>
    <w:basedOn w:val="a"/>
    <w:rsid w:val="008900B2"/>
    <w:pPr>
      <w:ind w:firstLine="720"/>
      <w:jc w:val="both"/>
    </w:pPr>
    <w:rPr>
      <w:rFonts w:eastAsia="Trebuchet MS"/>
      <w:sz w:val="22"/>
    </w:rPr>
  </w:style>
  <w:style w:type="character" w:customStyle="1" w:styleId="green">
    <w:name w:val="green"/>
    <w:basedOn w:val="a0"/>
    <w:rsid w:val="00A306A4"/>
  </w:style>
  <w:style w:type="character" w:customStyle="1" w:styleId="red">
    <w:name w:val="red"/>
    <w:basedOn w:val="a0"/>
    <w:rsid w:val="00A306A4"/>
  </w:style>
  <w:style w:type="paragraph" w:customStyle="1" w:styleId="viewinfo">
    <w:name w:val="viewinfo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viewinfo2">
    <w:name w:val="viewinfo2"/>
    <w:basedOn w:val="a0"/>
    <w:rsid w:val="00A306A4"/>
  </w:style>
  <w:style w:type="paragraph" w:customStyle="1" w:styleId="red1">
    <w:name w:val="red1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6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6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ape">
    <w:name w:val="sape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64B3"/>
  </w:style>
  <w:style w:type="paragraph" w:customStyle="1" w:styleId="aff">
    <w:name w:val="шапка"/>
    <w:basedOn w:val="a"/>
    <w:rsid w:val="00072875"/>
    <w:pPr>
      <w:jc w:val="center"/>
    </w:pPr>
    <w:rPr>
      <w:rFonts w:eastAsia="Trebuchet MS"/>
      <w:sz w:val="20"/>
    </w:rPr>
  </w:style>
  <w:style w:type="character" w:customStyle="1" w:styleId="FontStyle24">
    <w:name w:val="Font Style24"/>
    <w:basedOn w:val="a0"/>
    <w:uiPriority w:val="99"/>
    <w:rsid w:val="005B4A85"/>
    <w:rPr>
      <w:rFonts w:ascii="Times New Roman" w:hAnsi="Times New Roman" w:cs="Times New Roman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8875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ig">
    <w:name w:val="big"/>
    <w:basedOn w:val="a0"/>
    <w:rsid w:val="00F6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bloger51.com/wp-content/uploads/2013/10/%D0%A1%D0%BD%D0%B8%D0%BC%D0%BE%D0%BA-%D1%8D%D0%BA%D1%80%D0%B0%D0%BD%D0%B0-2013-10-18-%D0%B2-9.50.15.png" TargetMode="Externa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img/all/175_reshenie_o_strateg_planir__utv.docx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ED55-55AB-49DC-B533-DE8457B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19870</Words>
  <Characters>113259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DubininaDA</cp:lastModifiedBy>
  <cp:revision>5</cp:revision>
  <cp:lastPrinted>2017-11-02T13:30:00Z</cp:lastPrinted>
  <dcterms:created xsi:type="dcterms:W3CDTF">2017-11-01T14:08:00Z</dcterms:created>
  <dcterms:modified xsi:type="dcterms:W3CDTF">2017-11-14T07:16:00Z</dcterms:modified>
</cp:coreProperties>
</file>