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  <w:lang w:val="en-US"/>
        </w:rPr>
        <w:t>I</w:t>
      </w:r>
      <w:r w:rsidRPr="00FF4C59">
        <w:rPr>
          <w:rFonts w:ascii="Times New Roman" w:hAnsi="Times New Roman"/>
          <w:bCs/>
          <w:sz w:val="28"/>
          <w:szCs w:val="28"/>
        </w:rPr>
        <w:t>. Подпрограмма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Pr="00BC6589">
        <w:rPr>
          <w:rFonts w:ascii="Times New Roman" w:hAnsi="Times New Roman"/>
          <w:bCs/>
          <w:sz w:val="28"/>
          <w:szCs w:val="28"/>
        </w:rPr>
        <w:t xml:space="preserve">Ремонт элементов благоустройства города Мурманска» </w:t>
      </w:r>
      <w:r w:rsidRPr="00BC6589">
        <w:rPr>
          <w:rFonts w:ascii="Times New Roman" w:eastAsia="Calibri" w:hAnsi="Times New Roman"/>
          <w:sz w:val="28"/>
          <w:szCs w:val="28"/>
          <w:lang w:eastAsia="en-US"/>
        </w:rPr>
        <w:t>на 2018 – 2024 годы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FF4C59">
        <w:rPr>
          <w:rFonts w:ascii="Times New Roman" w:hAnsi="Times New Roman"/>
          <w:bCs/>
          <w:sz w:val="28"/>
          <w:szCs w:val="28"/>
        </w:rPr>
        <w:t>Паспорт подпрограммы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en-US"/>
        </w:rPr>
      </w:pPr>
    </w:p>
    <w:tbl>
      <w:tblPr>
        <w:tblpPr w:leftFromText="180" w:rightFromText="180" w:vertAnchor="text" w:tblpXSpec="center" w:tblpY="1"/>
        <w:tblOverlap w:val="never"/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7088"/>
      </w:tblGrid>
      <w:tr w:rsidR="009D427E" w:rsidRPr="000C23D1" w:rsidTr="001C66F6">
        <w:trPr>
          <w:cantSplit/>
          <w:trHeight w:val="1259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7E" w:rsidRPr="00BC658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7E" w:rsidRPr="00BC658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Муниципальная программа города Мурманска «Жилищно-коммунальное хозяйство» на 2018 – 2024 годы</w:t>
            </w:r>
          </w:p>
        </w:tc>
      </w:tr>
      <w:tr w:rsidR="009D427E" w:rsidRPr="000C23D1" w:rsidTr="001C66F6">
        <w:trPr>
          <w:cantSplit/>
          <w:trHeight w:val="683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7E" w:rsidRPr="00BC658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C6589">
              <w:rPr>
                <w:rFonts w:ascii="Times New Roman" w:hAnsi="Times New Roman"/>
                <w:sz w:val="28"/>
                <w:szCs w:val="28"/>
              </w:rPr>
              <w:t>Цель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7E" w:rsidRPr="00640487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Обеспечение благоустройства отдельных элементов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/>
                <w:sz w:val="28"/>
                <w:szCs w:val="28"/>
              </w:rPr>
              <w:t>территории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C6589">
              <w:rPr>
                <w:rFonts w:ascii="Times New Roman" w:hAnsi="Times New Roman"/>
                <w:sz w:val="28"/>
                <w:szCs w:val="28"/>
              </w:rPr>
              <w:t>города Мурманска</w:t>
            </w:r>
          </w:p>
        </w:tc>
      </w:tr>
      <w:tr w:rsidR="009D427E" w:rsidRPr="000C23D1" w:rsidTr="001C66F6">
        <w:trPr>
          <w:cantSplit/>
          <w:trHeight w:val="1098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7E" w:rsidRPr="00640487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>Важнейшие целевые показатели (индикаторы) реализации подпрограммы</w:t>
            </w:r>
          </w:p>
        </w:tc>
        <w:tc>
          <w:tcPr>
            <w:tcW w:w="70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640487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40487">
              <w:rPr>
                <w:rFonts w:ascii="Times New Roman" w:hAnsi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  <w:sz w:val="28"/>
                <w:szCs w:val="28"/>
              </w:rPr>
              <w:t>элементов благоустройства</w:t>
            </w:r>
          </w:p>
        </w:tc>
      </w:tr>
      <w:tr w:rsidR="009D427E" w:rsidRPr="000C23D1" w:rsidTr="001C66F6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427E" w:rsidRPr="00FF4C5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Заказчик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0123F2" w:rsidRDefault="009D427E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Мурманска.</w:t>
            </w:r>
          </w:p>
          <w:p w:rsidR="009D427E" w:rsidRPr="00FF4C59" w:rsidRDefault="009D427E" w:rsidP="001C66F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строительству администрации города Мурманска</w:t>
            </w:r>
          </w:p>
        </w:tc>
      </w:tr>
      <w:tr w:rsidR="009D427E" w:rsidRPr="000C23D1" w:rsidTr="001C66F6">
        <w:trPr>
          <w:cantSplit/>
          <w:trHeight w:val="795"/>
        </w:trPr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427E" w:rsidRPr="00FF4C5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eastAsia="Arial" w:hAnsi="Times New Roman"/>
                <w:sz w:val="28"/>
                <w:szCs w:val="28"/>
              </w:rPr>
              <w:t>Заказчик – координатор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0123F2" w:rsidRDefault="009D427E" w:rsidP="001C66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123F2">
              <w:rPr>
                <w:rFonts w:ascii="Times New Roman" w:hAnsi="Times New Roman"/>
                <w:sz w:val="28"/>
                <w:szCs w:val="28"/>
              </w:rPr>
              <w:t>Комитет по развитию городского хозяйства администрации города Мурманска</w:t>
            </w:r>
          </w:p>
        </w:tc>
      </w:tr>
      <w:tr w:rsidR="009D427E" w:rsidRPr="000C23D1" w:rsidTr="001C66F6">
        <w:trPr>
          <w:trHeight w:val="703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FF4C5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Сроки и этапы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FF4C59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F4C59">
              <w:rPr>
                <w:rFonts w:ascii="Times New Roman" w:hAnsi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sz w:val="28"/>
                <w:szCs w:val="28"/>
              </w:rPr>
              <w:t>8 – 2024</w:t>
            </w:r>
            <w:r w:rsidRPr="00FF4C59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9D427E" w:rsidRPr="000C23D1" w:rsidTr="001C66F6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6A7DBA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A7DBA">
              <w:rPr>
                <w:rFonts w:ascii="Times New Roman" w:hAnsi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 xml:space="preserve">Всего по подпрограмме – 19 896,2 тыс. руб., в </w:t>
            </w:r>
            <w:proofErr w:type="spellStart"/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т.ч</w:t>
            </w:r>
            <w:proofErr w:type="spellEnd"/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.: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МБ: 19 896,2 тыс. руб., из них: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2018 год – 2 907,4 тыс. руб.;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2019 год – 0,0 тыс. руб.;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2020 год – 2 736,2 тыс. руб.;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2021 год – 11 252,6 тыс. руб.;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2022 год – 0,0 тыс. руб.;</w:t>
            </w:r>
          </w:p>
          <w:p w:rsidR="009D427E" w:rsidRPr="007D20DE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2023 год – 0,0 тыс. руб.;</w:t>
            </w:r>
          </w:p>
          <w:p w:rsidR="009D427E" w:rsidRPr="006A7DBA" w:rsidRDefault="009D427E" w:rsidP="001C66F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D20DE">
              <w:rPr>
                <w:rFonts w:ascii="Times New Roman" w:hAnsi="Times New Roman"/>
                <w:bCs/>
                <w:sz w:val="28"/>
                <w:szCs w:val="28"/>
              </w:rPr>
              <w:t>2024 год – 3 000,0 тыс. руб.</w:t>
            </w:r>
          </w:p>
        </w:tc>
      </w:tr>
      <w:tr w:rsidR="009D427E" w:rsidRPr="000C23D1" w:rsidTr="001C66F6">
        <w:trPr>
          <w:trHeight w:val="70"/>
        </w:trPr>
        <w:tc>
          <w:tcPr>
            <w:tcW w:w="29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F11FE0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1FE0">
              <w:rPr>
                <w:rFonts w:ascii="Times New Roman" w:hAnsi="Times New Roman"/>
                <w:sz w:val="28"/>
                <w:szCs w:val="28"/>
              </w:rPr>
              <w:t>Ожидаемые конечные результаты реализации подпрограммы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F11FE0" w:rsidRDefault="009D427E" w:rsidP="001C66F6">
            <w:pPr>
              <w:pStyle w:val="ConsPlusCell"/>
              <w:widowControl/>
              <w:tabs>
                <w:tab w:val="left" w:pos="30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отремонтированных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элементов благоустройства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(за весь период реализации подпрограммы)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5E646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135AE">
              <w:rPr>
                <w:rFonts w:ascii="Times New Roman" w:hAnsi="Times New Roman" w:cs="Times New Roman"/>
                <w:sz w:val="28"/>
                <w:szCs w:val="28"/>
              </w:rPr>
              <w:t xml:space="preserve"> шт. </w:t>
            </w:r>
          </w:p>
        </w:tc>
      </w:tr>
    </w:tbl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1. Характеристика проблемы, на решение 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которой направлена подпрограмма 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27E" w:rsidRPr="00F31674" w:rsidRDefault="009D427E" w:rsidP="009D427E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1674">
        <w:rPr>
          <w:rFonts w:ascii="Times New Roman" w:hAnsi="Times New Roman"/>
          <w:sz w:val="28"/>
          <w:szCs w:val="28"/>
        </w:rPr>
        <w:t>Важное место в планировании застройки городских микрорайонов занимает формирование жилой группы домов, центром которы</w:t>
      </w:r>
      <w:r>
        <w:rPr>
          <w:rFonts w:ascii="Times New Roman" w:hAnsi="Times New Roman"/>
          <w:sz w:val="28"/>
          <w:szCs w:val="28"/>
        </w:rPr>
        <w:t xml:space="preserve">х является </w:t>
      </w:r>
      <w:r>
        <w:rPr>
          <w:rFonts w:ascii="Times New Roman" w:hAnsi="Times New Roman"/>
          <w:sz w:val="28"/>
          <w:szCs w:val="28"/>
        </w:rPr>
        <w:lastRenderedPageBreak/>
        <w:t xml:space="preserve">дворовая территория с расположенными на ней подпорными стенками, </w:t>
      </w:r>
      <w:r w:rsidRPr="00F31674">
        <w:rPr>
          <w:rFonts w:ascii="Times New Roman" w:hAnsi="Times New Roman"/>
          <w:sz w:val="28"/>
          <w:szCs w:val="28"/>
        </w:rPr>
        <w:t>ее состояние и уровень благоустройства в значительной степени определяют психологический климат микрорайона. Без благоустройства дворовых территорий</w:t>
      </w:r>
      <w:r>
        <w:rPr>
          <w:rFonts w:ascii="Times New Roman" w:hAnsi="Times New Roman"/>
          <w:sz w:val="28"/>
          <w:szCs w:val="28"/>
        </w:rPr>
        <w:t xml:space="preserve"> и улиц</w:t>
      </w:r>
      <w:r w:rsidRPr="00F31674">
        <w:rPr>
          <w:rFonts w:ascii="Times New Roman" w:hAnsi="Times New Roman"/>
          <w:sz w:val="28"/>
          <w:szCs w:val="28"/>
        </w:rPr>
        <w:t xml:space="preserve"> благоустройство города не может носить комплексный характер и эффективно влиять на повышение качества жизни населения.</w:t>
      </w:r>
    </w:p>
    <w:p w:rsidR="009D427E" w:rsidRPr="00FF4C59" w:rsidRDefault="009D427E" w:rsidP="009D427E">
      <w:pPr>
        <w:tabs>
          <w:tab w:val="left" w:pos="0"/>
          <w:tab w:val="left" w:pos="1008"/>
          <w:tab w:val="center" w:pos="467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31674">
        <w:rPr>
          <w:rFonts w:ascii="Times New Roman" w:hAnsi="Times New Roman"/>
          <w:sz w:val="28"/>
          <w:szCs w:val="28"/>
        </w:rPr>
        <w:t xml:space="preserve">За многолетний период эксплуатации </w:t>
      </w:r>
      <w:r>
        <w:rPr>
          <w:rFonts w:ascii="Times New Roman" w:hAnsi="Times New Roman"/>
          <w:sz w:val="28"/>
          <w:szCs w:val="28"/>
        </w:rPr>
        <w:t xml:space="preserve">подпорные стенки </w:t>
      </w:r>
      <w:r w:rsidRPr="00F31674">
        <w:rPr>
          <w:rFonts w:ascii="Times New Roman" w:hAnsi="Times New Roman"/>
          <w:sz w:val="28"/>
          <w:szCs w:val="28"/>
        </w:rPr>
        <w:t>пришли в ветхое состояние и не отвечают в полной мере современным требованиям. Для улучшения условий проживания жителей города Мурманска, обеспечения санитарно-эпидемиологического благополучия населения, повышения безопасности дорожного движения необходимо проведение комплексной реконструкции</w:t>
      </w:r>
      <w:r>
        <w:rPr>
          <w:rFonts w:ascii="Times New Roman" w:hAnsi="Times New Roman"/>
          <w:sz w:val="28"/>
          <w:szCs w:val="28"/>
        </w:rPr>
        <w:t>, в том числе капитального ремонта подпорных стенок</w:t>
      </w:r>
      <w:r w:rsidRPr="00F31674">
        <w:rPr>
          <w:rFonts w:ascii="Times New Roman" w:hAnsi="Times New Roman"/>
          <w:sz w:val="28"/>
          <w:szCs w:val="28"/>
        </w:rPr>
        <w:t xml:space="preserve">. Подпрограммой </w:t>
      </w:r>
      <w:r>
        <w:rPr>
          <w:rFonts w:ascii="Times New Roman" w:hAnsi="Times New Roman"/>
          <w:sz w:val="28"/>
          <w:szCs w:val="28"/>
        </w:rPr>
        <w:t>предусмотрен капитальный ремонт подпорных стенок, расположенных на улицах города, на дворовых территориях и проездах к дворовым территориям</w:t>
      </w:r>
      <w:r w:rsidRPr="00F31674">
        <w:rPr>
          <w:rFonts w:ascii="Times New Roman" w:hAnsi="Times New Roman"/>
          <w:sz w:val="28"/>
          <w:szCs w:val="28"/>
        </w:rPr>
        <w:t>. Определение приоритетов и обеспечение целевого использования средс</w:t>
      </w:r>
      <w:r>
        <w:rPr>
          <w:rFonts w:ascii="Times New Roman" w:hAnsi="Times New Roman"/>
          <w:sz w:val="28"/>
          <w:szCs w:val="28"/>
        </w:rPr>
        <w:t>тв обусловит реализацию данной п</w:t>
      </w:r>
      <w:r w:rsidRPr="00F31674">
        <w:rPr>
          <w:rFonts w:ascii="Times New Roman" w:hAnsi="Times New Roman"/>
          <w:sz w:val="28"/>
          <w:szCs w:val="28"/>
        </w:rPr>
        <w:t>одпрограммы с максимальной эффективностью.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2. Основные цели и задачи подпрограммы,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целевые показатели (индикаторы) реализации подпрограммы</w:t>
      </w: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pPr w:leftFromText="180" w:rightFromText="180" w:vertAnchor="text" w:horzAnchor="margin" w:tblpY="9"/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851"/>
        <w:gridCol w:w="992"/>
        <w:gridCol w:w="992"/>
        <w:gridCol w:w="567"/>
        <w:gridCol w:w="567"/>
        <w:gridCol w:w="567"/>
        <w:gridCol w:w="567"/>
        <w:gridCol w:w="567"/>
        <w:gridCol w:w="567"/>
        <w:gridCol w:w="567"/>
      </w:tblGrid>
      <w:tr w:rsidR="009D427E" w:rsidRPr="000C23D1" w:rsidTr="001C66F6">
        <w:trPr>
          <w:trHeight w:val="345"/>
          <w:tblHeader/>
        </w:trPr>
        <w:tc>
          <w:tcPr>
            <w:tcW w:w="392" w:type="dxa"/>
            <w:vMerge w:val="restart"/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№ п/п</w:t>
            </w:r>
          </w:p>
        </w:tc>
        <w:tc>
          <w:tcPr>
            <w:tcW w:w="2551" w:type="dxa"/>
            <w:vMerge w:val="restart"/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Цель, задачи и показатели (индикаторы)</w:t>
            </w:r>
          </w:p>
        </w:tc>
        <w:tc>
          <w:tcPr>
            <w:tcW w:w="851" w:type="dxa"/>
            <w:vMerge w:val="restart"/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 изм.</w:t>
            </w:r>
          </w:p>
        </w:tc>
        <w:tc>
          <w:tcPr>
            <w:tcW w:w="5953" w:type="dxa"/>
            <w:gridSpan w:val="9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Значение показателя (индикатора)</w:t>
            </w:r>
          </w:p>
        </w:tc>
      </w:tr>
      <w:tr w:rsidR="009D427E" w:rsidRPr="000C23D1" w:rsidTr="001C66F6">
        <w:trPr>
          <w:trHeight w:val="270"/>
          <w:tblHeader/>
        </w:trPr>
        <w:tc>
          <w:tcPr>
            <w:tcW w:w="392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Отчетный 2016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Текущий 2017 год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Годы реализации подпрограммы</w:t>
            </w:r>
          </w:p>
        </w:tc>
      </w:tr>
      <w:tr w:rsidR="009D427E" w:rsidRPr="000C23D1" w:rsidTr="001C66F6">
        <w:trPr>
          <w:trHeight w:val="319"/>
          <w:tblHeader/>
        </w:trPr>
        <w:tc>
          <w:tcPr>
            <w:tcW w:w="392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2551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851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567" w:type="dxa"/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42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2018 год</w:t>
            </w:r>
          </w:p>
        </w:tc>
        <w:tc>
          <w:tcPr>
            <w:tcW w:w="567" w:type="dxa"/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2024 год</w:t>
            </w:r>
          </w:p>
        </w:tc>
      </w:tr>
      <w:tr w:rsidR="009D427E" w:rsidRPr="000C23D1" w:rsidTr="001C66F6">
        <w:trPr>
          <w:trHeight w:val="177"/>
          <w:tblHeader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9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11</w:t>
            </w: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9D427E" w:rsidRPr="00F15716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12</w:t>
            </w:r>
          </w:p>
        </w:tc>
      </w:tr>
      <w:tr w:rsidR="009D427E" w:rsidRPr="000C23D1" w:rsidTr="001C66F6">
        <w:trPr>
          <w:trHeight w:val="389"/>
        </w:trPr>
        <w:tc>
          <w:tcPr>
            <w:tcW w:w="9747" w:type="dxa"/>
            <w:gridSpan w:val="12"/>
            <w:vAlign w:val="center"/>
          </w:tcPr>
          <w:p w:rsidR="009D427E" w:rsidRPr="00F15716" w:rsidRDefault="009D427E" w:rsidP="001C66F6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 xml:space="preserve">Цель: </w:t>
            </w:r>
            <w:r>
              <w:rPr>
                <w:rFonts w:ascii="Times New Roman" w:hAnsi="Times New Roman"/>
              </w:rPr>
              <w:t>о</w:t>
            </w:r>
            <w:r w:rsidRPr="00F15716">
              <w:rPr>
                <w:rFonts w:ascii="Times New Roman" w:hAnsi="Times New Roman"/>
              </w:rPr>
              <w:t xml:space="preserve">беспечение благоустройства </w:t>
            </w:r>
            <w:r w:rsidRPr="004A615E">
              <w:rPr>
                <w:rFonts w:ascii="Times New Roman" w:hAnsi="Times New Roman"/>
              </w:rPr>
              <w:t>отдельных элементов территории города Мурманска</w:t>
            </w:r>
          </w:p>
        </w:tc>
      </w:tr>
      <w:tr w:rsidR="009D427E" w:rsidRPr="000C23D1" w:rsidTr="001C66F6">
        <w:trPr>
          <w:trHeight w:val="1453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F15716">
              <w:rPr>
                <w:rFonts w:ascii="Times New Roman" w:hAnsi="Times New Roman"/>
              </w:rPr>
              <w:t xml:space="preserve">Количество отремонтированных </w:t>
            </w:r>
            <w:r>
              <w:rPr>
                <w:rFonts w:ascii="Times New Roman" w:hAnsi="Times New Roman"/>
              </w:rPr>
              <w:t>элементов благоустройства</w:t>
            </w:r>
            <w:r w:rsidRPr="00F15716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</w:rPr>
              <w:t>в год</w:t>
            </w:r>
            <w:r w:rsidRPr="00F15716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ед.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427E" w:rsidRPr="005E646A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val="en-US" w:eastAsia="en-US"/>
              </w:rPr>
            </w:pPr>
            <w:r>
              <w:rPr>
                <w:rFonts w:ascii="Times New Roman" w:eastAsia="Calibri" w:hAnsi="Times New Roman"/>
                <w:lang w:val="en-US" w:eastAsia="en-US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vAlign w:val="center"/>
          </w:tcPr>
          <w:p w:rsidR="009D427E" w:rsidRPr="00F15716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F15716">
              <w:rPr>
                <w:rFonts w:ascii="Times New Roman" w:eastAsia="Calibri" w:hAnsi="Times New Roman"/>
                <w:lang w:eastAsia="en-US"/>
              </w:rPr>
              <w:t>1</w:t>
            </w:r>
          </w:p>
        </w:tc>
      </w:tr>
    </w:tbl>
    <w:p w:rsidR="009D427E" w:rsidRPr="00FF4C59" w:rsidRDefault="009D427E" w:rsidP="009D427E">
      <w:pPr>
        <w:spacing w:after="0" w:line="240" w:lineRule="auto"/>
        <w:rPr>
          <w:rFonts w:eastAsia="Calibri"/>
          <w:sz w:val="16"/>
          <w:szCs w:val="16"/>
          <w:lang w:eastAsia="en-US"/>
        </w:rPr>
      </w:pPr>
    </w:p>
    <w:p w:rsidR="009D427E" w:rsidRPr="00FF4C59" w:rsidRDefault="009D427E" w:rsidP="009D4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spacing w:after="0" w:line="302" w:lineRule="exact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3. Перечень основных мероприятий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подпрограммы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9D427E" w:rsidRPr="00FF4C59" w:rsidRDefault="009D427E" w:rsidP="009D427E">
      <w:pPr>
        <w:spacing w:after="0" w:line="302" w:lineRule="exact"/>
        <w:ind w:firstLine="567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Перечень мероприятий подпрограммы, информация о сроках реализации с указанием объема финансирования представлены в таблице.</w:t>
      </w:r>
    </w:p>
    <w:p w:rsidR="009D427E" w:rsidRPr="00FF4C59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В ходе реализации подпрограммы перечень мероприятий и объем их финансирования могут уточняться.</w:t>
      </w:r>
    </w:p>
    <w:p w:rsidR="009D427E" w:rsidRPr="00FF4C59" w:rsidRDefault="009D427E" w:rsidP="009D427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  <w:sectPr w:rsidR="009D427E" w:rsidRPr="00FF4C59" w:rsidSect="00B63953">
          <w:headerReference w:type="default" r:id="rId6"/>
          <w:pgSz w:w="11906" w:h="16838"/>
          <w:pgMar w:top="962" w:right="851" w:bottom="1134" w:left="1418" w:header="426" w:footer="709" w:gutter="0"/>
          <w:pgNumType w:start="5"/>
          <w:cols w:space="708"/>
          <w:docGrid w:linePitch="360"/>
        </w:sectPr>
      </w:pPr>
    </w:p>
    <w:p w:rsidR="009D427E" w:rsidRDefault="009D427E" w:rsidP="009D42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097A05">
        <w:rPr>
          <w:rFonts w:ascii="Times New Roman" w:hAnsi="Times New Roman"/>
          <w:bCs/>
          <w:sz w:val="28"/>
          <w:szCs w:val="28"/>
        </w:rPr>
        <w:lastRenderedPageBreak/>
        <w:t>3.1. Перечень основных мероприятий подпрограммы</w:t>
      </w:r>
      <w:r w:rsidRPr="00097A05">
        <w:rPr>
          <w:rFonts w:ascii="Times New Roman" w:eastAsia="Arial" w:hAnsi="Times New Roman"/>
          <w:sz w:val="28"/>
          <w:szCs w:val="28"/>
        </w:rPr>
        <w:t xml:space="preserve"> на 2018</w:t>
      </w:r>
      <w:r>
        <w:rPr>
          <w:rFonts w:ascii="Times New Roman" w:eastAsia="Arial" w:hAnsi="Times New Roman"/>
          <w:sz w:val="28"/>
          <w:szCs w:val="28"/>
        </w:rPr>
        <w:t xml:space="preserve"> – </w:t>
      </w:r>
      <w:r w:rsidRPr="00097A05">
        <w:rPr>
          <w:rFonts w:ascii="Times New Roman" w:eastAsia="Arial" w:hAnsi="Times New Roman"/>
          <w:sz w:val="28"/>
          <w:szCs w:val="28"/>
        </w:rPr>
        <w:t>2021 годы</w:t>
      </w:r>
    </w:p>
    <w:p w:rsidR="009D427E" w:rsidRPr="00F11FE0" w:rsidRDefault="009D427E" w:rsidP="009D427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54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781"/>
        <w:gridCol w:w="784"/>
        <w:gridCol w:w="770"/>
        <w:gridCol w:w="2198"/>
        <w:gridCol w:w="570"/>
        <w:gridCol w:w="567"/>
        <w:gridCol w:w="567"/>
        <w:gridCol w:w="567"/>
        <w:gridCol w:w="2643"/>
      </w:tblGrid>
      <w:tr w:rsidR="009D427E" w:rsidRPr="00AF0469" w:rsidTr="001C66F6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AF0469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AF0469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AF0469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4036" w:type="dxa"/>
            <w:gridSpan w:val="5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469" w:type="dxa"/>
            <w:gridSpan w:val="5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9D427E" w:rsidRPr="00AF0469" w:rsidTr="001C66F6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781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784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198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570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2021 год</w:t>
            </w:r>
          </w:p>
        </w:tc>
        <w:tc>
          <w:tcPr>
            <w:tcW w:w="2643" w:type="dxa"/>
            <w:vMerge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7E" w:rsidRPr="00AF0469" w:rsidTr="001C66F6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781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198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0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5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43" w:type="dxa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9D427E" w:rsidRPr="00AF0469" w:rsidTr="001C66F6">
        <w:trPr>
          <w:trHeight w:val="419"/>
        </w:trPr>
        <w:tc>
          <w:tcPr>
            <w:tcW w:w="15543" w:type="dxa"/>
            <w:gridSpan w:val="15"/>
            <w:shd w:val="clear" w:color="auto" w:fill="auto"/>
            <w:noWrap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Цель: обеспечение благоустройства отдельных элементов территории города Мурманска</w:t>
            </w:r>
          </w:p>
        </w:tc>
      </w:tr>
      <w:tr w:rsidR="009D427E" w:rsidRPr="00AF0469" w:rsidTr="001C66F6">
        <w:trPr>
          <w:trHeight w:val="1355"/>
        </w:trPr>
        <w:tc>
          <w:tcPr>
            <w:tcW w:w="426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2018, 2020-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11 252,6</w:t>
            </w:r>
          </w:p>
        </w:tc>
        <w:tc>
          <w:tcPr>
            <w:tcW w:w="219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«Управление дорожного </w:t>
            </w:r>
            <w:proofErr w:type="gramStart"/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хозяйства» 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 </w:t>
            </w:r>
            <w:proofErr w:type="gramEnd"/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</w:t>
            </w:r>
            <w:r w:rsidRPr="00AF0469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(далее – ММБУ «УДХ»)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, </w:t>
            </w:r>
          </w:p>
          <w:p w:rsidR="009D427E" w:rsidRPr="00C251A9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комитет по строительству администрации города Мурманска (далее – КС АГМ), ММКУ «Управление капитального строительства» (далее – ММКУ «УКС»)</w:t>
            </w:r>
          </w:p>
        </w:tc>
      </w:tr>
      <w:tr w:rsidR="009D427E" w:rsidRPr="00AF0469" w:rsidTr="001C66F6">
        <w:trPr>
          <w:trHeight w:val="2908"/>
        </w:trPr>
        <w:tc>
          <w:tcPr>
            <w:tcW w:w="426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Расходы на обеспечение деятельности </w:t>
            </w:r>
          </w:p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(оказание услуг) </w:t>
            </w:r>
          </w:p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подведомственных учреждений, в том числе на </w:t>
            </w:r>
          </w:p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предоставление муниципальным бюджетным и 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2018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2198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 xml:space="preserve">Количество отремонтированных подпорных стенок, шт. </w:t>
            </w:r>
          </w:p>
        </w:tc>
        <w:tc>
          <w:tcPr>
            <w:tcW w:w="57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eastAsia="Calibri" w:hAnsi="Times New Roman"/>
                <w:sz w:val="21"/>
                <w:szCs w:val="21"/>
                <w:lang w:eastAsia="en-US"/>
              </w:rPr>
              <w:t xml:space="preserve"> ММБУ «УДХ», конкурсный отбор</w:t>
            </w:r>
          </w:p>
        </w:tc>
      </w:tr>
      <w:tr w:rsidR="009D427E" w:rsidRPr="00AF0469" w:rsidTr="001C66F6">
        <w:trPr>
          <w:trHeight w:val="413"/>
        </w:trPr>
        <w:tc>
          <w:tcPr>
            <w:tcW w:w="426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1.2.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Капитальный и текущий ремонт подпорных стенок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20</w:t>
            </w:r>
            <w:r>
              <w:rPr>
                <w:rFonts w:ascii="Times New Roman" w:hAnsi="Times New Roman"/>
                <w:sz w:val="21"/>
                <w:szCs w:val="21"/>
              </w:rPr>
              <w:t>20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-2021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13 988,8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1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784" w:type="dxa"/>
            <w:vMerge w:val="restart"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vMerge w:val="restart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11 252,6</w:t>
            </w:r>
          </w:p>
        </w:tc>
        <w:tc>
          <w:tcPr>
            <w:tcW w:w="21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Осуществление работ по капитальному и текущему ремонту подпорных стенок </w:t>
            </w:r>
          </w:p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(да – 1, нет – 0)</w:t>
            </w:r>
          </w:p>
        </w:tc>
        <w:tc>
          <w:tcPr>
            <w:tcW w:w="5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 w:val="restart"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КС АГМ</w:t>
            </w: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</w:p>
          <w:p w:rsidR="009D427E" w:rsidRPr="00AF0469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  <w:r w:rsidRPr="00AF0469">
              <w:rPr>
                <w:rFonts w:ascii="Times New Roman" w:hAnsi="Times New Roman"/>
                <w:color w:val="000000"/>
                <w:sz w:val="20"/>
                <w:szCs w:val="20"/>
              </w:rPr>
              <w:t>ММКУ «УКС»</w:t>
            </w:r>
          </w:p>
        </w:tc>
      </w:tr>
      <w:tr w:rsidR="009D427E" w:rsidRPr="00AF0469" w:rsidTr="001C66F6">
        <w:trPr>
          <w:trHeight w:val="414"/>
        </w:trPr>
        <w:tc>
          <w:tcPr>
            <w:tcW w:w="426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1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4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70" w:type="dxa"/>
            <w:vMerge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Количество отремонтированных подпорных стенок, шт.</w:t>
            </w:r>
          </w:p>
        </w:tc>
        <w:tc>
          <w:tcPr>
            <w:tcW w:w="57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250" w:right="-250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</w:t>
            </w:r>
          </w:p>
        </w:tc>
        <w:tc>
          <w:tcPr>
            <w:tcW w:w="2643" w:type="dxa"/>
            <w:vMerge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eastAsia="Calibri" w:hAnsi="Times New Roman"/>
                <w:sz w:val="21"/>
                <w:szCs w:val="21"/>
                <w:lang w:eastAsia="en-US"/>
              </w:rPr>
            </w:pPr>
          </w:p>
        </w:tc>
      </w:tr>
      <w:tr w:rsidR="009D427E" w:rsidRPr="00AF0469" w:rsidTr="001C66F6">
        <w:trPr>
          <w:trHeight w:val="691"/>
        </w:trPr>
        <w:tc>
          <w:tcPr>
            <w:tcW w:w="426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2018, 2020-</w:t>
            </w:r>
            <w:r w:rsidRPr="00AF0469">
              <w:rPr>
                <w:rFonts w:ascii="Times New Roman" w:hAnsi="Times New Roman"/>
                <w:sz w:val="21"/>
                <w:szCs w:val="21"/>
              </w:rPr>
              <w:t>2021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  <w:r w:rsidRPr="00AF0469">
              <w:rPr>
                <w:rFonts w:ascii="Times New Roman" w:hAnsi="Times New Roman"/>
                <w:sz w:val="21"/>
                <w:szCs w:val="21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16 896,2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0469">
              <w:rPr>
                <w:rFonts w:ascii="Times New Roman" w:hAnsi="Times New Roman"/>
                <w:sz w:val="20"/>
                <w:szCs w:val="20"/>
              </w:rPr>
              <w:t>2 907,4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AF0469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784" w:type="dxa"/>
            <w:shd w:val="clear" w:color="auto" w:fill="auto"/>
            <w:vAlign w:val="center"/>
          </w:tcPr>
          <w:p w:rsidR="009D427E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2 736,2</w:t>
            </w:r>
          </w:p>
        </w:tc>
        <w:tc>
          <w:tcPr>
            <w:tcW w:w="770" w:type="dxa"/>
            <w:shd w:val="clear" w:color="auto" w:fill="auto"/>
            <w:vAlign w:val="center"/>
          </w:tcPr>
          <w:p w:rsidR="009D427E" w:rsidRPr="00AF0469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11 252,6</w:t>
            </w:r>
          </w:p>
        </w:tc>
        <w:tc>
          <w:tcPr>
            <w:tcW w:w="7112" w:type="dxa"/>
            <w:gridSpan w:val="6"/>
            <w:shd w:val="clear" w:color="auto" w:fill="auto"/>
            <w:vAlign w:val="center"/>
            <w:hideMark/>
          </w:tcPr>
          <w:p w:rsidR="009D427E" w:rsidRPr="00AF0469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  <w:szCs w:val="21"/>
              </w:rPr>
            </w:pPr>
          </w:p>
        </w:tc>
      </w:tr>
    </w:tbl>
    <w:p w:rsidR="009D427E" w:rsidRDefault="009D427E" w:rsidP="009D427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9D427E" w:rsidRDefault="009D427E" w:rsidP="009D427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  <w:r w:rsidRPr="002014EA">
        <w:rPr>
          <w:rFonts w:ascii="Times New Roman" w:hAnsi="Times New Roman"/>
          <w:bCs/>
          <w:sz w:val="28"/>
          <w:szCs w:val="28"/>
        </w:rPr>
        <w:t xml:space="preserve">3.2. </w:t>
      </w:r>
      <w:r w:rsidRPr="00F11FE0">
        <w:rPr>
          <w:rFonts w:ascii="Times New Roman" w:hAnsi="Times New Roman"/>
          <w:bCs/>
          <w:sz w:val="28"/>
          <w:szCs w:val="28"/>
        </w:rPr>
        <w:t>Перечень основных мероприятий подпрограммы</w:t>
      </w:r>
      <w:r>
        <w:rPr>
          <w:rFonts w:ascii="Times New Roman" w:eastAsia="Arial" w:hAnsi="Times New Roman"/>
          <w:sz w:val="28"/>
          <w:szCs w:val="28"/>
        </w:rPr>
        <w:t xml:space="preserve"> на 2022 – 2024</w:t>
      </w:r>
      <w:r w:rsidRPr="00F11FE0">
        <w:rPr>
          <w:rFonts w:ascii="Times New Roman" w:eastAsia="Arial" w:hAnsi="Times New Roman"/>
          <w:sz w:val="28"/>
          <w:szCs w:val="28"/>
        </w:rPr>
        <w:t xml:space="preserve"> годы</w:t>
      </w: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tbl>
      <w:tblPr>
        <w:tblW w:w="1531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126"/>
        <w:gridCol w:w="851"/>
        <w:gridCol w:w="992"/>
        <w:gridCol w:w="851"/>
        <w:gridCol w:w="850"/>
        <w:gridCol w:w="851"/>
        <w:gridCol w:w="850"/>
        <w:gridCol w:w="2552"/>
        <w:gridCol w:w="708"/>
        <w:gridCol w:w="709"/>
        <w:gridCol w:w="709"/>
        <w:gridCol w:w="2835"/>
      </w:tblGrid>
      <w:tr w:rsidR="009D427E" w:rsidRPr="000C23D1" w:rsidTr="001C66F6">
        <w:trPr>
          <w:trHeight w:val="300"/>
          <w:tblHeader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Цель, задачи, основные мероприятия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Срок  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выпол</w:t>
            </w:r>
            <w:proofErr w:type="spellEnd"/>
            <w:r w:rsidRPr="000C23D1">
              <w:rPr>
                <w:rFonts w:ascii="Times New Roman" w:hAnsi="Times New Roman"/>
                <w:sz w:val="20"/>
                <w:szCs w:val="20"/>
              </w:rPr>
              <w:t>-нения</w:t>
            </w:r>
            <w:proofErr w:type="gramEnd"/>
            <w:r w:rsidRPr="000C23D1">
              <w:rPr>
                <w:rFonts w:ascii="Times New Roman" w:hAnsi="Times New Roman"/>
                <w:sz w:val="20"/>
                <w:szCs w:val="20"/>
              </w:rPr>
              <w:t xml:space="preserve"> (квартал, год)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Источники </w:t>
            </w:r>
            <w:proofErr w:type="spellStart"/>
            <w:proofErr w:type="gramStart"/>
            <w:r w:rsidRPr="000C23D1">
              <w:rPr>
                <w:rFonts w:ascii="Times New Roman" w:hAnsi="Times New Roman"/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3402" w:type="dxa"/>
            <w:gridSpan w:val="4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Объемы финансирования, тыс. руб.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ind w:right="-5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Перечень организаций, участвующих в реализации основных мероприятий</w:t>
            </w:r>
          </w:p>
        </w:tc>
      </w:tr>
      <w:tr w:rsidR="009D427E" w:rsidRPr="000C23D1" w:rsidTr="001C66F6">
        <w:trPr>
          <w:trHeight w:val="652"/>
          <w:tblHeader/>
        </w:trPr>
        <w:tc>
          <w:tcPr>
            <w:tcW w:w="426" w:type="dxa"/>
            <w:vMerge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</w:t>
            </w:r>
          </w:p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год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Наименование показателя, ед. измерения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2024 год</w:t>
            </w:r>
          </w:p>
        </w:tc>
        <w:tc>
          <w:tcPr>
            <w:tcW w:w="2835" w:type="dxa"/>
            <w:vMerge/>
            <w:shd w:val="clear" w:color="auto" w:fill="auto"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427E" w:rsidRPr="000C23D1" w:rsidTr="001C66F6">
        <w:trPr>
          <w:trHeight w:val="300"/>
          <w:tblHeader/>
        </w:trPr>
        <w:tc>
          <w:tcPr>
            <w:tcW w:w="426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9D427E" w:rsidRPr="000C23D1" w:rsidTr="001C66F6">
        <w:trPr>
          <w:trHeight w:val="419"/>
        </w:trPr>
        <w:tc>
          <w:tcPr>
            <w:tcW w:w="15310" w:type="dxa"/>
            <w:gridSpan w:val="13"/>
            <w:shd w:val="clear" w:color="auto" w:fill="auto"/>
            <w:noWrap/>
            <w:vAlign w:val="center"/>
            <w:hideMark/>
          </w:tcPr>
          <w:p w:rsidR="009D427E" w:rsidRPr="000C23D1" w:rsidRDefault="009D427E" w:rsidP="001C66F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 xml:space="preserve">Цель: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0C23D1">
              <w:rPr>
                <w:rFonts w:ascii="Times New Roman" w:hAnsi="Times New Roman"/>
                <w:sz w:val="20"/>
                <w:szCs w:val="20"/>
              </w:rPr>
              <w:t>беспечение благоустройства отдельных элементов территории города Мурманска</w:t>
            </w:r>
          </w:p>
        </w:tc>
      </w:tr>
      <w:tr w:rsidR="009D427E" w:rsidRPr="000C23D1" w:rsidTr="001C66F6">
        <w:trPr>
          <w:trHeight w:val="1258"/>
        </w:trPr>
        <w:tc>
          <w:tcPr>
            <w:tcW w:w="426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Основное мероприятие: приведение подпорных стенок к нормативным требованиям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Доля отремонтированных подпорных стенок от запланированного на год объема, %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27E" w:rsidRPr="000C23D1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C23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ММБУ «УДХ»</w:t>
            </w:r>
          </w:p>
        </w:tc>
      </w:tr>
      <w:tr w:rsidR="009D427E" w:rsidRPr="000C23D1" w:rsidTr="001C66F6">
        <w:trPr>
          <w:trHeight w:val="2116"/>
        </w:trPr>
        <w:tc>
          <w:tcPr>
            <w:tcW w:w="426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42" w:right="-13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деятельности </w:t>
            </w:r>
          </w:p>
          <w:p w:rsidR="009D427E" w:rsidRPr="004C46DC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(оказание услуг) </w:t>
            </w:r>
          </w:p>
          <w:p w:rsidR="009D427E" w:rsidRPr="004C46DC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подведомственных учреждений, в том числе на </w:t>
            </w:r>
          </w:p>
          <w:p w:rsidR="009D427E" w:rsidRPr="004C46DC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предоставление муниципальным бюджетным и </w:t>
            </w:r>
            <w:r w:rsidRPr="004C46DC">
              <w:rPr>
                <w:rFonts w:ascii="Times New Roman" w:hAnsi="Times New Roman"/>
                <w:sz w:val="20"/>
                <w:szCs w:val="20"/>
              </w:rPr>
              <w:lastRenderedPageBreak/>
              <w:t>автономным учреждениям субсидий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 xml:space="preserve">Количество отремонтированных подпорных стенок, шт.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83" w:right="-21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ММБУ «УДХ», конкурсный отбор</w:t>
            </w:r>
          </w:p>
        </w:tc>
      </w:tr>
      <w:tr w:rsidR="009D427E" w:rsidRPr="000C23D1" w:rsidTr="001C66F6">
        <w:trPr>
          <w:trHeight w:val="808"/>
        </w:trPr>
        <w:tc>
          <w:tcPr>
            <w:tcW w:w="426" w:type="dxa"/>
            <w:shd w:val="clear" w:color="auto" w:fill="auto"/>
            <w:vAlign w:val="center"/>
            <w:hideMark/>
          </w:tcPr>
          <w:p w:rsidR="009D427E" w:rsidRPr="004C46DC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9D427E" w:rsidRPr="004C46DC" w:rsidRDefault="009D427E" w:rsidP="001C66F6">
            <w:p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D427E" w:rsidRPr="004C46DC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2022-2024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МБ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4C46DC">
              <w:rPr>
                <w:rFonts w:ascii="Times New Roman" w:hAnsi="Times New Roman"/>
                <w:sz w:val="20"/>
                <w:szCs w:val="20"/>
              </w:rPr>
              <w:t> 000,0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4C46DC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C46DC">
              <w:rPr>
                <w:rFonts w:ascii="Times New Roman" w:hAnsi="Times New Roman"/>
                <w:sz w:val="20"/>
                <w:szCs w:val="20"/>
              </w:rPr>
              <w:t>3 000,0</w:t>
            </w:r>
          </w:p>
        </w:tc>
        <w:tc>
          <w:tcPr>
            <w:tcW w:w="7513" w:type="dxa"/>
            <w:gridSpan w:val="5"/>
            <w:shd w:val="clear" w:color="auto" w:fill="auto"/>
            <w:vAlign w:val="center"/>
            <w:hideMark/>
          </w:tcPr>
          <w:p w:rsidR="009D427E" w:rsidRPr="004C46DC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Arial" w:hAnsi="Times New Roman"/>
          <w:sz w:val="28"/>
          <w:szCs w:val="28"/>
        </w:rPr>
      </w:pP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  <w:sectPr w:rsidR="009D427E" w:rsidRPr="00FF4C59" w:rsidSect="0006579D">
          <w:pgSz w:w="16838" w:h="11906" w:orient="landscape"/>
          <w:pgMar w:top="1134" w:right="1134" w:bottom="1134" w:left="1134" w:header="573" w:footer="709" w:gutter="0"/>
          <w:cols w:space="708"/>
          <w:docGrid w:linePitch="360"/>
        </w:sectPr>
      </w:pP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Детализация основных мероприятий подпрограммы</w:t>
      </w: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7371"/>
        <w:gridCol w:w="1701"/>
      </w:tblGrid>
      <w:tr w:rsidR="009D427E" w:rsidRPr="000C23D1" w:rsidTr="001C66F6">
        <w:trPr>
          <w:trHeight w:val="12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 исполнения (год)</w:t>
            </w:r>
          </w:p>
        </w:tc>
      </w:tr>
      <w:tr w:rsidR="009D427E" w:rsidRPr="000C23D1" w:rsidTr="001C66F6">
        <w:trPr>
          <w:trHeight w:val="271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11FE0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9D427E" w:rsidRPr="000C23D1" w:rsidTr="001C66F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Pr="00F11FE0" w:rsidRDefault="009D427E" w:rsidP="001C6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Капитальный ремонт подпорной стены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районе дома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 по проезду Северному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2018</w:t>
            </w:r>
          </w:p>
        </w:tc>
      </w:tr>
      <w:tr w:rsidR="009D427E" w:rsidRPr="000C23D1" w:rsidTr="001C66F6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Pr="00FD7390" w:rsidRDefault="009D427E" w:rsidP="001C66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4660">
              <w:rPr>
                <w:rFonts w:ascii="Times New Roman" w:hAnsi="Times New Roman"/>
                <w:sz w:val="24"/>
                <w:szCs w:val="24"/>
              </w:rPr>
              <w:t>Капитальный ремонт подпорной стен</w:t>
            </w:r>
            <w:r>
              <w:rPr>
                <w:rFonts w:ascii="Times New Roman" w:hAnsi="Times New Roman"/>
                <w:sz w:val="24"/>
                <w:szCs w:val="24"/>
              </w:rPr>
              <w:t>ки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расположенной в рай</w:t>
            </w:r>
            <w:r>
              <w:rPr>
                <w:rFonts w:ascii="Times New Roman" w:hAnsi="Times New Roman"/>
                <w:sz w:val="24"/>
                <w:szCs w:val="24"/>
              </w:rPr>
              <w:t>оне строящегося объекта спорта «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Крытый каток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искусственным льдом МАУ ГСЦ «Авангард»</w:t>
            </w:r>
            <w:r w:rsidRPr="00564660">
              <w:rPr>
                <w:rFonts w:ascii="Times New Roman" w:hAnsi="Times New Roman"/>
                <w:sz w:val="24"/>
                <w:szCs w:val="24"/>
              </w:rPr>
              <w:t>, расположенного по адресу: ул.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апитана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Орликовой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9 микрорайон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</w:t>
            </w:r>
          </w:p>
        </w:tc>
      </w:tr>
      <w:tr w:rsidR="009D427E" w:rsidRPr="000C23D1" w:rsidTr="001C66F6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Pr="00F11FE0" w:rsidRDefault="009D427E" w:rsidP="001C66F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Pr="00F11FE0" w:rsidRDefault="009D427E" w:rsidP="001C66F6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F12CD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Ремонт подпорной стены, расположенной</w:t>
            </w:r>
            <w:r w:rsidRPr="00F11FE0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дворовой территории дома 21 по просп. Кольскому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427E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</w:tr>
    </w:tbl>
    <w:p w:rsidR="009D427E" w:rsidRPr="00FF4C59" w:rsidRDefault="009D427E" w:rsidP="009D427E">
      <w:pPr>
        <w:tabs>
          <w:tab w:val="left" w:pos="7050"/>
        </w:tabs>
        <w:spacing w:after="0" w:line="240" w:lineRule="auto"/>
        <w:jc w:val="center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F4C59" w:rsidRDefault="009D427E" w:rsidP="009D427E">
      <w:pPr>
        <w:tabs>
          <w:tab w:val="left" w:pos="7050"/>
        </w:tabs>
        <w:spacing w:after="0" w:line="240" w:lineRule="auto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t>4. Обоснование ресурсного обеспечения подпрограммы</w:t>
      </w: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992"/>
        <w:gridCol w:w="992"/>
        <w:gridCol w:w="851"/>
        <w:gridCol w:w="850"/>
        <w:gridCol w:w="851"/>
        <w:gridCol w:w="850"/>
        <w:gridCol w:w="851"/>
        <w:gridCol w:w="850"/>
      </w:tblGrid>
      <w:tr w:rsidR="009D427E" w:rsidRPr="006439A2" w:rsidTr="001C66F6">
        <w:trPr>
          <w:trHeight w:val="270"/>
          <w:tblHeader/>
        </w:trPr>
        <w:tc>
          <w:tcPr>
            <w:tcW w:w="2552" w:type="dxa"/>
            <w:vMerge w:val="restart"/>
            <w:vAlign w:val="center"/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Всего, </w:t>
            </w:r>
          </w:p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  <w:tc>
          <w:tcPr>
            <w:tcW w:w="6095" w:type="dxa"/>
            <w:gridSpan w:val="7"/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 xml:space="preserve">В </w:t>
            </w:r>
            <w:proofErr w:type="spellStart"/>
            <w:r w:rsidRPr="006439A2">
              <w:rPr>
                <w:rFonts w:ascii="Times New Roman" w:eastAsia="Calibri" w:hAnsi="Times New Roman"/>
                <w:lang w:eastAsia="en-US"/>
              </w:rPr>
              <w:t>т.ч</w:t>
            </w:r>
            <w:proofErr w:type="spellEnd"/>
            <w:r w:rsidRPr="006439A2">
              <w:rPr>
                <w:rFonts w:ascii="Times New Roman" w:eastAsia="Calibri" w:hAnsi="Times New Roman"/>
                <w:lang w:eastAsia="en-US"/>
              </w:rPr>
              <w:t xml:space="preserve">. по годам реализации, </w:t>
            </w:r>
          </w:p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тыс. руб.</w:t>
            </w:r>
          </w:p>
        </w:tc>
      </w:tr>
      <w:tr w:rsidR="009D427E" w:rsidRPr="006439A2" w:rsidTr="001C66F6">
        <w:trPr>
          <w:trHeight w:val="270"/>
          <w:tblHeader/>
        </w:trPr>
        <w:tc>
          <w:tcPr>
            <w:tcW w:w="2552" w:type="dxa"/>
            <w:vMerge/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vMerge/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2024</w:t>
            </w:r>
          </w:p>
        </w:tc>
      </w:tr>
      <w:tr w:rsidR="009D427E" w:rsidRPr="006439A2" w:rsidTr="001C66F6">
        <w:trPr>
          <w:trHeight w:val="270"/>
          <w:tblHeader/>
        </w:trPr>
        <w:tc>
          <w:tcPr>
            <w:tcW w:w="2552" w:type="dxa"/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1</w:t>
            </w:r>
          </w:p>
        </w:tc>
        <w:tc>
          <w:tcPr>
            <w:tcW w:w="992" w:type="dxa"/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9D427E" w:rsidRPr="006439A2" w:rsidRDefault="009D427E" w:rsidP="001C66F6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9</w:t>
            </w:r>
          </w:p>
        </w:tc>
      </w:tr>
      <w:tr w:rsidR="009D427E" w:rsidRPr="006439A2" w:rsidTr="001C66F6">
        <w:trPr>
          <w:trHeight w:val="439"/>
        </w:trPr>
        <w:tc>
          <w:tcPr>
            <w:tcW w:w="255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right="34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Всего по подпрограмме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19 896,2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11 252,6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</w:tr>
      <w:tr w:rsidR="009D427E" w:rsidRPr="006439A2" w:rsidTr="001C66F6">
        <w:trPr>
          <w:trHeight w:val="430"/>
        </w:trPr>
        <w:tc>
          <w:tcPr>
            <w:tcW w:w="9639" w:type="dxa"/>
            <w:gridSpan w:val="9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9D427E" w:rsidRPr="006439A2" w:rsidTr="001C66F6">
        <w:trPr>
          <w:trHeight w:val="1060"/>
        </w:trPr>
        <w:tc>
          <w:tcPr>
            <w:tcW w:w="255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19 896,2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11 252,6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</w:tr>
      <w:tr w:rsidR="009D427E" w:rsidRPr="006439A2" w:rsidTr="001C66F6">
        <w:trPr>
          <w:trHeight w:val="465"/>
        </w:trPr>
        <w:tc>
          <w:tcPr>
            <w:tcW w:w="9639" w:type="dxa"/>
            <w:gridSpan w:val="9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по заказчикам:</w:t>
            </w:r>
          </w:p>
        </w:tc>
      </w:tr>
      <w:tr w:rsidR="009D427E" w:rsidRPr="006439A2" w:rsidTr="001C66F6">
        <w:trPr>
          <w:trHeight w:val="482"/>
        </w:trPr>
        <w:tc>
          <w:tcPr>
            <w:tcW w:w="255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развитию городского хозяйства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5 907,4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</w:tr>
      <w:tr w:rsidR="009D427E" w:rsidRPr="006439A2" w:rsidTr="001C66F6">
        <w:trPr>
          <w:trHeight w:val="387"/>
        </w:trPr>
        <w:tc>
          <w:tcPr>
            <w:tcW w:w="9639" w:type="dxa"/>
            <w:gridSpan w:val="9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9D427E" w:rsidRPr="006439A2" w:rsidTr="001C66F6">
        <w:trPr>
          <w:trHeight w:val="482"/>
        </w:trPr>
        <w:tc>
          <w:tcPr>
            <w:tcW w:w="255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5 907,4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2 907,4</w:t>
            </w:r>
          </w:p>
        </w:tc>
        <w:tc>
          <w:tcPr>
            <w:tcW w:w="851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3 000,0</w:t>
            </w:r>
          </w:p>
        </w:tc>
      </w:tr>
      <w:tr w:rsidR="009D427E" w:rsidRPr="006439A2" w:rsidTr="001C66F6">
        <w:trPr>
          <w:trHeight w:val="482"/>
        </w:trPr>
        <w:tc>
          <w:tcPr>
            <w:tcW w:w="255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комитет по строительству администрации города Мурманска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07429C">
              <w:rPr>
                <w:rFonts w:ascii="Times New Roman" w:eastAsia="Calibri" w:hAnsi="Times New Roman"/>
                <w:lang w:eastAsia="en-US"/>
              </w:rPr>
              <w:t>13 988,8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11 252,6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  <w:tr w:rsidR="009D427E" w:rsidRPr="006439A2" w:rsidTr="001C66F6">
        <w:trPr>
          <w:trHeight w:val="423"/>
        </w:trPr>
        <w:tc>
          <w:tcPr>
            <w:tcW w:w="9639" w:type="dxa"/>
            <w:gridSpan w:val="9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в том числе за счет:</w:t>
            </w:r>
          </w:p>
        </w:tc>
      </w:tr>
      <w:tr w:rsidR="009D427E" w:rsidRPr="006439A2" w:rsidTr="001C66F6">
        <w:trPr>
          <w:trHeight w:val="482"/>
        </w:trPr>
        <w:tc>
          <w:tcPr>
            <w:tcW w:w="255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176" w:right="-108"/>
              <w:rPr>
                <w:rFonts w:ascii="Times New Roman" w:eastAsia="Calibri" w:hAnsi="Times New Roman"/>
                <w:lang w:eastAsia="en-US"/>
              </w:rPr>
            </w:pPr>
            <w:r w:rsidRPr="006439A2">
              <w:rPr>
                <w:rFonts w:ascii="Times New Roman" w:eastAsia="Calibri" w:hAnsi="Times New Roman"/>
                <w:lang w:eastAsia="en-US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13 988,8</w:t>
            </w:r>
          </w:p>
        </w:tc>
        <w:tc>
          <w:tcPr>
            <w:tcW w:w="992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2 736,2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11 252,6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427E" w:rsidRPr="006439A2" w:rsidRDefault="009D427E" w:rsidP="001C66F6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/>
                <w:lang w:eastAsia="en-US"/>
              </w:rPr>
            </w:pPr>
            <w:r>
              <w:rPr>
                <w:rFonts w:ascii="Times New Roman" w:eastAsia="Calibri" w:hAnsi="Times New Roman"/>
                <w:lang w:eastAsia="en-US"/>
              </w:rPr>
              <w:t>0,0</w:t>
            </w:r>
          </w:p>
        </w:tc>
      </w:tr>
    </w:tbl>
    <w:p w:rsidR="009D427E" w:rsidRDefault="009D427E" w:rsidP="009D42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F4C59">
        <w:rPr>
          <w:rFonts w:ascii="Times New Roman" w:eastAsia="Calibri" w:hAnsi="Times New Roman"/>
          <w:sz w:val="28"/>
          <w:szCs w:val="28"/>
          <w:lang w:eastAsia="en-US"/>
        </w:rPr>
        <w:lastRenderedPageBreak/>
        <w:t>Объемы ассигнований бюджетных средств подлежат ежегодному уточнению, исходя из возможностей бюджета муниципального образования город Мурманск на соответствующий год.</w:t>
      </w:r>
    </w:p>
    <w:p w:rsidR="009D427E" w:rsidRDefault="009D427E" w:rsidP="009D42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056E32">
        <w:rPr>
          <w:rFonts w:ascii="Times New Roman" w:hAnsi="Times New Roman"/>
          <w:sz w:val="28"/>
          <w:szCs w:val="28"/>
        </w:rPr>
        <w:t>. Механизм реализации подпрограммы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заказчики подпрограммы: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развитию городского хозяйства администрации города Мурманска;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Мурманска.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Основные исполнители мероприятий подпрограммы: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комитет по строительству администрации города Мурманска;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ММКУ «Управление капитального строительства»;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- ММБУ «Управление дорожного хозяйства».</w:t>
      </w:r>
    </w:p>
    <w:p w:rsidR="009D427E" w:rsidRPr="00056E32" w:rsidRDefault="009D427E" w:rsidP="009D42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6E32">
        <w:rPr>
          <w:rFonts w:ascii="Times New Roman" w:hAnsi="Times New Roman"/>
          <w:sz w:val="28"/>
          <w:szCs w:val="28"/>
        </w:rPr>
        <w:t>Исполнители обеспечивают полное, своевременное и качественное выполнение мероприятий подпрограммы, а также несут ответственность за рациональное использование выделяемых на их реализацию средств.</w:t>
      </w:r>
    </w:p>
    <w:p w:rsidR="009D427E" w:rsidRPr="00FF4C59" w:rsidRDefault="009D427E" w:rsidP="009D42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56E32">
        <w:rPr>
          <w:rFonts w:ascii="Times New Roman" w:hAnsi="Times New Roman"/>
          <w:sz w:val="28"/>
          <w:szCs w:val="28"/>
        </w:rPr>
        <w:t>Заказчики подпрограммы предоставляют в комитет по жилищной политике администрации города Мурманска отчет о ходе выполнения подпрограммы в соответствии с Порядком разработки, реализации и оценки эффективности муниципальных программ города Мурманска.</w:t>
      </w: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9D427E" w:rsidRPr="00FF4C59" w:rsidRDefault="009D427E" w:rsidP="009D427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6</w:t>
      </w:r>
      <w:r w:rsidRPr="00FF4C59">
        <w:rPr>
          <w:rFonts w:ascii="Times New Roman" w:eastAsia="Calibri" w:hAnsi="Times New Roman"/>
          <w:sz w:val="28"/>
          <w:szCs w:val="28"/>
          <w:lang w:eastAsia="en-US"/>
        </w:rPr>
        <w:t>. Оценка эффективности подпрограммы, рисков ее реализации</w:t>
      </w:r>
    </w:p>
    <w:p w:rsidR="009D427E" w:rsidRPr="00FF4C59" w:rsidRDefault="009D427E" w:rsidP="009D427E">
      <w:pPr>
        <w:spacing w:after="0" w:line="240" w:lineRule="auto"/>
        <w:jc w:val="both"/>
        <w:rPr>
          <w:rFonts w:ascii="Times New Roman" w:eastAsia="Calibri" w:hAnsi="Times New Roman"/>
          <w:sz w:val="16"/>
          <w:szCs w:val="16"/>
          <w:lang w:eastAsia="en-US"/>
        </w:rPr>
      </w:pPr>
    </w:p>
    <w:p w:rsidR="009D427E" w:rsidRPr="00F11FE0" w:rsidRDefault="009D427E" w:rsidP="009D427E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реализации мероприятий подпрограммы осуществляется в соответствии с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Мурманска».</w:t>
      </w:r>
    </w:p>
    <w:p w:rsidR="009D427E" w:rsidRPr="007D25DF" w:rsidRDefault="009D427E" w:rsidP="009D427E">
      <w:pPr>
        <w:pStyle w:val="ConsPlusCel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25DF">
        <w:rPr>
          <w:rFonts w:ascii="Times New Roman" w:hAnsi="Times New Roman" w:cs="Times New Roman"/>
          <w:sz w:val="28"/>
          <w:szCs w:val="28"/>
        </w:rPr>
        <w:t>Реализация программных мероприят</w:t>
      </w:r>
      <w:r>
        <w:rPr>
          <w:rFonts w:ascii="Times New Roman" w:hAnsi="Times New Roman" w:cs="Times New Roman"/>
          <w:sz w:val="28"/>
          <w:szCs w:val="28"/>
        </w:rPr>
        <w:t>ий, направленных на ремонт подпорных стенок</w:t>
      </w:r>
      <w:r w:rsidRPr="007D2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расположенных на дворовых территориях, улицах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города,  </w:t>
      </w:r>
      <w:r w:rsidRPr="007D25DF">
        <w:rPr>
          <w:rFonts w:ascii="Times New Roman" w:hAnsi="Times New Roman" w:cs="Times New Roman"/>
          <w:sz w:val="28"/>
          <w:szCs w:val="28"/>
        </w:rPr>
        <w:t>позволит</w:t>
      </w:r>
      <w:proofErr w:type="gramEnd"/>
      <w:r w:rsidRPr="007D25DF">
        <w:rPr>
          <w:rFonts w:ascii="Times New Roman" w:hAnsi="Times New Roman" w:cs="Times New Roman"/>
          <w:sz w:val="28"/>
          <w:szCs w:val="28"/>
        </w:rPr>
        <w:t xml:space="preserve"> повысить транспортно-эксплуатационные характеристики дворовых территорий многоквартирных домов</w:t>
      </w:r>
      <w:r>
        <w:rPr>
          <w:rFonts w:ascii="Times New Roman" w:hAnsi="Times New Roman" w:cs="Times New Roman"/>
          <w:sz w:val="28"/>
          <w:szCs w:val="28"/>
        </w:rPr>
        <w:t>, улиц</w:t>
      </w:r>
      <w:r w:rsidRPr="007D25DF">
        <w:rPr>
          <w:rFonts w:ascii="Times New Roman" w:hAnsi="Times New Roman" w:cs="Times New Roman"/>
          <w:sz w:val="28"/>
          <w:szCs w:val="28"/>
        </w:rPr>
        <w:t xml:space="preserve"> города Мурманска, привести их к нормативным требованиям, повысить комфортность проживания </w:t>
      </w:r>
      <w:r w:rsidRPr="00D14BB8">
        <w:rPr>
          <w:rFonts w:ascii="Times New Roman" w:hAnsi="Times New Roman" w:cs="Times New Roman"/>
          <w:sz w:val="28"/>
          <w:szCs w:val="28"/>
        </w:rPr>
        <w:t>жителей</w:t>
      </w:r>
      <w:r>
        <w:rPr>
          <w:rFonts w:ascii="Times New Roman" w:hAnsi="Times New Roman" w:cs="Times New Roman"/>
          <w:sz w:val="28"/>
          <w:szCs w:val="28"/>
        </w:rPr>
        <w:t>. Количество планируемых к ремонту</w:t>
      </w:r>
      <w:r w:rsidRPr="00C33355">
        <w:rPr>
          <w:rFonts w:ascii="Times New Roman" w:hAnsi="Times New Roman" w:cs="Times New Roman"/>
          <w:sz w:val="28"/>
          <w:szCs w:val="28"/>
        </w:rPr>
        <w:t xml:space="preserve"> подпорных стенок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427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шт</w:t>
      </w:r>
      <w:r w:rsidRPr="00C33355">
        <w:rPr>
          <w:rFonts w:ascii="Times New Roman" w:hAnsi="Times New Roman" w:cs="Times New Roman"/>
          <w:sz w:val="28"/>
          <w:szCs w:val="28"/>
        </w:rPr>
        <w:t>.</w:t>
      </w:r>
      <w:r w:rsidRPr="00D14B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427E" w:rsidRPr="00F11FE0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На достижение цели подпрограммы оказывают влияние внешние и внутренние факторы и риски, которые могут помешать реализации предполагаемых мероприятий и достижению планируемого уровня целевых показателей.</w:t>
      </w:r>
    </w:p>
    <w:p w:rsidR="009D427E" w:rsidRPr="00F11FE0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внешним рискам следует отнести изменения федерального и областного законодательства. Механизмом минимизации является своевременное внесение изменений в нормативно-правовые акты города Мурманска.</w:t>
      </w:r>
    </w:p>
    <w:p w:rsidR="009D427E" w:rsidRPr="00F11FE0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К внутренним рискам следует отнести:</w:t>
      </w:r>
    </w:p>
    <w:p w:rsidR="009D427E" w:rsidRPr="00F11FE0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>- риск неисполнения условий контракта. В процессе конкурсного отбора победителем открытого аукциона на оказание услуг (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выполнение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работ) может стать организация, с которой в дальнейшем возможно расторжение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муниципального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контракта из-за неисполнения (ненадлежащего исполнения) условий контракта;</w:t>
      </w:r>
    </w:p>
    <w:p w:rsidR="009D427E" w:rsidRPr="00F11FE0" w:rsidRDefault="009D427E" w:rsidP="009D427E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несостоявшегося аукциона на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оказание 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услуг </w:t>
      </w:r>
      <w:r w:rsidRPr="004A615E">
        <w:rPr>
          <w:rFonts w:ascii="Times New Roman" w:eastAsia="Calibri" w:hAnsi="Times New Roman"/>
          <w:sz w:val="28"/>
          <w:szCs w:val="28"/>
          <w:lang w:eastAsia="en-US"/>
        </w:rPr>
        <w:t>(выполнение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 работ);</w:t>
      </w:r>
    </w:p>
    <w:p w:rsidR="009D427E" w:rsidRPr="00F11FE0" w:rsidRDefault="009D427E" w:rsidP="009D427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/>
          <w:sz w:val="28"/>
          <w:szCs w:val="28"/>
          <w:lang w:eastAsia="en-US"/>
        </w:rPr>
      </w:pPr>
      <w:r w:rsidRPr="00F11FE0">
        <w:rPr>
          <w:rFonts w:ascii="Times New Roman" w:eastAsia="Calibri" w:hAnsi="Times New Roman"/>
          <w:sz w:val="28"/>
          <w:szCs w:val="28"/>
          <w:lang w:eastAsia="en-US"/>
        </w:rPr>
        <w:t xml:space="preserve">- риск отклонения сроков реализации программных мероприятий от установленных сроков по вине исполнителя </w:t>
      </w:r>
      <w:r w:rsidRPr="004135AE">
        <w:rPr>
          <w:rFonts w:ascii="Times New Roman" w:eastAsia="Calibri" w:hAnsi="Times New Roman"/>
          <w:sz w:val="28"/>
          <w:szCs w:val="28"/>
          <w:lang w:eastAsia="en-US"/>
        </w:rPr>
        <w:t>у</w:t>
      </w:r>
      <w:r w:rsidRPr="00F11FE0">
        <w:rPr>
          <w:rFonts w:ascii="Times New Roman" w:eastAsia="Calibri" w:hAnsi="Times New Roman"/>
          <w:sz w:val="28"/>
          <w:szCs w:val="28"/>
          <w:lang w:eastAsia="en-US"/>
        </w:rPr>
        <w:t>слуг (работ).</w:t>
      </w:r>
    </w:p>
    <w:p w:rsidR="009D427E" w:rsidRPr="00AE3E39" w:rsidRDefault="009D427E" w:rsidP="00AE3E3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9D427E" w:rsidRPr="00AE3E39" w:rsidSect="004261A7">
          <w:headerReference w:type="default" r:id="rId7"/>
          <w:headerReference w:type="first" r:id="rId8"/>
          <w:pgSz w:w="11906" w:h="16838"/>
          <w:pgMar w:top="955" w:right="851" w:bottom="851" w:left="1418" w:header="568" w:footer="709" w:gutter="0"/>
          <w:cols w:space="708"/>
          <w:docGrid w:linePitch="360"/>
        </w:sectPr>
      </w:pPr>
      <w:r w:rsidRPr="00F11FE0">
        <w:rPr>
          <w:rFonts w:ascii="Times New Roman" w:hAnsi="Times New Roman"/>
          <w:sz w:val="28"/>
          <w:szCs w:val="28"/>
        </w:rPr>
        <w:t>Механизмом минимизации является качественная подготовка технической документации.</w:t>
      </w:r>
      <w:bookmarkStart w:id="0" w:name="_GoBack"/>
      <w:bookmarkEnd w:id="0"/>
    </w:p>
    <w:p w:rsidR="0008034D" w:rsidRDefault="00AE3E39"/>
    <w:sectPr w:rsidR="000803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E3E39">
      <w:pPr>
        <w:spacing w:after="0" w:line="240" w:lineRule="auto"/>
      </w:pPr>
      <w:r>
        <w:separator/>
      </w:r>
    </w:p>
  </w:endnote>
  <w:endnote w:type="continuationSeparator" w:id="0">
    <w:p w:rsidR="00000000" w:rsidRDefault="00AE3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E3E39">
      <w:pPr>
        <w:spacing w:after="0" w:line="240" w:lineRule="auto"/>
      </w:pPr>
      <w:r>
        <w:separator/>
      </w:r>
    </w:p>
  </w:footnote>
  <w:footnote w:type="continuationSeparator" w:id="0">
    <w:p w:rsidR="00000000" w:rsidRDefault="00AE3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Pr="00845A50" w:rsidRDefault="009D427E" w:rsidP="001127F1">
    <w:pPr>
      <w:pStyle w:val="a3"/>
      <w:jc w:val="center"/>
      <w:rPr>
        <w:rFonts w:ascii="Times New Roman" w:hAnsi="Times New Roman"/>
        <w:sz w:val="24"/>
        <w:szCs w:val="24"/>
      </w:rPr>
    </w:pPr>
    <w:r w:rsidRPr="00097106">
      <w:rPr>
        <w:rFonts w:ascii="Times New Roman" w:hAnsi="Times New Roman"/>
        <w:sz w:val="24"/>
        <w:szCs w:val="24"/>
      </w:rPr>
      <w:fldChar w:fldCharType="begin"/>
    </w:r>
    <w:r w:rsidRPr="00097106">
      <w:rPr>
        <w:rFonts w:ascii="Times New Roman" w:hAnsi="Times New Roman"/>
        <w:sz w:val="24"/>
        <w:szCs w:val="24"/>
      </w:rPr>
      <w:instrText xml:space="preserve"> PAGE   \* MERGEFORMAT </w:instrText>
    </w:r>
    <w:r w:rsidRPr="00097106">
      <w:rPr>
        <w:rFonts w:ascii="Times New Roman" w:hAnsi="Times New Roman"/>
        <w:sz w:val="24"/>
        <w:szCs w:val="24"/>
      </w:rPr>
      <w:fldChar w:fldCharType="separate"/>
    </w:r>
    <w:r w:rsidR="00AE3E39">
      <w:rPr>
        <w:rFonts w:ascii="Times New Roman" w:hAnsi="Times New Roman"/>
        <w:noProof/>
        <w:sz w:val="24"/>
        <w:szCs w:val="24"/>
      </w:rPr>
      <w:t>9</w:t>
    </w:r>
    <w:r w:rsidRPr="00097106">
      <w:rPr>
        <w:rFonts w:ascii="Times New Roman" w:hAnsi="Times New Roman"/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Pr="00A05AFB" w:rsidRDefault="009D427E">
    <w:pPr>
      <w:pStyle w:val="a3"/>
      <w:jc w:val="center"/>
      <w:rPr>
        <w:sz w:val="24"/>
        <w:szCs w:val="24"/>
      </w:rPr>
    </w:pPr>
    <w:r w:rsidRPr="00A05AFB">
      <w:rPr>
        <w:rFonts w:ascii="Times New Roman" w:hAnsi="Times New Roman"/>
        <w:sz w:val="24"/>
        <w:szCs w:val="24"/>
      </w:rPr>
      <w:fldChar w:fldCharType="begin"/>
    </w:r>
    <w:r w:rsidRPr="00A05AFB">
      <w:rPr>
        <w:rFonts w:ascii="Times New Roman" w:hAnsi="Times New Roman"/>
        <w:sz w:val="24"/>
        <w:szCs w:val="24"/>
      </w:rPr>
      <w:instrText>PAGE   \* MERGEFORMAT</w:instrText>
    </w:r>
    <w:r w:rsidRPr="00A05AFB">
      <w:rPr>
        <w:rFonts w:ascii="Times New Roman" w:hAnsi="Times New Roman"/>
        <w:sz w:val="24"/>
        <w:szCs w:val="24"/>
      </w:rPr>
      <w:fldChar w:fldCharType="separate"/>
    </w:r>
    <w:r w:rsidR="00AE3E39">
      <w:rPr>
        <w:rFonts w:ascii="Times New Roman" w:hAnsi="Times New Roman"/>
        <w:noProof/>
        <w:sz w:val="24"/>
        <w:szCs w:val="24"/>
      </w:rPr>
      <w:t>13</w:t>
    </w:r>
    <w:r w:rsidRPr="00A05AFB">
      <w:rPr>
        <w:rFonts w:ascii="Times New Roman" w:hAnsi="Times New Roman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6FC8" w:rsidRDefault="009D427E" w:rsidP="00B96A95">
    <w:pPr>
      <w:pStyle w:val="a3"/>
      <w:jc w:val="center"/>
    </w:pPr>
    <w: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851"/>
    <w:rsid w:val="009C5851"/>
    <w:rsid w:val="009D427E"/>
    <w:rsid w:val="00AE3E39"/>
    <w:rsid w:val="00EF0E91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4C9CB7-C5B2-4FC2-AD97-96878106E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27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2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D427E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rsid w:val="009D427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1539</Words>
  <Characters>8774</Characters>
  <Application>Microsoft Office Word</Application>
  <DocSecurity>0</DocSecurity>
  <Lines>73</Lines>
  <Paragraphs>20</Paragraphs>
  <ScaleCrop>false</ScaleCrop>
  <Company/>
  <LinksUpToDate>false</LinksUpToDate>
  <CharactersWithSpaces>10293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Антоновский Никита Николаевич</dc:creator>
  <cp:keywords/>
  <dc:description/>
  <cp:lastModifiedBy>Антоновский Никита Николаевич</cp:lastModifiedBy>
  <cp:revision>3</cp:revision>
  <dcterms:created xsi:type="dcterms:W3CDTF">2021-06-28T07:56:00Z</dcterms:created>
  <dcterms:modified xsi:type="dcterms:W3CDTF">2021-06-28T08:03:00Z</dcterms:modified>
</cp:coreProperties>
</file>