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bCs/>
          <w:szCs w:val="28"/>
          <w:lang w:val="en-US"/>
        </w:rPr>
        <w:t>I</w:t>
      </w:r>
      <w:r w:rsidRPr="00FE606D">
        <w:rPr>
          <w:bCs/>
          <w:szCs w:val="28"/>
        </w:rPr>
        <w:t xml:space="preserve">. Подпрограмма </w:t>
      </w:r>
      <w:r w:rsidRPr="00FE606D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на 2018 - 2024 годы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2018 - 2024 годы </w:t>
            </w:r>
          </w:p>
        </w:tc>
      </w:tr>
      <w:tr w:rsidR="00EE75AE" w:rsidRPr="00FE606D" w:rsidTr="00C078B3">
        <w:trPr>
          <w:trHeight w:val="449"/>
        </w:trPr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FE606D" w:rsidTr="00C078B3">
        <w:trPr>
          <w:trHeight w:val="772"/>
        </w:trPr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Число детей-сирот и детей, оставшихся без попеч</w:t>
            </w:r>
            <w:r>
              <w:rPr>
                <w:szCs w:val="28"/>
              </w:rPr>
              <w:t>ения родителей, лиц из их числа.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Заказчики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КИО, </w:t>
            </w:r>
            <w:r>
              <w:rPr>
                <w:szCs w:val="28"/>
              </w:rPr>
              <w:t>КС</w:t>
            </w:r>
          </w:p>
        </w:tc>
      </w:tr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</w:t>
            </w:r>
          </w:p>
        </w:tc>
      </w:tr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– 2024 годы</w:t>
            </w:r>
          </w:p>
        </w:tc>
      </w:tr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2 350 156,2 тыс. руб., в т.ч.: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МБ: 6 968,8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1 808,8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330,0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330,0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330,0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1 390,0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1 390,0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1 390,0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2 323 126,9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366 597,8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305 893,1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389 262,1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366 226,1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298 382,6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298 382,6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298 382,6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ФБ: 20 060,5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2018 год – 6 565,9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4 381,4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E75AE" w:rsidRPr="00FE606D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  <w:tr w:rsidR="00EE75AE" w:rsidRPr="00FE606D" w:rsidTr="00C078B3">
        <w:tc>
          <w:tcPr>
            <w:tcW w:w="3119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>
              <w:rPr>
                <w:szCs w:val="28"/>
              </w:rPr>
              <w:t>137</w:t>
            </w:r>
            <w:r w:rsidRPr="00FE606D">
              <w:rPr>
                <w:szCs w:val="28"/>
              </w:rPr>
              <w:t xml:space="preserve"> чел.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</w:t>
            </w:r>
            <w:r>
              <w:rPr>
                <w:szCs w:val="28"/>
              </w:rPr>
              <w:t>,</w:t>
            </w:r>
            <w:r w:rsidRPr="00FE606D">
              <w:rPr>
                <w:szCs w:val="28"/>
              </w:rPr>
              <w:t xml:space="preserve"> на уровне 100 %</w:t>
            </w:r>
          </w:p>
        </w:tc>
      </w:tr>
    </w:tbl>
    <w:p w:rsidR="00EE75AE" w:rsidRPr="00FE606D" w:rsidRDefault="00EE75AE" w:rsidP="00EE75AE">
      <w:pPr>
        <w:tabs>
          <w:tab w:val="left" w:pos="6525"/>
        </w:tabs>
        <w:rPr>
          <w:szCs w:val="28"/>
        </w:rPr>
      </w:pPr>
    </w:p>
    <w:p w:rsidR="00EE75AE" w:rsidRPr="00FE606D" w:rsidRDefault="00EE75AE" w:rsidP="00EE75AE">
      <w:pPr>
        <w:tabs>
          <w:tab w:val="left" w:pos="6525"/>
        </w:tabs>
        <w:jc w:val="center"/>
        <w:rPr>
          <w:szCs w:val="28"/>
        </w:rPr>
      </w:pPr>
      <w:r w:rsidRPr="00FE606D">
        <w:rPr>
          <w:szCs w:val="28"/>
        </w:rPr>
        <w:t xml:space="preserve">1. Характеристика проблемы, на решение которой направлена </w:t>
      </w:r>
      <w:r w:rsidRPr="00FE606D">
        <w:rPr>
          <w:szCs w:val="28"/>
        </w:rPr>
        <w:br/>
        <w:t>подпрограмма муниципальной программы</w:t>
      </w: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</w:t>
      </w:r>
      <w:r>
        <w:rPr>
          <w:szCs w:val="28"/>
        </w:rPr>
        <w:t>человек</w:t>
      </w:r>
      <w:r w:rsidRPr="00FE606D">
        <w:rPr>
          <w:szCs w:val="28"/>
        </w:rPr>
        <w:t>; в организациях для детей-сирот и детей, оставшихся без попечения родителей – 75 человек; в профессиональных образовательных организациях – 9 челове</w:t>
      </w:r>
      <w:r>
        <w:rPr>
          <w:szCs w:val="28"/>
        </w:rPr>
        <w:t>к</w:t>
      </w:r>
      <w:r w:rsidRPr="00FE606D">
        <w:rPr>
          <w:szCs w:val="28"/>
        </w:rPr>
        <w:t>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</w:t>
      </w:r>
      <w:r>
        <w:rPr>
          <w:szCs w:val="28"/>
        </w:rPr>
        <w:t>.</w:t>
      </w:r>
      <w:r w:rsidRPr="00FE606D">
        <w:rPr>
          <w:szCs w:val="28"/>
        </w:rPr>
        <w:t xml:space="preserve"> </w:t>
      </w:r>
      <w:r>
        <w:rPr>
          <w:szCs w:val="28"/>
        </w:rPr>
        <w:t>З</w:t>
      </w:r>
      <w:r w:rsidRPr="00FE606D">
        <w:rPr>
          <w:szCs w:val="28"/>
        </w:rPr>
        <w:t>а последние пять лет сокращение произошло приблизительно на 40 %.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</w:t>
      </w:r>
      <w:r w:rsidRPr="00FE606D">
        <w:rPr>
          <w:szCs w:val="28"/>
        </w:rPr>
        <w:lastRenderedPageBreak/>
        <w:t>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  <w:sectPr w:rsidR="00EE75AE" w:rsidRPr="00FE606D" w:rsidSect="00F83F04">
          <w:footnotePr>
            <w:pos w:val="beneathText"/>
          </w:footnotePr>
          <w:pgSz w:w="11905" w:h="16837" w:code="9"/>
          <w:pgMar w:top="1134" w:right="851" w:bottom="993" w:left="1418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 xml:space="preserve">2. Основные цели и задачи подпрограммы, целевые показатели (индикаторы) </w:t>
      </w:r>
      <w:r w:rsidRPr="00FE606D">
        <w:rPr>
          <w:szCs w:val="28"/>
        </w:rPr>
        <w:br/>
        <w:t xml:space="preserve">реализации подпрограммы 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1606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3"/>
        <w:gridCol w:w="951"/>
        <w:gridCol w:w="1074"/>
        <w:gridCol w:w="993"/>
        <w:gridCol w:w="952"/>
        <w:gridCol w:w="952"/>
        <w:gridCol w:w="952"/>
        <w:gridCol w:w="952"/>
        <w:gridCol w:w="952"/>
        <w:gridCol w:w="952"/>
        <w:gridCol w:w="952"/>
      </w:tblGrid>
      <w:tr w:rsidR="00EE75AE" w:rsidRPr="00FE606D" w:rsidTr="00C078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Цель, показатели (индикаторы)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Ед. изм.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Значение показателя (индикатора)</w:t>
            </w:r>
          </w:p>
        </w:tc>
      </w:tr>
      <w:tr w:rsidR="00EE75AE" w:rsidRPr="00FE606D" w:rsidTr="00C078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Отчетный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Текущий год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Годы реализации подпрограммы</w:t>
            </w:r>
          </w:p>
        </w:tc>
      </w:tr>
      <w:tr w:rsidR="00EE75AE" w:rsidRPr="00FE606D" w:rsidTr="00C078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2017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</w:tr>
      <w:tr w:rsidR="00EE75AE" w:rsidRPr="00FE606D" w:rsidTr="00C078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</w:tr>
      <w:tr w:rsidR="00EE75AE" w:rsidRPr="00FE606D" w:rsidTr="00C078B3">
        <w:trPr>
          <w:trHeight w:val="20"/>
        </w:trPr>
        <w:tc>
          <w:tcPr>
            <w:tcW w:w="1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both"/>
              <w:rPr>
                <w:sz w:val="20"/>
              </w:rPr>
            </w:pPr>
            <w:r w:rsidRPr="00FE606D">
              <w:rPr>
                <w:sz w:val="20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FE606D" w:rsidTr="00C078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чел.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</w:t>
            </w:r>
          </w:p>
        </w:tc>
      </w:tr>
      <w:tr w:rsidR="00EE75AE" w:rsidRPr="00FE606D" w:rsidTr="00C078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rPr>
                <w:sz w:val="20"/>
              </w:rPr>
            </w:pPr>
            <w:r w:rsidRPr="00FE606D">
              <w:rPr>
                <w:sz w:val="20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C078B3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1843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EE75AE" w:rsidRPr="004C3936" w:rsidTr="00C078B3">
        <w:trPr>
          <w:trHeight w:val="16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Срок выполне- 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Источ-ники финан-сирова-ния</w:t>
            </w:r>
          </w:p>
        </w:tc>
        <w:tc>
          <w:tcPr>
            <w:tcW w:w="5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4C3936" w:rsidTr="00C078B3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2023</w:t>
            </w:r>
            <w:r>
              <w:rPr>
                <w:sz w:val="14"/>
                <w:szCs w:val="14"/>
              </w:rPr>
              <w:br/>
            </w:r>
            <w:r w:rsidRPr="004C3936">
              <w:rPr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21</w:t>
            </w:r>
          </w:p>
        </w:tc>
      </w:tr>
      <w:tr w:rsidR="00EE75AE" w:rsidRPr="004C3936" w:rsidTr="00C078B3">
        <w:trPr>
          <w:trHeight w:val="20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both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225297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224839,1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222916,4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1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867616,1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85307,5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169309,6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148196,3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в т.ч.: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840586,8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80596,1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164423,0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143309,7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КИО</w:t>
            </w: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13534,5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Число детей, над которыми установлен социальный и постинтернатный патронат,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13534,5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Субвенция на предоставление мер социальной поддержки по </w:t>
            </w:r>
            <w:r w:rsidRPr="004C3936">
              <w:rPr>
                <w:sz w:val="14"/>
                <w:szCs w:val="14"/>
              </w:rPr>
              <w:lastRenderedPageBreak/>
              <w:t>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120065,1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18415,5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Число детей-сирот и детей, оставшихся без попечения родителей, лиц из их числа, которым </w:t>
            </w:r>
            <w:r w:rsidRPr="004C3936">
              <w:rPr>
                <w:sz w:val="14"/>
                <w:szCs w:val="14"/>
              </w:rPr>
              <w:lastRenderedPageBreak/>
              <w:t>предоставлена ежемесячная жилищно- коммунальная выплата,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583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120065,1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18415,5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17757,8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17757,8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711346,4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146743,7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126049,1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КИО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691285,9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121777,4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57702,5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142187,1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121492,5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4381,4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4556,6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</w:t>
            </w:r>
            <w:r w:rsidRPr="004C3936">
              <w:rPr>
                <w:sz w:val="14"/>
                <w:szCs w:val="14"/>
              </w:rPr>
              <w:lastRenderedPageBreak/>
              <w:t>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15701,3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15701,3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2350156,2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310604,5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394148,7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371112,7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2323126,9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305893,1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389262,1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366226,1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4C3936" w:rsidTr="00C078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sz w:val="14"/>
                <w:szCs w:val="14"/>
              </w:rPr>
            </w:pP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Детализация направлений расходов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763"/>
        <w:gridCol w:w="3632"/>
        <w:gridCol w:w="1559"/>
        <w:gridCol w:w="981"/>
        <w:gridCol w:w="1429"/>
        <w:gridCol w:w="1418"/>
        <w:gridCol w:w="1417"/>
        <w:gridCol w:w="1276"/>
        <w:gridCol w:w="1276"/>
        <w:gridCol w:w="1275"/>
        <w:gridCol w:w="1276"/>
      </w:tblGrid>
      <w:tr w:rsidR="00EE75AE" w:rsidRPr="004C3936" w:rsidTr="00C078B3">
        <w:trPr>
          <w:trHeight w:val="20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Источ</w:t>
            </w:r>
            <w:r>
              <w:rPr>
                <w:color w:val="000000"/>
                <w:sz w:val="18"/>
                <w:szCs w:val="18"/>
              </w:rPr>
              <w:t>ники финансиро</w:t>
            </w:r>
            <w:r w:rsidRPr="004C3936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EE75AE" w:rsidRPr="004C3936" w:rsidTr="00C078B3">
        <w:trPr>
          <w:trHeight w:val="20"/>
          <w:tblHeader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EE75AE" w:rsidRPr="004C3936" w:rsidTr="00C078B3">
        <w:trPr>
          <w:trHeight w:val="20"/>
          <w:tblHeader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11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685679,3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97476,6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100030,6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99638,5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98402,4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300617,8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48138,7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496243,0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76678,5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77445,3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77061,9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76678,6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EA035C" w:rsidRDefault="00EE75AE" w:rsidP="00C078B3">
            <w:pPr>
              <w:rPr>
                <w:color w:val="000000"/>
                <w:sz w:val="18"/>
                <w:szCs w:val="18"/>
              </w:rPr>
            </w:pPr>
            <w:r w:rsidRPr="00EA035C">
              <w:rPr>
                <w:sz w:val="18"/>
                <w:szCs w:val="18"/>
              </w:rPr>
              <w:t xml:space="preserve">Основное мероприятие: обеспечение защиты жилищных и имущественных прав </w:t>
            </w:r>
            <w:r w:rsidRPr="00EA035C">
              <w:rPr>
                <w:sz w:val="18"/>
                <w:szCs w:val="18"/>
              </w:rPr>
              <w:lastRenderedPageBreak/>
              <w:t>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867616,1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153574,3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85307,5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169309,6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840586,8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80596,1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164423,0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143309,7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20060,5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6823,2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6823,2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C078B3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C078B3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220" w:type="dxa"/>
        <w:tblInd w:w="-743" w:type="dxa"/>
        <w:tblLook w:val="04A0" w:firstRow="1" w:lastRow="0" w:firstColumn="1" w:lastColumn="0" w:noHBand="0" w:noVBand="1"/>
      </w:tblPr>
      <w:tblGrid>
        <w:gridCol w:w="4679"/>
        <w:gridCol w:w="1760"/>
        <w:gridCol w:w="1501"/>
        <w:gridCol w:w="1380"/>
        <w:gridCol w:w="1380"/>
        <w:gridCol w:w="1380"/>
        <w:gridCol w:w="1380"/>
        <w:gridCol w:w="1380"/>
        <w:gridCol w:w="1380"/>
      </w:tblGrid>
      <w:tr w:rsidR="00EE75AE" w:rsidRPr="004B3AF4" w:rsidTr="00C078B3">
        <w:trPr>
          <w:trHeight w:val="20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Всего,</w:t>
            </w:r>
            <w:r>
              <w:rPr>
                <w:color w:val="000000"/>
                <w:szCs w:val="28"/>
              </w:rPr>
              <w:br/>
            </w:r>
            <w:r w:rsidRPr="004B3AF4">
              <w:rPr>
                <w:color w:val="000000"/>
                <w:szCs w:val="28"/>
              </w:rPr>
              <w:t>тыс. руб.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по годам реализации, тыс. руб.</w:t>
            </w:r>
          </w:p>
        </w:tc>
      </w:tr>
      <w:tr w:rsidR="00EE75AE" w:rsidRPr="004B3AF4" w:rsidTr="00C078B3">
        <w:trPr>
          <w:trHeight w:val="20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2024 год</w:t>
            </w:r>
          </w:p>
        </w:tc>
      </w:tr>
      <w:tr w:rsidR="00EE75AE" w:rsidRPr="004B3AF4" w:rsidTr="00C078B3">
        <w:trPr>
          <w:trHeight w:val="20"/>
          <w:tblHeader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9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Всего по подпрограмме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2 350 156,2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374 972,5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310 604,5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394 148,7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371 112,7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за счет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6 968,8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1 808,8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2 323 126,9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366 597,8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305 893,1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389 262,1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366 226,1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20 060,5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6 565,9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4 381,4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по заказчикам: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1 616 139,7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242 517,5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245 678,4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244 562,8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242 640,1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1 616 139,7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242 517,5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245 678,4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244 562,8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242 640,1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комитет имущественных отношений города Мурманска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711 346,4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128 343,3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62 083,9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146 743,7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126 049,1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691 285,9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121 777,4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57 702,5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142 187,1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121 492,5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20 060,5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6 565,9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4 381,4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комитет по строительству администрации города Мурманска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22 670,1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4 111,7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2 842,2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2 842,2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2 423,5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6 968,8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1 808,8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15 701,3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2 302,9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2 512,2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2 512,2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C0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C078B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C078B3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both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both"/>
        <w:rPr>
          <w:szCs w:val="28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709" w:right="961" w:bottom="851" w:left="993" w:header="397" w:footer="397" w:gutter="0"/>
          <w:cols w:space="720"/>
          <w:docGrid w:linePitch="381"/>
        </w:sectPr>
      </w:pPr>
    </w:p>
    <w:p w:rsidR="00EE75AE" w:rsidRPr="00716008" w:rsidRDefault="00EE75AE" w:rsidP="00EE75AE">
      <w:pPr>
        <w:widowControl w:val="0"/>
        <w:autoSpaceDE w:val="0"/>
        <w:jc w:val="center"/>
        <w:rPr>
          <w:szCs w:val="28"/>
        </w:rPr>
      </w:pPr>
      <w:r w:rsidRPr="00716008">
        <w:rPr>
          <w:szCs w:val="28"/>
        </w:rPr>
        <w:lastRenderedPageBreak/>
        <w:t>5. Механизм реализации подпрограммы</w:t>
      </w:r>
    </w:p>
    <w:p w:rsidR="00EE75AE" w:rsidRPr="00716008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Комитет по образованию администрации города Мурманска предоставляет отчет о ходе выполнения подпрограммы </w:t>
      </w:r>
      <w:r>
        <w:rPr>
          <w:szCs w:val="28"/>
        </w:rPr>
        <w:t>з</w:t>
      </w:r>
      <w:r w:rsidRPr="00FE606D">
        <w:rPr>
          <w:szCs w:val="28"/>
        </w:rPr>
        <w:t>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EE75AE" w:rsidRPr="00FE606D" w:rsidRDefault="00EE75AE" w:rsidP="00EE75AE">
      <w:pPr>
        <w:ind w:firstLine="567"/>
        <w:jc w:val="both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E75AE" w:rsidRPr="00FE606D" w:rsidRDefault="00EE75AE" w:rsidP="00EE75AE">
      <w:pPr>
        <w:spacing w:line="240" w:lineRule="atLeast"/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EE75AE" w:rsidRPr="00FE606D" w:rsidRDefault="00EE75AE" w:rsidP="00EE75AE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EE75AE" w:rsidRPr="00FE606D" w:rsidRDefault="00EE75AE" w:rsidP="00EE75AE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</w:t>
      </w:r>
      <w:r>
        <w:rPr>
          <w:szCs w:val="28"/>
        </w:rPr>
        <w:t>филактики социального сиротства.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Механизмы минимизации негативного влияния внешних факторов: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4620F4" w:rsidRDefault="004620F4" w:rsidP="00B744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620F4" w:rsidSect="00B7446C">
      <w:footnotePr>
        <w:pos w:val="beneathText"/>
      </w:footnotePr>
      <w:pgSz w:w="11905" w:h="16837" w:code="9"/>
      <w:pgMar w:top="1134" w:right="851" w:bottom="851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6C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21657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11</cp:revision>
  <dcterms:created xsi:type="dcterms:W3CDTF">2019-05-13T11:45:00Z</dcterms:created>
  <dcterms:modified xsi:type="dcterms:W3CDTF">2019-05-14T13:51:00Z</dcterms:modified>
</cp:coreProperties>
</file>