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I. Подпрограмма «Повышение инвестиционной            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 туристской привлекательности города Мурманска»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0" w:name="Par134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F2F5A" w:rsidRPr="00AF2F5A" w:rsidTr="00AF2F5A">
        <w:trPr>
          <w:trHeight w:val="6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 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в которую входит подпрограмма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города Мурманска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конкурентоспособной экономики» на 2018-2024 годы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                                   </w:t>
            </w:r>
          </w:p>
        </w:tc>
      </w:tr>
      <w:tr w:rsidR="00AF2F5A" w:rsidRPr="00AF2F5A" w:rsidTr="00AF2F5A">
        <w:trPr>
          <w:trHeight w:val="10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(индикаторы) реализации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повышения инвестиционной привлекательности города Мурманска.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развития внутреннего и въездного туризма в городе Мурманске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Объем въездного туристского потока (количество лиц, размещенных 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КСР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подпрограммы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подпрограммы       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                           </w:t>
            </w:r>
          </w:p>
        </w:tc>
      </w:tr>
      <w:tr w:rsidR="00AF2F5A" w:rsidRPr="00AF2F5A" w:rsidTr="00AF2F5A">
        <w:trPr>
          <w:trHeight w:val="2000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5954" w:type="dxa"/>
          </w:tcPr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подпрограмме: 15 763,2 тыс. руб., в т.ч.: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15 763,2 тыс. руб., из них: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2 690,9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2 303,7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2 303,7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2 076,0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2 098,5 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2 125,4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2 165,0 тыс. руб.</w:t>
            </w:r>
          </w:p>
          <w:p w:rsidR="00AF2F5A" w:rsidRPr="00AF2F5A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Также возможно софинансирование на конкурсной основе из областного и федерального бюджетов</w:t>
            </w:r>
          </w:p>
        </w:tc>
      </w:tr>
      <w:tr w:rsidR="00AF2F5A" w:rsidRPr="00AF2F5A" w:rsidTr="00AF2F5A">
        <w:trPr>
          <w:trHeight w:val="403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реализации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результатов к 2024 году: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повышения инвестиционной привлекательности города Мурманска;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развития внутреннего и въездного туризма в городе Мурманске;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инвестиций в основной капитал (без субъектов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до 50243,1 млн. руб.;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инвестиций в основной капитал (без субъектов малого и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 до 181,73 тыс. руб</w:t>
            </w:r>
            <w:r w:rsidR="00F83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2F5A" w:rsidRPr="00AF2F5A" w:rsidRDefault="00A3189C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въездного туристского потока (количество лиц, размещенных в КСР) до 106,0 тыс. чел.</w:t>
            </w:r>
          </w:p>
        </w:tc>
      </w:tr>
    </w:tbl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78"/>
      <w:bookmarkEnd w:id="1"/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 Характеристика проблемы, на решение которой направлена подпрограмма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 фактором роста производства в рыночных условиях и, как следствие, обеспечения социально-экономического развития остаются инвестиции.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 в сфере инвестиционной деятельности у предприятий малого и среднего бизнеса и предприятий крупного бизнеса различны. Если у первой группы при значительном количестве идей и инноваций отсутствуют средства и возможности для разработки проектов, поиска инвесторов, обеспечения заемных средств, то у второй группы, в основном, отсутствует мотивация к расширению производства, а также мешают административные барьеры в вопросах согласования отвода земель, экспертизы проектов, энергоресурсов.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 рамках реализации настоящей подпрограммы планируется реализация комплекса мероприятий, в том числе предусмотренных Стандартом деятельности органов местного самоуправления по обеспечению благоприятного инвестиционного климата (Стандарт 2.0).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 по повышению инвестиционной привлекательности и развитию туристкой деятельности города Мурманска предполагают: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 функционирования инвестиционного портала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 обеспечение проведения заседаний Инвестиционного совета муниципального образования город Мурманск;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инвестиционного паспорта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каталога инвестиционных проектов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паспорта города Мурманска, в том числе обеспечение печати буклета;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сувенирной 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печатной 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статистических работ Мурманскстата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разработка/актуализация/мониторинг документов стратегического планирования;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предоставление муниципальной услуги «Выдача разрешений на право использования имиджевой символики города Мурманска»;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оценки эффективности предоставленных и планируемых к предоставлению льгот по местным налогам;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комфортной информационной среды для продвижения туристского потенциала: функционирование туристического портала города Мурманска, информационных терминалов, туристского информационного центра, создание и распространение информационно-рекламных материалов о туристских ресурсах города Мурманска при проведении мероприятий различного уровня (выставки, конференции и т.п.);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и размещение на туристическом портале города Мурманска электронного приложения «Мурманск гостеприимный».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рамках подпрограммы запланирована также оплата членских взносов муниципального образования город Мурманск за участие в организациях межмуниципального сотрудничества: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Союз городов Заполярья и Крайнего Севера;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Совет муниципальных образований Мурманской области;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 Межрегиональная ассоциация субъектов Российской Федерации и городов, шефствующих над кораблями и частями Северного флота</w:t>
      </w:r>
      <w:r w:rsidR="00A052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презентационных мероприятий в городе, регионах Российской Федерации и за рубежом предполагает организацию и участие в мероприятиях международного сотрудничества с целью презентации потенциала развития города Мурманска, обмена опытом, участие в конгрессно-выставочных мероприятиях.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 образом, реализация настоящей подпрограммы будет способствовать продвижению уникального потенциала города и повышению инвестиционной и туристской привлекательности.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194"/>
      <w:bookmarkEnd w:id="2"/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2. Основные цели и задачи подпрограммы,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AF2F5A" w:rsidRPr="00AF2F5A" w:rsidTr="00AF2F5A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AF2F5A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F5A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C7C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 год</w:t>
            </w:r>
          </w:p>
        </w:tc>
        <w:tc>
          <w:tcPr>
            <w:tcW w:w="992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</w:p>
        </w:tc>
        <w:tc>
          <w:tcPr>
            <w:tcW w:w="5953" w:type="dxa"/>
            <w:gridSpan w:val="7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189C" w:rsidRPr="00AF2F5A" w:rsidTr="00A3189C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A3189C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создание условий для развития инвестиционной и туристской деятельности на территории города Мурманска    </w:t>
            </w:r>
          </w:p>
        </w:tc>
      </w:tr>
      <w:tr w:rsidR="00AF2F5A" w:rsidRPr="00AF2F5A" w:rsidTr="00AF2F5A">
        <w:trPr>
          <w:trHeight w:val="540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повышения инвестиционной привлекательности города Мурманска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AF2F5A">
        <w:trPr>
          <w:trHeight w:val="1429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инвестиций в основной капитал (без субъектов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AF2F5A" w:rsidRPr="00AF2F5A" w:rsidTr="00AF2F5A">
        <w:trPr>
          <w:trHeight w:val="1662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инвестиций в основной капитал (без субъектов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 в расчете на 1 жителя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AF2F5A" w:rsidRPr="00AF2F5A" w:rsidTr="00AF2F5A">
        <w:trPr>
          <w:trHeight w:val="250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внутреннего и въездного туризма в городе Мурманске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13698" w:rsidRPr="00A13698" w:rsidTr="00AF2F5A">
        <w:trPr>
          <w:trHeight w:val="279"/>
          <w:tblCellSpacing w:w="5" w:type="nil"/>
        </w:trPr>
        <w:tc>
          <w:tcPr>
            <w:tcW w:w="425" w:type="dxa"/>
          </w:tcPr>
          <w:p w:rsidR="00AF2F5A" w:rsidRPr="00A13698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F2F5A" w:rsidRPr="00A13698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Объем въездного туристского потока (КСР)</w:t>
            </w:r>
            <w:r w:rsidRPr="00A13698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AF2F5A" w:rsidRPr="00A13698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106,0</w:t>
            </w:r>
          </w:p>
        </w:tc>
      </w:tr>
    </w:tbl>
    <w:p w:rsidR="00AF2F5A" w:rsidRDefault="00AF2F5A" w:rsidP="00AF2F5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F5A" w:rsidRPr="00AF2F5A" w:rsidRDefault="00AF2F5A" w:rsidP="00AF2F5A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AF2F5A" w:rsidRPr="00AF2F5A" w:rsidSect="00AF2F5A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72A93" w:rsidRPr="00EB059E" w:rsidRDefault="00D72A93" w:rsidP="00D72A93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3" w:name="Par220"/>
      <w:bookmarkEnd w:id="3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 Перечень основных мероприятий подпрограммы</w:t>
      </w:r>
    </w:p>
    <w:p w:rsidR="00D72A93" w:rsidRDefault="00D72A93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F20" w:rsidRPr="003A57F7" w:rsidRDefault="009D0F20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9D0F20" w:rsidRPr="003A57F7" w:rsidRDefault="009D0F20" w:rsidP="009D0F2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9D0F20" w:rsidRPr="00876EE8" w:rsidTr="007F3E05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 ники финан 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9D0F20" w:rsidRPr="00876EE8" w:rsidTr="007F3E05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F20" w:rsidRPr="00876EE8" w:rsidTr="007F3E05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D0F20" w:rsidRPr="00876EE8" w:rsidTr="007F3E05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9D0F20" w:rsidRPr="00876EE8" w:rsidTr="007F3E05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мероприятие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F20" w:rsidRPr="00876EE8" w:rsidTr="007F3E05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F20" w:rsidRDefault="009D0F20" w:rsidP="009D0F20"/>
    <w:p w:rsidR="00D72A93" w:rsidRDefault="00D72A93" w:rsidP="009D0F20"/>
    <w:p w:rsidR="00D72A93" w:rsidRDefault="00D72A93" w:rsidP="009D0F20"/>
    <w:p w:rsidR="00D72A93" w:rsidRPr="00876EE8" w:rsidRDefault="00D72A93" w:rsidP="009D0F20"/>
    <w:p w:rsidR="009D0F20" w:rsidRPr="00876EE8" w:rsidRDefault="009D0F20" w:rsidP="009D0F20"/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9D0F20" w:rsidRPr="00876EE8" w:rsidTr="007F3E05">
        <w:trPr>
          <w:trHeight w:val="2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D0F20" w:rsidRPr="00876EE8" w:rsidTr="00D72A93">
        <w:trPr>
          <w:trHeight w:val="54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1 124,9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D72A93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F20" w:rsidRPr="00876EE8" w:rsidTr="007F3E05">
        <w:trPr>
          <w:trHeight w:val="42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F20" w:rsidRPr="007173D5" w:rsidRDefault="009D0F20" w:rsidP="009D0F20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F2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3.2. Перечень основных мероприятий подпрограммы на 2022-2024 годы</w:t>
      </w:r>
    </w:p>
    <w:p w:rsidR="00AF2F5A" w:rsidRPr="00AF2F5A" w:rsidRDefault="00AF2F5A" w:rsidP="00AF2F5A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D72A93" w:rsidRPr="00AF2F5A" w:rsidTr="00234290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D72A93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D72A93" w:rsidRPr="00AF2F5A" w:rsidTr="002342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B786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DB786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AF2F5A" w:rsidRPr="00AF2F5A" w:rsidTr="00DB786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72A93">
        <w:trPr>
          <w:trHeight w:val="1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72A93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C332D2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членских взносов муниципального образования город Мурманск за участие 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межмуниципального</w:t>
            </w:r>
            <w:r w:rsidR="00E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сотрудничества, членом которых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6630E2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 межмуниципального сотрудничества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город Мурманск, ед.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B786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213889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F5A" w:rsidRPr="00DB7869" w:rsidRDefault="00AF2F5A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CB7" w:rsidRPr="00876EE8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 основных мероприятий на 2018-2024 годы</w:t>
      </w:r>
    </w:p>
    <w:p w:rsidR="00056CB7" w:rsidRPr="00876EE8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807"/>
        <w:gridCol w:w="1461"/>
        <w:gridCol w:w="1926"/>
        <w:gridCol w:w="936"/>
        <w:gridCol w:w="756"/>
        <w:gridCol w:w="756"/>
        <w:gridCol w:w="756"/>
        <w:gridCol w:w="756"/>
        <w:gridCol w:w="756"/>
        <w:gridCol w:w="756"/>
        <w:gridCol w:w="756"/>
      </w:tblGrid>
      <w:tr w:rsidR="00056CB7" w:rsidRPr="00876EE8" w:rsidTr="007F3E05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мероприятия/ направления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(кв.,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056CB7" w:rsidRPr="00876EE8" w:rsidTr="007F3E05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056CB7" w:rsidRPr="00876EE8" w:rsidTr="007F3E05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6CB7" w:rsidRPr="00876EE8" w:rsidTr="006630E2">
        <w:trPr>
          <w:trHeight w:val="95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развитие инвестиционной и туристской деятельности на территории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056CB7" w:rsidRPr="00876EE8" w:rsidTr="007F3E05">
        <w:trPr>
          <w:trHeight w:val="137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инвестиционной привлекательности города 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056CB7" w:rsidRPr="00876EE8" w:rsidTr="006630E2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внутреннего и въездного туризма в городе 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</w:tbl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F2F5A" w:rsidRPr="00AF2F5A" w:rsidSect="00AF2F5A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Детализация мероприятий подпрограммы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осуществляется в соответствии с перечнем программных мероприятий: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Реализация мероприятий по формированию инвестиционно-привлекательного имиджа города Мурманска, в том числе программы продвижения бренда города.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издание информационно-справочных материалов по вопросам инвестиционной деятельности, в том числе обновление паспорта города и инвестиционного паспорта города, формирование перечня приоритетных земельных участков для осуществления инвестиционной деятельности и актуализация каталога инвестиционных проектов, проведение актуализации и мониторинга Стратегии социально-экономического развития города Мурманска до 2025 года, оценку эффективности предоставленных и планируемых к предоставлению льгот по местным налогам, техническую поддержку инвестиционного портала города Мурманска, внедрение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Мурманск, а также выполнение мероприятий программы продвижения бренда города Мурманска.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Создание условий для развития туристской деятельности на территории города Мурманска.</w:t>
      </w:r>
    </w:p>
    <w:p w:rsidR="00DF36C6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Реализация данного мероприятия предполагает создание и функционирование туристско-информационного центра в городе Мурманске, популяризацию туристского потенциала за счет изготовления рекламно-информационной продукции (карты-схемы города Мурманска, листовки, буклеты), разработки и размещения в СМИ, сети Интернет информационных и рекламно-презентационных материалов о конкурентных преимуществах региона. Также в целях массового информирования гостей и жителей города предусмотрено размещение информационных терминалов в наиболее доступных и посещаемых местах города: торгово-развлекательных комплексах, гостиницах, на вокзалах, в аэропорту. </w:t>
      </w:r>
      <w:r w:rsidRPr="00DF36C6">
        <w:rPr>
          <w:rFonts w:ascii="Times New Roman" w:eastAsia="Calibri" w:hAnsi="Times New Roman" w:cs="Times New Roman"/>
          <w:sz w:val="28"/>
          <w:szCs w:val="24"/>
        </w:rPr>
        <w:t xml:space="preserve">Так, в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настоящее время ф</w:t>
      </w:r>
      <w:r w:rsidR="00DF36C6"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 туристских терминалов</w:t>
      </w:r>
      <w:r w:rsidR="00DF36C6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 следующих объектах туристской инфраструктуры города Мурманска: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-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«Park Inn by Radisson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конгресс-отель «Меридиан»;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ТЦ «Волна»;</w:t>
      </w:r>
    </w:p>
    <w:p w:rsidR="00AF2F5A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аэропорт Мурманск;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деловой центр «Арктика»;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торгово-развлекательный центр «Мурманск Молл».</w:t>
      </w:r>
    </w:p>
    <w:p w:rsidR="00EC0C92" w:rsidRPr="00EC0C92" w:rsidRDefault="0052762F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 xml:space="preserve"> достигнута договоренность о размещении на железнодорожном вокзале Мурманск еще одного терминала. </w:t>
      </w:r>
    </w:p>
    <w:p w:rsidR="00AF2F5A" w:rsidRPr="00EC0C92" w:rsidRDefault="00EC0C92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связи с развитием круизного и паромного туризма</w:t>
      </w:r>
      <w:r w:rsidR="0052762F" w:rsidRPr="00EC0C92">
        <w:rPr>
          <w:rFonts w:ascii="Times New Roman" w:eastAsia="Calibri" w:hAnsi="Times New Roman" w:cs="Times New Roman"/>
          <w:sz w:val="28"/>
          <w:szCs w:val="24"/>
        </w:rPr>
        <w:t>,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в 2018 году запланировано </w:t>
      </w:r>
      <w:r w:rsidR="00B23C12"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информационного туристского терминала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 xml:space="preserve"> морско</w:t>
      </w:r>
      <w:r w:rsidRPr="00EC0C92">
        <w:rPr>
          <w:rFonts w:ascii="Times New Roman" w:eastAsia="Calibri" w:hAnsi="Times New Roman" w:cs="Times New Roman"/>
          <w:sz w:val="28"/>
          <w:szCs w:val="24"/>
        </w:rPr>
        <w:t xml:space="preserve">м 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lastRenderedPageBreak/>
        <w:t>вокзал</w:t>
      </w:r>
      <w:r w:rsidRPr="00EC0C92">
        <w:rPr>
          <w:rFonts w:ascii="Times New Roman" w:eastAsia="Calibri" w:hAnsi="Times New Roman" w:cs="Times New Roman"/>
          <w:sz w:val="28"/>
          <w:szCs w:val="24"/>
        </w:rPr>
        <w:t>е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для размещения на туристическом портале города Мурманска предусмотрена разработка электронного приложения «Мурманск гостеприимный».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Уплата членских взносов муниципального образования город Мурманск за участие в организациях межмуниципального сотрудничества.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оплату членских взносов муниципального образования город Мурманск за участие в следующих организациях межмуниципального сотрудничества: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Союз городов Заполярья и Крайнего Севера;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ассоциация «Совет муниципальных образований Мурманской области»;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межрегиональная ассоциация субъектов Российской Федерации </w:t>
      </w:r>
      <w:r w:rsidR="00FD1365">
        <w:rPr>
          <w:rFonts w:ascii="Times New Roman" w:eastAsia="Calibri" w:hAnsi="Times New Roman" w:cs="Times New Roman"/>
          <w:sz w:val="28"/>
          <w:szCs w:val="24"/>
        </w:rPr>
        <w:t>-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городов, шефствующих над кораблями и частями Северного флота</w:t>
      </w:r>
      <w:r w:rsidR="008102E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 Проведение презентационных мероприятий в городе, регионах РФ и за рубежом.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С 2017 года реализуется мероприятие «Проведение презентационных мероприятий в городе, регионах РФ и за рубежом», в рамках которого проводятся презентационные мероприятий, направленные на повышение инвестиционной и туристской привлекательности города Мурманска в рамках межмуниципальных и международных отношений, в частности, в рамках установленных побратимских </w:t>
      </w:r>
      <w:r w:rsidR="009763ED">
        <w:rPr>
          <w:rFonts w:ascii="Times New Roman" w:eastAsia="Calibri" w:hAnsi="Times New Roman" w:cs="Times New Roman"/>
          <w:sz w:val="28"/>
          <w:szCs w:val="24"/>
        </w:rPr>
        <w:t>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820BC0" w:rsidRPr="00876EE8" w:rsidTr="007F3E05">
        <w:trPr>
          <w:trHeight w:val="600"/>
          <w:tblHeader/>
        </w:trPr>
        <w:tc>
          <w:tcPr>
            <w:tcW w:w="1966" w:type="dxa"/>
            <w:vMerge w:val="restart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4" w:name="Par331"/>
            <w:bookmarkEnd w:id="4"/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041" w:type="dxa"/>
            <w:vMerge w:val="restart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 тыс. руб.</w:t>
            </w:r>
          </w:p>
        </w:tc>
        <w:tc>
          <w:tcPr>
            <w:tcW w:w="6882" w:type="dxa"/>
            <w:gridSpan w:val="7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по годам реализации, </w:t>
            </w:r>
          </w:p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820BC0" w:rsidRPr="00876EE8" w:rsidTr="007F3E05">
        <w:trPr>
          <w:trHeight w:val="519"/>
          <w:tblHeader/>
        </w:trPr>
        <w:tc>
          <w:tcPr>
            <w:tcW w:w="1966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820BC0" w:rsidRPr="00876EE8" w:rsidTr="007F3E05">
        <w:trPr>
          <w:tblHeader/>
        </w:trPr>
        <w:tc>
          <w:tcPr>
            <w:tcW w:w="196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20BC0" w:rsidRPr="00876EE8" w:rsidTr="007F3E05">
        <w:trPr>
          <w:trHeight w:val="573"/>
        </w:trPr>
        <w:tc>
          <w:tcPr>
            <w:tcW w:w="196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 по подпрограмме: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  <w:tr w:rsidR="00820BC0" w:rsidRPr="00876EE8" w:rsidTr="007F3E05">
        <w:trPr>
          <w:trHeight w:val="426"/>
        </w:trPr>
        <w:tc>
          <w:tcPr>
            <w:tcW w:w="9889" w:type="dxa"/>
            <w:gridSpan w:val="9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за счет:</w:t>
            </w:r>
          </w:p>
        </w:tc>
      </w:tr>
      <w:tr w:rsidR="00820BC0" w:rsidRPr="00876EE8" w:rsidTr="007F3E05">
        <w:trPr>
          <w:trHeight w:val="1254"/>
        </w:trPr>
        <w:tc>
          <w:tcPr>
            <w:tcW w:w="196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344"/>
      <w:bookmarkEnd w:id="5"/>
      <w:r w:rsidRPr="00EB059E">
        <w:rPr>
          <w:rFonts w:ascii="Times New Roman" w:eastAsia="Calibri" w:hAnsi="Times New Roman" w:cs="Times New Roman"/>
          <w:sz w:val="28"/>
          <w:szCs w:val="24"/>
        </w:rPr>
        <w:t>5. Оценка эффективности подпрограммы, рисков ее 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программных мероприятий позволит создать условия для развития инвестиционной и туристской деятельности на территории города Мурманска, повысит уровень информационной поддержки инвестиционных проектов и создаст предпосылки для привлечения инвесторов в город Мурманск.</w:t>
      </w:r>
    </w:p>
    <w:p w:rsidR="008102E9" w:rsidRDefault="008102E9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рамках реализации подпрограммы на основе разработанного бренда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муниципального образования город Мурманск будут реализовываться мероприятия по его продвижению. Продвижение бренда города способствует развитию имиджевой привлекательности Мурманска. Бренд повествует о городе через слаженную систему ярких и позитивных символов, идей, ассоциаций, которые лучшим образом передают смысл, красоту, конкурентные преимущества и уникальность города, благодаря чему город становится известен, узнаваем и привлекателен, в том числе и для потенциальных инвесторов.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будет способствовать созданию условий для: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повышения инвестиционной и туристской привлекательности;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конкурентной среды;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укрепления позиций в межрегиональном и международном сотрудничестве.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 риски подпрограммы: изменения федерального и/или регионального законодательства.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 риски подпрограммы: несвоевременное или некачественное выполнение исполнителями/подрядчиками обязательств по муниципальным контрактам, а также риск неисполнения условий контракта. В процессе конкурсного отбора победителем может стать хозяйствующий субъект, с которым в дальнейшем возможно расторжение контракта из-за неисполнения (или некачественного) исполнения условий контракта.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 минимизации внутренних рисков – своевременная подготовка документации, определенной Порядком взаимодействия заказчиков с уполномоченным учреждением на определение поставщиков (подрядчиков, исполнителей) для заказчиков.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 мероприятий подпрограммы и объемов финансирования минимизирует финансовые, организационные и иные риски.</w:t>
      </w:r>
      <w:bookmarkStart w:id="6" w:name="Par358"/>
      <w:bookmarkEnd w:id="6"/>
    </w:p>
    <w:p w:rsidR="00B15678" w:rsidRPr="00BB0843" w:rsidRDefault="00B15678" w:rsidP="001D267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15678" w:rsidRPr="00BB0843" w:rsidSect="001D2679">
      <w:headerReference w:type="first" r:id="rId9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  <w:footnote w:id="1">
    <w:p w:rsidR="00AC7CAF" w:rsidRPr="00C961D4" w:rsidRDefault="00AC7CAF" w:rsidP="00AF2F5A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>показатель за год формируется по состоянию на 9 месяцев отчетного года (в связи с тем, что показатель за год разрабатывается Мурманскстатом в сроки после составления Отчета о реализации муниципальных программ за отчетный год. Показатели за 6 и 9 месяцев формируются на основе последних имеющихся данных в текущем году. 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</w:p>
  </w:footnote>
  <w:footnote w:id="2">
    <w:p w:rsidR="00AC7CAF" w:rsidRPr="00C961D4" w:rsidRDefault="00AC7CAF" w:rsidP="00AF2F5A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0801"/>
      <w:docPartObj>
        <w:docPartGallery w:val="Page Numbers (Top of Page)"/>
        <w:docPartUnique/>
      </w:docPartObj>
    </w:sdtPr>
    <w:sdtEndPr/>
    <w:sdtContent>
      <w:p w:rsidR="00AC7CAF" w:rsidRPr="00AF2F5A" w:rsidRDefault="00AC7CAF" w:rsidP="00AF2F5A">
        <w:pPr>
          <w:pStyle w:val="ab"/>
          <w:jc w:val="center"/>
        </w:pPr>
        <w:r w:rsidRPr="00AF2F5A">
          <w:rPr>
            <w:rFonts w:ascii="Times New Roman" w:hAnsi="Times New Roman"/>
            <w:sz w:val="28"/>
          </w:rPr>
          <w:fldChar w:fldCharType="begin"/>
        </w:r>
        <w:r w:rsidRPr="00AF2F5A">
          <w:rPr>
            <w:rFonts w:ascii="Times New Roman" w:hAnsi="Times New Roman"/>
            <w:sz w:val="28"/>
          </w:rPr>
          <w:instrText xml:space="preserve"> PAGE   \* MERGEFORMAT </w:instrText>
        </w:r>
        <w:r w:rsidRPr="00AF2F5A">
          <w:rPr>
            <w:rFonts w:ascii="Times New Roman" w:hAnsi="Times New Roman"/>
            <w:sz w:val="28"/>
          </w:rPr>
          <w:fldChar w:fldCharType="separate"/>
        </w:r>
        <w:r w:rsidR="001D2679">
          <w:rPr>
            <w:rFonts w:ascii="Times New Roman" w:hAnsi="Times New Roman"/>
            <w:noProof/>
            <w:sz w:val="28"/>
          </w:rPr>
          <w:t>11</w:t>
        </w:r>
        <w:r w:rsidRPr="00AF2F5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679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3AAD702-F1D1-4CA3-9D16-AE7E077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6E4C-28F3-4A09-BF18-EE9406E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37</cp:revision>
  <cp:lastPrinted>2017-11-10T08:15:00Z</cp:lastPrinted>
  <dcterms:created xsi:type="dcterms:W3CDTF">2017-11-10T11:49:00Z</dcterms:created>
  <dcterms:modified xsi:type="dcterms:W3CDTF">2018-09-07T12:22:00Z</dcterms:modified>
</cp:coreProperties>
</file>