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VI</w:t>
      </w:r>
      <w:r w:rsidRPr="00CC29B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C29BF">
        <w:rPr>
          <w:rFonts w:ascii="Times New Roman" w:hAnsi="Times New Roman"/>
          <w:bCs/>
          <w:sz w:val="28"/>
          <w:szCs w:val="28"/>
        </w:rPr>
        <w:t>I. Аналитическая ведомственная целевая программа «Обеспечение деятельности комитета имущественных отношений города Мурманска»</w:t>
      </w:r>
    </w:p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на 2018-2024 годы</w:t>
      </w:r>
    </w:p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Паспорт АВЦП</w:t>
      </w:r>
    </w:p>
    <w:p w:rsidR="0090747E" w:rsidRPr="00CC29BF" w:rsidRDefault="0090747E" w:rsidP="0090747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7304"/>
      </w:tblGrid>
      <w:tr w:rsidR="0090747E" w:rsidRPr="00CC29BF" w:rsidTr="00EE0791">
        <w:trPr>
          <w:cantSplit/>
          <w:trHeight w:val="490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47E" w:rsidRPr="00CC29BF" w:rsidRDefault="0090747E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47E" w:rsidRPr="00CC29BF" w:rsidRDefault="0090747E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90747E" w:rsidRPr="00CC29BF" w:rsidTr="00EE0791">
        <w:trPr>
          <w:cantSplit/>
          <w:trHeight w:val="45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47E" w:rsidRPr="00CC29BF" w:rsidRDefault="0090747E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47E" w:rsidRPr="00CC29BF" w:rsidRDefault="0090747E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функций, направленных на повышение эффективности управления муниципальным имуществом </w:t>
            </w:r>
          </w:p>
        </w:tc>
      </w:tr>
      <w:tr w:rsidR="0090747E" w:rsidRPr="00CC29BF" w:rsidTr="00EE0791">
        <w:trPr>
          <w:cantSplit/>
          <w:trHeight w:val="1313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47E" w:rsidRPr="00CC29BF" w:rsidRDefault="0090747E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1. Доля неналоговых доходов в общем объеме доходов бюджета муниципального образования город Мурманск (за исключением субвенций и субсидий).</w:t>
            </w:r>
          </w:p>
          <w:p w:rsidR="0090747E" w:rsidRPr="00CC29BF" w:rsidRDefault="0090747E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2. 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  <w:p w:rsidR="0090747E" w:rsidRPr="00CC29BF" w:rsidRDefault="0090747E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3. Организация принятия и исполнения прогнозного плана (программы) приватизации муниципального имущества города Мурманска.</w:t>
            </w:r>
          </w:p>
          <w:p w:rsidR="0090747E" w:rsidRPr="00CC29BF" w:rsidRDefault="0090747E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4. Обеспечение условий для осуществления жителями города Мурманска права на жилище</w:t>
            </w:r>
          </w:p>
        </w:tc>
      </w:tr>
      <w:tr w:rsidR="0090747E" w:rsidRPr="00CC29BF" w:rsidTr="00EE0791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47E" w:rsidRPr="00CC29BF" w:rsidRDefault="0090747E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47E" w:rsidRPr="00CC29BF" w:rsidRDefault="0090747E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90747E" w:rsidRPr="00CC29BF" w:rsidTr="00EE0791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47E" w:rsidRPr="00CC29BF" w:rsidRDefault="0090747E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Сроки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47E" w:rsidRPr="00CC29BF" w:rsidRDefault="0090747E" w:rsidP="00EE0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90747E" w:rsidRPr="00CC29BF" w:rsidTr="00EE0791">
        <w:trPr>
          <w:cantSplit/>
          <w:trHeight w:val="1128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747E" w:rsidRPr="00CC29BF" w:rsidRDefault="0090747E" w:rsidP="00EE0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747E" w:rsidRPr="00F73527" w:rsidRDefault="0090747E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>Всего по АВЦП: 799 894,8 тыс. руб., в том числе:</w:t>
            </w:r>
          </w:p>
          <w:p w:rsidR="0090747E" w:rsidRPr="00F73527" w:rsidRDefault="0090747E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>МБ: 795 530,2 тыс. руб., из них:</w:t>
            </w:r>
          </w:p>
          <w:p w:rsidR="0090747E" w:rsidRPr="00F73527" w:rsidRDefault="0090747E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2018 год – 94 736,4 тыс. руб.; </w:t>
            </w:r>
          </w:p>
          <w:p w:rsidR="0090747E" w:rsidRPr="00F73527" w:rsidRDefault="0090747E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2019 год – 94 448,0 тыс. руб.; </w:t>
            </w:r>
          </w:p>
          <w:p w:rsidR="0090747E" w:rsidRPr="00F73527" w:rsidRDefault="0090747E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2020 год – 94 596,2 тыс. руб.; </w:t>
            </w:r>
          </w:p>
          <w:p w:rsidR="0090747E" w:rsidRPr="00F73527" w:rsidRDefault="0090747E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2021 год – 105 062,9 тыс. руб.; </w:t>
            </w:r>
          </w:p>
          <w:p w:rsidR="0090747E" w:rsidRPr="00F73527" w:rsidRDefault="0090747E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2022 год – 130 488,6 тыс. руб.; </w:t>
            </w:r>
          </w:p>
          <w:p w:rsidR="0090747E" w:rsidRPr="00F73527" w:rsidRDefault="0090747E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2023 год – 135 410,6 тыс. руб.; </w:t>
            </w:r>
          </w:p>
          <w:p w:rsidR="0090747E" w:rsidRPr="00F73527" w:rsidRDefault="0090747E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>2024 год – 140 787,5 тыс. руб.</w:t>
            </w:r>
          </w:p>
          <w:p w:rsidR="0090747E" w:rsidRPr="00F73527" w:rsidRDefault="0090747E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>ОБ: 4 364,6 тыс. руб., из них:</w:t>
            </w:r>
          </w:p>
          <w:p w:rsidR="0090747E" w:rsidRPr="00F73527" w:rsidRDefault="0090747E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2022 год – 1 398,1 тыс. руб.; </w:t>
            </w:r>
          </w:p>
          <w:p w:rsidR="0090747E" w:rsidRPr="00F73527" w:rsidRDefault="0090747E" w:rsidP="00EE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2023 год – 1 454,1 тыс. руб.; </w:t>
            </w:r>
          </w:p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>2024 год – 1 512,4 тыс. руб.</w:t>
            </w:r>
          </w:p>
        </w:tc>
      </w:tr>
    </w:tbl>
    <w:p w:rsidR="0090747E" w:rsidRPr="00CC29BF" w:rsidRDefault="0090747E" w:rsidP="0090747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90747E" w:rsidRPr="00CC29BF" w:rsidRDefault="0090747E" w:rsidP="0090747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соответствии с Положением о комитете имущественных отношений города Мурманска, утвержденным постановлением администрации города Мурманска от 23.12.2003 № 1153, комитет является уполномоченным органом местного самоуправления по управлению и распоряжению муниципальной собственностью города Мурманска.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Комитет является структурным подразделением администрации города Мурманска и действует в пределах своих полномочий, установленных федеральными законами и законами Мурманской области, Уставом муниципального образования город Мурманск, решениями Совета депутатов города Мурманска, постановлениями и распоряжениями администрации города Мурманска и иными нормативными правовыми актами, регулирующими правоотношения в сфере управления и распоряжения муниципальной собственностью.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Задачами комитета являются: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Управление и распоряжение в установленном порядке имуществом, находящимся в муниципальной собственности.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Рациональное использование земельных ресурсов и развитие рынка недвижимости в соответствии с интересами муниципального образования город Мурманск.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Организация учета муниципального имущества города Мурманска.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Приватизация муниципального имущества в соответствии с действующим законодательством и в порядке, установленном Советом депутатов города Мурманска.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Обеспечение условий для осуществления жителями города Мурманска права на жилище.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Подготовка предложений и участие в мероприятиях по вопросам учета, распределения и предоставления жилых помещений муниципального жилищного фонда.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рамках своих полномочий комитет осуществляет деятельность по следующим основным направлениям в сфере управления и распоряжения муниципальным имуществом: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Формирование и ведение реестра муниципального имущества города Мурманска.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Создание, реорганизация и ликвидация муниципальных унитарных предприятий, закрепление за ними имущества на праве хозяйственного ведения, заключение трудовых договоров с их руководителями.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Анализ финансово-хозяйственной деятельности муниципальных унитарных предприятий.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Закрепление за муниципальными учреждениями имущества на праве оперативного управления.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Передача в аренду (имущественный наем) и иные виды пользования муниципального имущества.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Внесение муниципальных вкладов в уставные капиталы организаций с участием города, участие в управлении этими организациями.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7. Организация приватизации муниципальной собственности на территории города и контроль за выполнением ее условий.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8. Контроль за сохранностью объектов муниципальной собственности.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9. Учет, распределение и предоставление жилых помещений муниципального жилищного фонда.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10. Выполнение иных задач в пределах компетенции, установленной законодательством Российской Федерации, Мурманской области, нормативными актами органов местного самоуправления.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11. Управление муниципальной казной города Мурманска за исключением средств городского бюджета и организация учета имущества, входящего в состав муниципальной казны.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12. Организация рационального землепользования на территории города Мурманска.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Переданных государственных полномочий КИО не реализует.</w:t>
      </w:r>
    </w:p>
    <w:p w:rsidR="0090747E" w:rsidRPr="00CC29BF" w:rsidRDefault="0090747E" w:rsidP="0090747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2869"/>
        <w:gridCol w:w="497"/>
        <w:gridCol w:w="1105"/>
        <w:gridCol w:w="1008"/>
        <w:gridCol w:w="536"/>
        <w:gridCol w:w="536"/>
        <w:gridCol w:w="536"/>
        <w:gridCol w:w="536"/>
        <w:gridCol w:w="536"/>
        <w:gridCol w:w="536"/>
        <w:gridCol w:w="536"/>
      </w:tblGrid>
      <w:tr w:rsidR="0090747E" w:rsidRPr="00CC29BF" w:rsidTr="00EE0791">
        <w:trPr>
          <w:trHeight w:val="275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CC29BF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0747E" w:rsidRPr="00CC29BF" w:rsidTr="00EE0791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Годы реализации АВЦП</w:t>
            </w:r>
          </w:p>
        </w:tc>
      </w:tr>
      <w:tr w:rsidR="0090747E" w:rsidRPr="00CC29BF" w:rsidTr="00EE0791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0747E" w:rsidRPr="00CC29BF" w:rsidTr="00EE0791">
        <w:trPr>
          <w:trHeight w:val="98"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0747E" w:rsidRPr="00CC29BF" w:rsidTr="00EE0791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Цель АВЦП: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90747E" w:rsidRPr="00CC29BF" w:rsidTr="00EE0791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</w:tr>
      <w:tr w:rsidR="0090747E" w:rsidRPr="00CC29BF" w:rsidTr="00EE0791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C29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да-1/</w:t>
            </w:r>
          </w:p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747E" w:rsidRPr="00CC29BF" w:rsidTr="00EE0791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C29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да-1/</w:t>
            </w:r>
          </w:p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747E" w:rsidRPr="00CC29BF" w:rsidTr="00EE0791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C29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условий для осуществления жителями города Мурманска права на жилище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да-1/</w:t>
            </w:r>
          </w:p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3. Перечень основных мероприятий АВЦП</w:t>
      </w:r>
    </w:p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Главным распорядителем бюджетных средств по АВЦП является комитет имущественных отношений города Мурманска. </w:t>
      </w:r>
    </w:p>
    <w:p w:rsidR="0090747E" w:rsidRPr="00CC29BF" w:rsidRDefault="0090747E" w:rsidP="009074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таблице.</w:t>
      </w:r>
    </w:p>
    <w:p w:rsidR="0090747E" w:rsidRPr="00CC29BF" w:rsidRDefault="0090747E" w:rsidP="0090747E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47E" w:rsidRPr="00CC29BF" w:rsidRDefault="0090747E" w:rsidP="0090747E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0747E" w:rsidRPr="00CC29BF" w:rsidSect="00A40AB2"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90747E" w:rsidRPr="00CC29BF" w:rsidRDefault="0090747E" w:rsidP="0090747E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90747E" w:rsidRPr="00CC29BF" w:rsidRDefault="0090747E" w:rsidP="0090747E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АВЦП</w:t>
      </w:r>
    </w:p>
    <w:p w:rsidR="0090747E" w:rsidRPr="00CC29BF" w:rsidRDefault="0090747E" w:rsidP="0090747E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747E" w:rsidRPr="00CC29BF" w:rsidRDefault="0090747E" w:rsidP="0090747E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АВЦП на 2018 - 2024 годы</w:t>
      </w:r>
    </w:p>
    <w:p w:rsidR="0090747E" w:rsidRPr="00CC29BF" w:rsidRDefault="0090747E" w:rsidP="009074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747E" w:rsidRPr="00CC29BF" w:rsidRDefault="0090747E" w:rsidP="0090747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Перечень основных мероприятий АВЦП </w:t>
      </w:r>
      <w:r w:rsidRPr="00CC29BF">
        <w:rPr>
          <w:rFonts w:ascii="Times New Roman" w:hAnsi="Times New Roman"/>
          <w:sz w:val="28"/>
          <w:szCs w:val="28"/>
        </w:rPr>
        <w:t>на 2018 - 2021 годы</w:t>
      </w:r>
    </w:p>
    <w:p w:rsidR="0090747E" w:rsidRDefault="0090747E" w:rsidP="0090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"/>
        <w:gridCol w:w="2533"/>
        <w:gridCol w:w="1293"/>
        <w:gridCol w:w="1251"/>
        <w:gridCol w:w="842"/>
        <w:gridCol w:w="735"/>
        <w:gridCol w:w="735"/>
        <w:gridCol w:w="735"/>
        <w:gridCol w:w="842"/>
        <w:gridCol w:w="1861"/>
        <w:gridCol w:w="628"/>
        <w:gridCol w:w="628"/>
        <w:gridCol w:w="628"/>
        <w:gridCol w:w="631"/>
        <w:gridCol w:w="1415"/>
      </w:tblGrid>
      <w:tr w:rsidR="0090747E" w:rsidRPr="00BB1F3F" w:rsidTr="00EE0791">
        <w:trPr>
          <w:cantSplit/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2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0747E" w:rsidRPr="00BB1F3F" w:rsidTr="00EE0791">
        <w:trPr>
          <w:cantSplit/>
          <w:tblHeader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47E" w:rsidRPr="00BB1F3F" w:rsidTr="00EE0791">
        <w:trPr>
          <w:cantSplit/>
          <w:tblHeader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90747E" w:rsidRPr="00BB1F3F" w:rsidTr="00EE0791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90747E" w:rsidRPr="00BB1F3F" w:rsidTr="00EE0791">
        <w:trPr>
          <w:cantSplit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535000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</w:t>
            </w:r>
            <w:r w:rsidRPr="005350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843,5</w:t>
            </w:r>
          </w:p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84DC1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 w:rsidRPr="00C84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062,9</w:t>
            </w:r>
          </w:p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90747E" w:rsidRPr="00BB1F3F" w:rsidTr="00EE0791">
        <w:trPr>
          <w:cantSplit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535000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</w:t>
            </w:r>
            <w:r w:rsidRPr="005350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843,5</w:t>
            </w:r>
          </w:p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84DC1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 w:rsidRPr="00C84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062,9</w:t>
            </w:r>
          </w:p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47E" w:rsidRPr="00BB1F3F" w:rsidTr="00EE0791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84DC1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  <w:r w:rsidRPr="00C84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005,9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93071,1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92612,2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93248,2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103074,4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47E" w:rsidRPr="00BB1F3F" w:rsidTr="00EE0791">
        <w:trPr>
          <w:cantSplit/>
          <w:trHeight w:val="91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84DC1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84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1835,8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Своевременность выполнения функций, </w:t>
            </w:r>
          </w:p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47E" w:rsidRPr="00BB1F3F" w:rsidTr="00EE0791">
        <w:trPr>
          <w:cantSplit/>
        </w:trPr>
        <w:tc>
          <w:tcPr>
            <w:tcW w:w="1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Default="0090747E" w:rsidP="00EE0791">
            <w:r w:rsidRPr="00A63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388843,5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Default="0090747E" w:rsidP="00EE0791">
            <w:r w:rsidRPr="00E923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105062,9</w:t>
            </w:r>
          </w:p>
        </w:tc>
        <w:tc>
          <w:tcPr>
            <w:tcW w:w="19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47E" w:rsidRPr="00AF343F" w:rsidTr="00EE0791">
        <w:trPr>
          <w:cantSplit/>
          <w:trHeight w:val="248"/>
        </w:trPr>
        <w:tc>
          <w:tcPr>
            <w:tcW w:w="1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Default="0090747E" w:rsidP="00EE0791">
            <w:r w:rsidRPr="00A63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388843,5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BB1F3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Default="0090747E" w:rsidP="00EE0791">
            <w:r w:rsidRPr="00E923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105062,9</w:t>
            </w:r>
          </w:p>
        </w:tc>
        <w:tc>
          <w:tcPr>
            <w:tcW w:w="190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AF343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747E" w:rsidRDefault="0090747E" w:rsidP="0090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АВЦП на 2022 - 2024 годы</w:t>
      </w:r>
    </w:p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876"/>
        <w:gridCol w:w="1141"/>
        <w:gridCol w:w="1104"/>
        <w:gridCol w:w="1010"/>
        <w:gridCol w:w="915"/>
        <w:gridCol w:w="1025"/>
        <w:gridCol w:w="915"/>
        <w:gridCol w:w="2184"/>
        <w:gridCol w:w="775"/>
        <w:gridCol w:w="775"/>
        <w:gridCol w:w="775"/>
        <w:gridCol w:w="1364"/>
      </w:tblGrid>
      <w:tr w:rsidR="0090747E" w:rsidRPr="00CC29BF" w:rsidTr="00EE0791">
        <w:trPr>
          <w:tblHeader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0747E" w:rsidRPr="00CC29BF" w:rsidTr="00EE0791">
        <w:trPr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47E" w:rsidRPr="00CC29BF" w:rsidTr="00EE0791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0747E" w:rsidRPr="00CC29BF" w:rsidTr="00EE079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90747E" w:rsidRPr="00CC29BF" w:rsidTr="00EE0791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411051,3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131886,7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136864,7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142299,9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90747E" w:rsidRPr="00CC29BF" w:rsidTr="00EE0791">
        <w:trPr>
          <w:trHeight w:val="345"/>
        </w:trPr>
        <w:tc>
          <w:tcPr>
            <w:tcW w:w="12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406686,7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130488,6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140787,5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47E" w:rsidRPr="00CC29BF" w:rsidTr="00EE0791">
        <w:trPr>
          <w:trHeight w:val="34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47E" w:rsidRPr="00CC29BF" w:rsidTr="00EE0791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402679,7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128983,6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134159,6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139536,5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47E" w:rsidRPr="00CC29BF" w:rsidTr="00EE0791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47E" w:rsidRPr="00CC29BF" w:rsidTr="00EE0791">
        <w:trPr>
          <w:trHeight w:val="1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5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в области жилищных отношений и жилищного строительства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47E" w:rsidRPr="00CC29BF" w:rsidTr="00EE0791">
        <w:tc>
          <w:tcPr>
            <w:tcW w:w="1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411051,3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131886,7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136864,7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142299,9</w:t>
            </w:r>
          </w:p>
        </w:tc>
        <w:tc>
          <w:tcPr>
            <w:tcW w:w="1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47E" w:rsidRPr="00CC29BF" w:rsidTr="00EE0791">
        <w:trPr>
          <w:trHeight w:val="355"/>
        </w:trPr>
        <w:tc>
          <w:tcPr>
            <w:tcW w:w="14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406686,7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130488,6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135410,6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0747E" w:rsidRPr="00CC29BF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140787,5</w:t>
            </w:r>
          </w:p>
        </w:tc>
        <w:tc>
          <w:tcPr>
            <w:tcW w:w="19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47E" w:rsidRPr="00CC29BF" w:rsidTr="00EE0791">
        <w:tc>
          <w:tcPr>
            <w:tcW w:w="14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7E" w:rsidRDefault="0090747E" w:rsidP="00EE07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192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47E" w:rsidRPr="00CC29BF" w:rsidRDefault="0090747E" w:rsidP="00EE07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47E" w:rsidRPr="00CC29BF" w:rsidRDefault="0090747E" w:rsidP="0090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47E" w:rsidRPr="00290B8C" w:rsidRDefault="0090747E" w:rsidP="0090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14407F" w:rsidRDefault="0090747E">
      <w:bookmarkStart w:id="0" w:name="_GoBack"/>
      <w:bookmarkEnd w:id="0"/>
    </w:p>
    <w:sectPr w:rsidR="0014407F" w:rsidSect="0021072E"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63"/>
    <w:rsid w:val="000D2633"/>
    <w:rsid w:val="008426CA"/>
    <w:rsid w:val="0090747E"/>
    <w:rsid w:val="00C3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48BF7-B672-4A6A-BA32-DEACD2CF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74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2021-12-24T07:38:00Z</dcterms:created>
  <dcterms:modified xsi:type="dcterms:W3CDTF">2021-12-24T07:38:00Z</dcterms:modified>
</cp:coreProperties>
</file>