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E" w:rsidRDefault="006C4BBE" w:rsidP="006C4BBE">
      <w:pPr>
        <w:jc w:val="center"/>
      </w:pPr>
      <w:r>
        <w:rPr>
          <w:lang w:val="en-US"/>
        </w:rPr>
        <w:t>V</w:t>
      </w:r>
      <w:r>
        <w:t>. Аналитическая ведомственная целевая программа «Обеспечение деятельности комитета по культуре администрации города Мурманска»           на 2018-2024 годы</w:t>
      </w:r>
    </w:p>
    <w:p w:rsidR="006C4BBE" w:rsidRDefault="006C4BBE" w:rsidP="006C4BBE">
      <w:pPr>
        <w:jc w:val="center"/>
      </w:pPr>
    </w:p>
    <w:p w:rsidR="006C4BBE" w:rsidRDefault="006C4BBE" w:rsidP="006C4BBE">
      <w:pPr>
        <w:jc w:val="center"/>
      </w:pPr>
      <w:r>
        <w:t>Паспорт АВЦП</w:t>
      </w:r>
    </w:p>
    <w:p w:rsidR="006C4BBE" w:rsidRDefault="006C4BBE" w:rsidP="006C4BBE">
      <w:pPr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6C4BBE" w:rsidTr="006C4B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</w:pPr>
            <w:r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</w:pPr>
            <w:r>
              <w:t>Муниципальная программа города Мурманска «Развитие культуры» на 2018-2024 годы</w:t>
            </w:r>
          </w:p>
        </w:tc>
      </w:tr>
      <w:tr w:rsidR="006C4BBE" w:rsidTr="006C4B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</w:pPr>
            <w:r>
              <w:t>Цель АВЦП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C4BBE" w:rsidTr="006C4B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</w:pPr>
            <w:r>
              <w:t>Важнейшие целевые показатели (индикаторы) реализации АВЦП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6C4BBE" w:rsidTr="006C4B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</w:pPr>
            <w:r>
              <w:t>Заказчик АВЦП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  <w:rPr>
                <w:rFonts w:eastAsia="Calibri"/>
                <w:kern w:val="0"/>
              </w:rPr>
            </w:pPr>
            <w:r>
              <w:rPr>
                <w:kern w:val="0"/>
              </w:rPr>
              <w:t xml:space="preserve">Комитет </w:t>
            </w:r>
          </w:p>
        </w:tc>
      </w:tr>
      <w:tr w:rsidR="006C4BBE" w:rsidTr="006C4B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</w:pPr>
            <w:r>
              <w:t>Сроки и этапы реализации АВЦП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</w:pPr>
            <w:r>
              <w:t>2018-2024 годы</w:t>
            </w:r>
          </w:p>
        </w:tc>
      </w:tr>
      <w:tr w:rsidR="006C4BBE" w:rsidTr="006C4B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</w:pPr>
            <w:r>
              <w:t>Финансовое обеспечение АВЦП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Всего по АВЦП: 75834,7 тыс. руб., в </w:t>
            </w:r>
            <w:proofErr w:type="spellStart"/>
            <w:r>
              <w:rPr>
                <w:kern w:val="0"/>
              </w:rPr>
              <w:t>т.ч</w:t>
            </w:r>
            <w:proofErr w:type="spellEnd"/>
            <w:r>
              <w:rPr>
                <w:kern w:val="0"/>
              </w:rPr>
              <w:t>.:</w:t>
            </w:r>
          </w:p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>МБ: 75834,7 тыс. руб., из них:</w:t>
            </w:r>
          </w:p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2018 год – 8764,6 тыс. руб.;</w:t>
            </w:r>
          </w:p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2019 год – 9062,4 тыс. руб.;</w:t>
            </w:r>
          </w:p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2020 год – 9511,5 тыс. руб.;</w:t>
            </w:r>
          </w:p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2021 год – 11330,0 тыс. руб.;</w:t>
            </w:r>
          </w:p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2022 год – 11909,1 тыс. руб.;</w:t>
            </w:r>
          </w:p>
          <w:p w:rsidR="006C4BBE" w:rsidRDefault="006C4BB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12382,2 тыс. руб.;</w:t>
            </w:r>
          </w:p>
          <w:p w:rsidR="006C4BBE" w:rsidRDefault="006C4BBE">
            <w:pPr>
              <w:jc w:val="both"/>
            </w:pPr>
            <w:r>
              <w:rPr>
                <w:kern w:val="0"/>
              </w:rPr>
              <w:t>2024 год – 12874,9 тыс. руб.</w:t>
            </w:r>
          </w:p>
        </w:tc>
      </w:tr>
    </w:tbl>
    <w:p w:rsidR="006C4BBE" w:rsidRDefault="006C4BBE" w:rsidP="006C4BBE">
      <w:pPr>
        <w:jc w:val="center"/>
      </w:pPr>
    </w:p>
    <w:p w:rsidR="006C4BBE" w:rsidRDefault="006C4BBE" w:rsidP="006C4BBE">
      <w:pPr>
        <w:jc w:val="center"/>
      </w:pPr>
      <w:r>
        <w:t>1. Характеристика выполняемых функций заказчика и переданных государственных полномочий</w:t>
      </w:r>
    </w:p>
    <w:p w:rsidR="006C4BBE" w:rsidRDefault="006C4BBE" w:rsidP="006C4BBE">
      <w:pPr>
        <w:jc w:val="center"/>
      </w:pP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Для реализации основной цели Комитет выполняет следующие функции: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lastRenderedPageBreak/>
        <w:tab/>
        <w:t>4. Создает условия для организации и предоставления дополнительного образования в сфере культуры и искусства.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Министерству культуры Мурманской области.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7. Осуществляет контроль за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Комитет в соответствии со своими функциями наделен следующими полномочиями: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4. Осуществление функций главного распорядителя средств бюджета муниципального образования город Мурманск, определенных ведомственной классификацией расходов бюджета муниципального образования город Мурманск.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6.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 через муниципальное бюджетное учреждение – централизованная бухгалтерия по обслуживанию учреждений комитета по культуре администрации города Мурманска.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lastRenderedPageBreak/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10. Формирование муниципального заказа на поставку товаров, выполнение работ и оказание услуг для муниципальных нужд и заключение муниципальных контрактов по результатам проведения торгов.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 xml:space="preserve">11. Организация кадровой работы, в </w:t>
      </w:r>
      <w:proofErr w:type="spellStart"/>
      <w:r>
        <w:rPr>
          <w:kern w:val="0"/>
        </w:rPr>
        <w:t>т.ч</w:t>
      </w:r>
      <w:proofErr w:type="spellEnd"/>
      <w:r>
        <w:rPr>
          <w:kern w:val="0"/>
        </w:rPr>
        <w:t>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13. Осуществление иных полномочий, предоставленных Комитету нормативными правовыми актами органов местного самоуправления города Мурманска.</w:t>
      </w:r>
    </w:p>
    <w:p w:rsidR="006C4BBE" w:rsidRDefault="006C4BBE" w:rsidP="006C4BBE">
      <w:pPr>
        <w:jc w:val="both"/>
        <w:rPr>
          <w:kern w:val="0"/>
        </w:rPr>
      </w:pPr>
      <w:r>
        <w:rPr>
          <w:kern w:val="0"/>
        </w:rPr>
        <w:tab/>
        <w:t>Переданные государственные полномочия Комитет не реализует.</w:t>
      </w:r>
    </w:p>
    <w:p w:rsidR="006C4BBE" w:rsidRDefault="006C4BBE" w:rsidP="006C4BBE">
      <w:pPr>
        <w:jc w:val="both"/>
      </w:pPr>
    </w:p>
    <w:p w:rsidR="006C4BBE" w:rsidRDefault="006C4BBE" w:rsidP="006C4BBE">
      <w:pPr>
        <w:jc w:val="center"/>
      </w:pPr>
      <w:r>
        <w:t>2. Основные цели и задачи АВЦП, целевые показатели (индикаторы) реализации АВЦП</w:t>
      </w:r>
    </w:p>
    <w:p w:rsidR="006C4BBE" w:rsidRDefault="006C4BBE" w:rsidP="006C4BBE">
      <w:pPr>
        <w:jc w:val="center"/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12"/>
        <w:gridCol w:w="709"/>
        <w:gridCol w:w="849"/>
        <w:gridCol w:w="752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6C4BBE" w:rsidTr="006C4BBE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65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6C4BBE" w:rsidTr="006C4BBE">
        <w:trPr>
          <w:trHeight w:val="292"/>
        </w:trPr>
        <w:tc>
          <w:tcPr>
            <w:tcW w:w="9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  <w:p w:rsidR="006C4BBE" w:rsidRDefault="006C4B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</w:t>
            </w:r>
          </w:p>
          <w:p w:rsidR="006C4BBE" w:rsidRDefault="006C4B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реализации АВЦП</w:t>
            </w:r>
          </w:p>
        </w:tc>
      </w:tr>
      <w:tr w:rsidR="006C4BBE" w:rsidTr="006C4BBE">
        <w:trPr>
          <w:trHeight w:val="519"/>
        </w:trPr>
        <w:tc>
          <w:tcPr>
            <w:tcW w:w="9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6C4BBE" w:rsidTr="006C4BBE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BBE" w:rsidRDefault="006C4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C4BBE" w:rsidTr="006C4BBE">
        <w:trPr>
          <w:cantSplit/>
          <w:trHeight w:val="301"/>
        </w:trPr>
        <w:tc>
          <w:tcPr>
            <w:tcW w:w="96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BBE" w:rsidRDefault="006C4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C4BBE" w:rsidTr="006C4BBE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да – 1/</w:t>
            </w:r>
          </w:p>
          <w:p w:rsidR="006C4BBE" w:rsidRDefault="006C4BBE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нет - 0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</w:tr>
    </w:tbl>
    <w:p w:rsidR="006C4BBE" w:rsidRDefault="006C4BBE" w:rsidP="006C4BBE">
      <w:pPr>
        <w:rPr>
          <w:color w:val="000000" w:themeColor="text1"/>
        </w:rPr>
        <w:sectPr w:rsidR="006C4BBE">
          <w:pgSz w:w="11906" w:h="16838"/>
          <w:pgMar w:top="1134" w:right="567" w:bottom="1134" w:left="1701" w:header="425" w:footer="215" w:gutter="0"/>
          <w:cols w:space="720"/>
        </w:sectPr>
      </w:pPr>
    </w:p>
    <w:p w:rsidR="006C4BBE" w:rsidRDefault="006C4BBE" w:rsidP="006C4BBE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3. Перечень основных мероприятий АВЦП на 2018-2024 годы</w:t>
      </w:r>
    </w:p>
    <w:p w:rsidR="006C4BBE" w:rsidRDefault="006C4BBE" w:rsidP="006C4BBE">
      <w:pPr>
        <w:tabs>
          <w:tab w:val="left" w:pos="3825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62"/>
        <w:gridCol w:w="709"/>
        <w:gridCol w:w="709"/>
        <w:gridCol w:w="799"/>
        <w:gridCol w:w="771"/>
        <w:gridCol w:w="714"/>
        <w:gridCol w:w="756"/>
        <w:gridCol w:w="721"/>
        <w:gridCol w:w="770"/>
        <w:gridCol w:w="733"/>
        <w:gridCol w:w="728"/>
        <w:gridCol w:w="1274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6C4BBE" w:rsidTr="006C4BBE">
        <w:trPr>
          <w:trHeight w:val="613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Срок выполнения (</w:t>
            </w:r>
            <w:proofErr w:type="spellStart"/>
            <w:r>
              <w:rPr>
                <w:color w:val="000000" w:themeColor="text1"/>
                <w:kern w:val="0"/>
                <w:sz w:val="16"/>
                <w:szCs w:val="16"/>
              </w:rPr>
              <w:t>квар</w:t>
            </w:r>
            <w:proofErr w:type="spellEnd"/>
          </w:p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9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0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 xml:space="preserve">Перечень </w:t>
            </w:r>
            <w:proofErr w:type="spellStart"/>
            <w:r>
              <w:rPr>
                <w:color w:val="000000" w:themeColor="text1"/>
                <w:kern w:val="0"/>
                <w:sz w:val="16"/>
                <w:szCs w:val="16"/>
              </w:rPr>
              <w:t>организа</w:t>
            </w:r>
            <w:proofErr w:type="spellEnd"/>
          </w:p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kern w:val="0"/>
                <w:sz w:val="16"/>
                <w:szCs w:val="16"/>
              </w:rPr>
              <w:t>ций</w:t>
            </w:r>
            <w:proofErr w:type="spellEnd"/>
            <w:r>
              <w:rPr>
                <w:color w:val="000000" w:themeColor="text1"/>
                <w:kern w:val="0"/>
                <w:sz w:val="16"/>
                <w:szCs w:val="16"/>
              </w:rPr>
              <w:t xml:space="preserve">, участвую </w:t>
            </w:r>
            <w:proofErr w:type="spellStart"/>
            <w:r>
              <w:rPr>
                <w:color w:val="000000" w:themeColor="text1"/>
                <w:kern w:val="0"/>
                <w:sz w:val="16"/>
                <w:szCs w:val="16"/>
              </w:rPr>
              <w:t>щих</w:t>
            </w:r>
            <w:proofErr w:type="spellEnd"/>
            <w:r>
              <w:rPr>
                <w:color w:val="000000" w:themeColor="text1"/>
                <w:kern w:val="0"/>
                <w:sz w:val="16"/>
                <w:szCs w:val="16"/>
              </w:rPr>
              <w:t xml:space="preserve"> в </w:t>
            </w:r>
            <w:proofErr w:type="spellStart"/>
            <w:r>
              <w:rPr>
                <w:color w:val="000000" w:themeColor="text1"/>
                <w:kern w:val="0"/>
                <w:sz w:val="16"/>
                <w:szCs w:val="16"/>
              </w:rPr>
              <w:t>реализа</w:t>
            </w:r>
            <w:proofErr w:type="spellEnd"/>
          </w:p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kern w:val="0"/>
                <w:sz w:val="16"/>
                <w:szCs w:val="16"/>
              </w:rPr>
              <w:t>ции</w:t>
            </w:r>
            <w:proofErr w:type="spellEnd"/>
            <w:r>
              <w:rPr>
                <w:color w:val="000000" w:themeColor="text1"/>
                <w:kern w:val="0"/>
                <w:sz w:val="16"/>
                <w:szCs w:val="16"/>
              </w:rPr>
              <w:t xml:space="preserve"> основных </w:t>
            </w:r>
            <w:proofErr w:type="spellStart"/>
            <w:r>
              <w:rPr>
                <w:color w:val="000000" w:themeColor="text1"/>
                <w:kern w:val="0"/>
                <w:sz w:val="16"/>
                <w:szCs w:val="16"/>
              </w:rPr>
              <w:t>мероприя</w:t>
            </w:r>
            <w:proofErr w:type="spellEnd"/>
            <w:r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16"/>
                <w:szCs w:val="16"/>
              </w:rPr>
              <w:t>тий</w:t>
            </w:r>
            <w:proofErr w:type="spellEnd"/>
          </w:p>
        </w:tc>
      </w:tr>
      <w:tr w:rsidR="006C4BBE" w:rsidTr="006C4BBE">
        <w:trPr>
          <w:trHeight w:val="1276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C4BBE" w:rsidTr="006C4BBE">
        <w:trPr>
          <w:trHeight w:val="289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</w:tr>
      <w:tr w:rsidR="006C4BBE" w:rsidTr="006C4BBE">
        <w:trPr>
          <w:trHeight w:val="338"/>
        </w:trPr>
        <w:tc>
          <w:tcPr>
            <w:tcW w:w="1612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6C4BBE" w:rsidTr="006C4BBE">
        <w:trPr>
          <w:trHeight w:val="17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Основное мероприятие: эффективное выполнение муниципальных функций в сфере развития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75834,7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5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11330,0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11909,1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5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12382,2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4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12874,9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BBE" w:rsidRDefault="006C4BBE">
            <w:pPr>
              <w:ind w:left="-89" w:right="-95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Количество выполняемых функций, ед.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6C4BBE" w:rsidTr="006C4BBE">
        <w:trPr>
          <w:trHeight w:val="12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BBE" w:rsidRDefault="006C4B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74666,4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8674,8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8890,4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9442,0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5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10748,0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11824,1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5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12297,2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4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12789,9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BBE" w:rsidRDefault="006C4BBE">
            <w:pPr>
              <w:ind w:left="-64" w:right="-55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Количество муниципальных служащих, чел.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6C4BBE" w:rsidTr="006C4BBE">
        <w:trPr>
          <w:trHeight w:val="1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674,3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69,5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88,0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85,0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85,0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85,0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BBE" w:rsidRDefault="006C4BBE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Количество муниципальных служащих, получающих социальные выплаты, чел.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6C4BBE" w:rsidTr="006C4BBE">
        <w:trPr>
          <w:trHeight w:val="19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Расходы на компенсационные выплаты муниципальным служащим, высвобождаемым в связи с расторжением трудового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FF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494,0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494,0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BBE" w:rsidRDefault="006C4BBE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Количество муниципальных служащих, получающих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компенсацион</w:t>
            </w:r>
            <w:proofErr w:type="spellEnd"/>
          </w:p>
          <w:p w:rsidR="006C4BBE" w:rsidRDefault="006C4BBE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ные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выплаты, чел.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6C4BBE" w:rsidTr="006C4BBE">
        <w:trPr>
          <w:trHeight w:val="12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4BBE" w:rsidRDefault="006C4BB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Всего по АВЦП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75834,7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58" w:right="-5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11909,1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6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12382,2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12874,9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</w:tr>
      <w:tr w:rsidR="006C4BBE" w:rsidTr="006C4BBE">
        <w:trPr>
          <w:trHeight w:val="18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 xml:space="preserve">в </w:t>
            </w:r>
            <w:proofErr w:type="spellStart"/>
            <w:r>
              <w:rPr>
                <w:color w:val="000000" w:themeColor="text1"/>
                <w:kern w:val="0"/>
                <w:sz w:val="16"/>
                <w:szCs w:val="16"/>
              </w:rPr>
              <w:t>т.ч</w:t>
            </w:r>
            <w:proofErr w:type="spellEnd"/>
            <w:r>
              <w:rPr>
                <w:color w:val="000000" w:themeColor="text1"/>
                <w:kern w:val="0"/>
                <w:sz w:val="16"/>
                <w:szCs w:val="16"/>
              </w:rPr>
              <w:t>.: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BBE" w:rsidRDefault="006C4BB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BBE" w:rsidRDefault="006C4BBE">
            <w:pPr>
              <w:ind w:left="-58" w:right="-52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BBE" w:rsidRDefault="006C4BBE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BBE" w:rsidRDefault="006C4BBE">
            <w:pPr>
              <w:ind w:left="-66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BBE" w:rsidRDefault="006C4BBE">
            <w:pPr>
              <w:ind w:left="-57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10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C4BBE" w:rsidTr="006C4BBE">
        <w:trPr>
          <w:trHeight w:val="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75834,7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58" w:right="-52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11330,0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11909,1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6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12382,2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12874,9</w:t>
            </w:r>
          </w:p>
        </w:tc>
        <w:tc>
          <w:tcPr>
            <w:tcW w:w="610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4BBE" w:rsidRDefault="006C4BBE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6C4BBE" w:rsidRDefault="006C4BBE" w:rsidP="006C4BBE">
      <w:pPr>
        <w:jc w:val="center"/>
        <w:rPr>
          <w:b/>
          <w:color w:val="000000" w:themeColor="text1"/>
          <w:sz w:val="16"/>
          <w:szCs w:val="16"/>
        </w:rPr>
      </w:pPr>
    </w:p>
    <w:p w:rsidR="006C4BBE" w:rsidRDefault="006C4BBE" w:rsidP="006C4BBE">
      <w:pPr>
        <w:jc w:val="center"/>
        <w:rPr>
          <w:b/>
          <w:color w:val="000000" w:themeColor="text1"/>
          <w:sz w:val="16"/>
          <w:szCs w:val="16"/>
        </w:rPr>
      </w:pPr>
    </w:p>
    <w:p w:rsidR="006C4BBE" w:rsidRDefault="006C4BBE" w:rsidP="006C4BBE">
      <w:r>
        <w:t xml:space="preserve">                                                        _______________</w:t>
      </w:r>
      <w:bookmarkStart w:id="0" w:name="_GoBack"/>
      <w:bookmarkEnd w:id="0"/>
      <w:r>
        <w:t>__________________________</w:t>
      </w:r>
    </w:p>
    <w:p w:rsidR="0014407F" w:rsidRDefault="006C4BBE"/>
    <w:sectPr w:rsidR="0014407F" w:rsidSect="006C4BB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2"/>
    <w:rsid w:val="000D2633"/>
    <w:rsid w:val="006C4BBE"/>
    <w:rsid w:val="008426CA"/>
    <w:rsid w:val="00A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3415-D9C8-4DE8-88D9-B9BE6E9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BE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2022-01-13T14:32:00Z</dcterms:created>
  <dcterms:modified xsi:type="dcterms:W3CDTF">2022-01-13T14:32:00Z</dcterms:modified>
</cp:coreProperties>
</file>