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32" w:rsidRPr="00056A85" w:rsidRDefault="00820D32" w:rsidP="00820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56A85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056A85">
        <w:rPr>
          <w:rFonts w:ascii="Times New Roman" w:hAnsi="Times New Roman"/>
          <w:bCs/>
          <w:sz w:val="28"/>
          <w:szCs w:val="28"/>
        </w:rPr>
        <w:t>. Подпрограмма</w:t>
      </w:r>
    </w:p>
    <w:p w:rsidR="00820D32" w:rsidRPr="00056A85" w:rsidRDefault="00820D32" w:rsidP="00820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 xml:space="preserve">«Комплексные меры по профилактике наркомании в городе Мурманске» </w:t>
      </w:r>
    </w:p>
    <w:p w:rsidR="00820D32" w:rsidRPr="00056A85" w:rsidRDefault="00820D32" w:rsidP="00820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 xml:space="preserve">на 2018 – 2024 </w:t>
      </w:r>
      <w:r w:rsidRPr="00056A85">
        <w:rPr>
          <w:rFonts w:ascii="Times New Roman" w:hAnsi="Times New Roman"/>
          <w:bCs/>
          <w:sz w:val="28"/>
          <w:szCs w:val="28"/>
          <w:lang w:eastAsia="ru-RU"/>
        </w:rPr>
        <w:t>годы</w:t>
      </w:r>
    </w:p>
    <w:p w:rsidR="00820D32" w:rsidRPr="006F560E" w:rsidRDefault="00820D32" w:rsidP="0082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Сокращения, принятые в подпрограмме: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- КСПВООДМ АГМ -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- КО АГМ - комитет по образованию администрации города Мурманска;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- КК АГМ - комитет по культуре администрации города Мурманска;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- КФ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056A85">
        <w:rPr>
          <w:rFonts w:ascii="Times New Roman" w:hAnsi="Times New Roman"/>
          <w:sz w:val="28"/>
          <w:szCs w:val="28"/>
          <w:lang w:eastAsia="ru-RU"/>
        </w:rPr>
        <w:t>С АГМ - комитет по физической культуре и спорту администрации города Мурманска.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Паспорт подпрограммы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5"/>
        <w:gridCol w:w="6690"/>
      </w:tblGrid>
      <w:tr w:rsidR="00820D32" w:rsidRPr="00056A85" w:rsidTr="00C26E60">
        <w:trPr>
          <w:trHeight w:val="786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>Муниципальная программа города Мурманска «Охрана здоровья населения города Мурманска» на 2018 – 2024 годы</w:t>
            </w:r>
          </w:p>
        </w:tc>
      </w:tr>
      <w:tr w:rsidR="00820D32" w:rsidRPr="00056A85" w:rsidTr="00C26E60">
        <w:trPr>
          <w:trHeight w:val="1681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>Формирование негативного отношения жителей города Мурманска к незаконному потреблению наркотических средств и психотропных веществ, а также развитие антинаркотической пропаганды в областном центре</w:t>
            </w:r>
          </w:p>
        </w:tc>
      </w:tr>
      <w:tr w:rsidR="00820D32" w:rsidRPr="00056A85" w:rsidTr="00C26E60">
        <w:trPr>
          <w:trHeight w:val="91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>- количество проведенных семинаров среди специалистов, работающих с несовершеннолетними и молодежью;</w:t>
            </w:r>
          </w:p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>- количество проведенных мероприятий с подростками и молодежью</w:t>
            </w:r>
          </w:p>
        </w:tc>
      </w:tr>
      <w:tr w:rsidR="00820D32" w:rsidRPr="00056A85" w:rsidTr="00C26E60">
        <w:trPr>
          <w:trHeight w:val="304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>- комитет по образованию администрации города Мурманска;</w:t>
            </w:r>
          </w:p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>- комитет по физической культуре и спорту администрации города Мурманска;</w:t>
            </w:r>
          </w:p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>- комитет по культуре администрации города Мурманска</w:t>
            </w:r>
          </w:p>
        </w:tc>
      </w:tr>
      <w:tr w:rsidR="00820D32" w:rsidRPr="00056A85" w:rsidTr="00C26E60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>Заказчик -</w:t>
            </w:r>
          </w:p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820D32" w:rsidRPr="00056A85" w:rsidTr="00C26E60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>2018 – 2024 годы</w:t>
            </w:r>
          </w:p>
        </w:tc>
      </w:tr>
      <w:tr w:rsidR="00820D32" w:rsidRPr="00056A85" w:rsidTr="00C26E60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>Всего по подпрограмме: 4 </w:t>
            </w:r>
            <w:r>
              <w:rPr>
                <w:rFonts w:ascii="Times New Roman" w:hAnsi="Times New Roman"/>
                <w:sz w:val="28"/>
                <w:szCs w:val="28"/>
              </w:rPr>
              <w:t>659</w:t>
            </w:r>
            <w:r w:rsidRPr="00056A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6A85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>МБ: 4 </w:t>
            </w:r>
            <w:r>
              <w:rPr>
                <w:rFonts w:ascii="Times New Roman" w:hAnsi="Times New Roman"/>
                <w:sz w:val="28"/>
                <w:szCs w:val="28"/>
              </w:rPr>
              <w:t>659,2</w:t>
            </w:r>
            <w:r w:rsidRPr="00056A85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056A8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56A85">
              <w:rPr>
                <w:rFonts w:ascii="Times New Roman" w:hAnsi="Times New Roman"/>
                <w:sz w:val="28"/>
                <w:szCs w:val="28"/>
              </w:rPr>
              <w:t xml:space="preserve"> 685,4 тыс. руб.;</w:t>
            </w:r>
          </w:p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056A8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56A85">
              <w:rPr>
                <w:rFonts w:ascii="Times New Roman" w:hAnsi="Times New Roman"/>
                <w:sz w:val="28"/>
                <w:szCs w:val="28"/>
              </w:rPr>
              <w:t xml:space="preserve"> 685,4 тыс. руб.;</w:t>
            </w:r>
          </w:p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056A8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6A8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056A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56A8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056A8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56A85">
              <w:rPr>
                <w:rFonts w:ascii="Times New Roman" w:hAnsi="Times New Roman"/>
                <w:sz w:val="28"/>
                <w:szCs w:val="28"/>
              </w:rPr>
              <w:t xml:space="preserve"> 685,4 тыс. руб.;</w:t>
            </w:r>
          </w:p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056A8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56A85">
              <w:rPr>
                <w:rFonts w:ascii="Times New Roman" w:hAnsi="Times New Roman"/>
                <w:sz w:val="28"/>
                <w:szCs w:val="28"/>
              </w:rPr>
              <w:t xml:space="preserve"> 685,4 тыс. руб.;</w:t>
            </w:r>
          </w:p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Pr="00056A8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56A85">
              <w:rPr>
                <w:rFonts w:ascii="Times New Roman" w:hAnsi="Times New Roman"/>
                <w:sz w:val="28"/>
                <w:szCs w:val="28"/>
              </w:rPr>
              <w:t xml:space="preserve"> 685,4 тыс. руб.;</w:t>
            </w:r>
          </w:p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>2024 год – 685,4 тыс. руб.</w:t>
            </w:r>
          </w:p>
        </w:tc>
      </w:tr>
      <w:tr w:rsidR="00820D32" w:rsidRPr="00056A85" w:rsidTr="00C26E60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tabs>
                <w:tab w:val="left" w:pos="113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>- количество проведенных семинаров среди специалистов, работающих с несовершеннолетними и молодежью</w:t>
            </w:r>
            <w:r w:rsidRPr="00056A85">
              <w:rPr>
                <w:rFonts w:ascii="Times New Roman" w:hAnsi="Times New Roman"/>
                <w:sz w:val="28"/>
                <w:szCs w:val="20"/>
              </w:rPr>
              <w:t xml:space="preserve"> (за весь период), – 112 ед.</w:t>
            </w:r>
            <w:r w:rsidRPr="00056A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6A85">
              <w:rPr>
                <w:rFonts w:ascii="Times New Roman" w:hAnsi="Times New Roman"/>
                <w:sz w:val="28"/>
                <w:szCs w:val="28"/>
              </w:rPr>
              <w:t xml:space="preserve">- количество проведенных мероприятий с подростками и молодежью </w:t>
            </w:r>
            <w:r w:rsidRPr="00056A85">
              <w:rPr>
                <w:rFonts w:ascii="Times New Roman" w:hAnsi="Times New Roman"/>
                <w:sz w:val="28"/>
                <w:szCs w:val="20"/>
              </w:rPr>
              <w:t>(за весь период) – 245 ед.</w:t>
            </w:r>
          </w:p>
        </w:tc>
      </w:tr>
    </w:tbl>
    <w:p w:rsidR="00820D32" w:rsidRPr="00056A85" w:rsidRDefault="00820D32" w:rsidP="00820D32">
      <w:pPr>
        <w:spacing w:after="0" w:line="256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820D32" w:rsidRPr="00056A85" w:rsidRDefault="00820D32" w:rsidP="00820D32">
      <w:pPr>
        <w:tabs>
          <w:tab w:val="left" w:pos="0"/>
        </w:tabs>
        <w:spacing w:after="0" w:line="256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56A85">
        <w:rPr>
          <w:rFonts w:ascii="Times New Roman" w:eastAsia="Calibri" w:hAnsi="Times New Roman"/>
          <w:sz w:val="28"/>
          <w:szCs w:val="28"/>
        </w:rPr>
        <w:t>1. Характеристика проблемы, на решение которой направлена подпрограмма</w:t>
      </w:r>
    </w:p>
    <w:p w:rsidR="00820D32" w:rsidRPr="006F560E" w:rsidRDefault="00820D32" w:rsidP="00820D32">
      <w:pPr>
        <w:tabs>
          <w:tab w:val="left" w:pos="147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Среди проблем, стоящих перед государством и обществом, на одно из первых мест в последние годы все чаще выходит проблема наркомании, токсикомании и алкоголизма как глобальная угроза здоровью, жизни населения и национальной безопасности.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Подпрограмма направлена на 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населения, прежде всего молодежи и несовершеннолетних, а также предупреждение преступлений и правонарушений, связанных со злоупотреблением и незаконным оборотом наркотических средств.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Необходимость реализации подпрограммы вызвана тем, что современная ситуация в стране в целом и городе Мурманске в частности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 (далее - наркотики), в сфере употребления алкоголя и табакокурения, что представляет серьезную угрозу здоровью населения, демографической ситуации и экономике города, правопорядку, а также безопасности региона.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При сравнительном анализе итогов различных акций, направленных на профилактику наркомании, алкоголизма и табакокурения (за 5 лет), наблюдается положительная динамика в изменении подходов к организации и проведению профилактических мероприятий.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 xml:space="preserve">Реализация подпрограммы позволит решить вопросы совершенствования </w:t>
      </w:r>
      <w:r w:rsidRPr="00056A85">
        <w:rPr>
          <w:rFonts w:ascii="Times New Roman" w:hAnsi="Times New Roman"/>
          <w:sz w:val="28"/>
          <w:szCs w:val="28"/>
          <w:lang w:eastAsia="ru-RU"/>
        </w:rPr>
        <w:lastRenderedPageBreak/>
        <w:t>системы первичной профилактики наркомании, алкоголизма и табакокурения, разработки и внедрения целевых инновационных образовательных программ профилактической направленности, формирования альтернативной формы досуга молодежи, внедрения новых технологий выявления раннего приобщения к наркотикам.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Основополагающим направлением в реализации подпрограммы является организация и проведение профилактических мероприятий через широкую пропаганду здорового образа жизни, создание благоприятной социально-культурной среды для всестороннего развития личности, возвращение к культурно-нравственным ценностям семейного воспитания.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Наркоситуация на территории муниципального образования город Мурманск складывается следующим образом.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 xml:space="preserve">По данным </w:t>
      </w:r>
      <w:r w:rsidRPr="00056A85">
        <w:rPr>
          <w:rFonts w:ascii="Times New Roman" w:eastAsia="Calibri" w:hAnsi="Times New Roman"/>
          <w:sz w:val="28"/>
          <w:szCs w:val="28"/>
        </w:rPr>
        <w:t>ГОБУЗ «Мурманский областной наркологический диспансер»</w:t>
      </w:r>
      <w:r w:rsidRPr="00056A85">
        <w:rPr>
          <w:rFonts w:ascii="Times New Roman" w:hAnsi="Times New Roman"/>
          <w:sz w:val="28"/>
          <w:szCs w:val="28"/>
          <w:lang w:eastAsia="ru-RU"/>
        </w:rPr>
        <w:t xml:space="preserve"> и учреждений здравоохранения, подведомственных Федеральному медико-биологическому агентству, общая заболеваемость психическими и поведенческими расстройствами, вызванными употреблением наркотиков, в Мурманской области по состоянию на 01.01.2018 составила 1539 человек                  (на 01.01.2017 – 1758). На учете в учреждениях здравоохранения состоит 646 жителей города Мурманска (511 – с диагнозом «наркомания» и 135 лиц, в том числе 26 несовершеннолетних, – злоупотребляющих наркотиками с вредными последствиями).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За 12 месяцев 2017 года впервые поставлено на учет с диагнозом «наркомания» 35 человек, 28 – впервые взяты под наблюдения за употребление наркотиков с вредными последствиями. Количество наркопотребителей на 100000 населения в городе Мурманске составило 216,7, что выше среднеобластного показателя (203,1).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 xml:space="preserve">Количество выездов бригад скорой медицинской помощи по мотивам отравления неясной этиологии по итогам 2017 года составило 427 (2016 год – 882). Фактов смерти среди несовершеннолетних от употребления наркотиков не зарегистрировано (2016 год – 4). 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По итогам 12 месяцев 2017 года на территории областного центра зарегистрировано 772 преступления, связанных с незаконным оборотом наркотиков (АППГ – 964 преступления).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 xml:space="preserve">Удельный вес зарегистрированной наркопреступности в городе Мурманске составил 14,5%, что выше среднеобластного показателя (10,6%). 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город Мурманск отмечено снижение подростковой наркопреступности: раскрыто 9 преступлений в сфере незаконного оборота наркотиков с участием несовершеннолетних (2016 год – 16 преступлений). 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 xml:space="preserve">Правоохранительными органами на территории города Мурманска изъято более 17 кг наркотиков. 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 xml:space="preserve">В 2017 году выявлено и задокументировано 572 факта нарушения административного законодательства в сфере незаконного оборота наркотиков (2016 год – 44 факта), в том числе 81 – связанный с незаконным хранением наркотиков, 415 – с потреблением наркотических средств или психотропных </w:t>
      </w:r>
      <w:r w:rsidRPr="00056A8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веществ без назначения врача, 13 – с потреблением наркотических средств или психотропных веществ без назначения врача либо потреблением иных одурманивающих веществ в общественных местах. 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В областном центре в 2017 году судами рассмотрено 336 дел об административных правонарушениях, связанных с незаконным оборотом наркотиков. В 180 случаях принято решение о возложении на правонарушителей дополнительных обязанностей в виде диагностики, профилактических мероприятий, лечения от наркомании, медицинской и (или) социальной реабилитации в связи с потреблением наркотических средств без назначения врача.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 xml:space="preserve">2. Основные цели и задачи подпрограммы, 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целевые показатели (индикаторы) реализации подпрограммы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126"/>
        <w:gridCol w:w="709"/>
        <w:gridCol w:w="1134"/>
        <w:gridCol w:w="992"/>
        <w:gridCol w:w="567"/>
        <w:gridCol w:w="567"/>
        <w:gridCol w:w="567"/>
        <w:gridCol w:w="567"/>
        <w:gridCol w:w="567"/>
        <w:gridCol w:w="610"/>
        <w:gridCol w:w="567"/>
      </w:tblGrid>
      <w:tr w:rsidR="00820D32" w:rsidRPr="00056A85" w:rsidTr="00C26E60">
        <w:trPr>
          <w:trHeight w:val="482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Ед. изм.</w:t>
            </w:r>
          </w:p>
        </w:tc>
        <w:tc>
          <w:tcPr>
            <w:tcW w:w="6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Значение показателя (индикатора)</w:t>
            </w:r>
          </w:p>
        </w:tc>
      </w:tr>
      <w:tr w:rsidR="00820D32" w:rsidRPr="00056A85" w:rsidTr="00C26E60">
        <w:trPr>
          <w:trHeight w:val="79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after="0" w:line="256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32" w:rsidRPr="00056A85" w:rsidRDefault="00820D32" w:rsidP="00C26E60">
            <w:pPr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Текущий год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Годы реализации подпрограммы</w:t>
            </w:r>
          </w:p>
        </w:tc>
      </w:tr>
      <w:tr w:rsidR="00820D32" w:rsidRPr="00056A85" w:rsidTr="00C26E60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after="0" w:line="256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32" w:rsidRPr="00056A85" w:rsidRDefault="00820D32" w:rsidP="00C26E60">
            <w:pPr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2019год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2022 год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2024 год</w:t>
            </w:r>
          </w:p>
        </w:tc>
      </w:tr>
      <w:tr w:rsidR="00820D32" w:rsidRPr="00056A85" w:rsidTr="00C26E60">
        <w:trPr>
          <w:trHeight w:val="2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820D32" w:rsidRPr="00056A85" w:rsidTr="00C26E60">
        <w:trPr>
          <w:jc w:val="center"/>
        </w:trPr>
        <w:tc>
          <w:tcPr>
            <w:tcW w:w="95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Цель: формирование негативного отношения жителей города Мурманска к незаконному потреблению наркотических средств и психотропных веществ, а также развитие антинаркотической пропаганды в областном центре</w:t>
            </w:r>
          </w:p>
        </w:tc>
      </w:tr>
      <w:tr w:rsidR="00820D32" w:rsidRPr="00056A85" w:rsidTr="00C26E60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 xml:space="preserve">Количество проведенных семинаров среди специалистов, работающих с несовершеннолетними и молодежью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16</w:t>
            </w:r>
          </w:p>
        </w:tc>
      </w:tr>
      <w:tr w:rsidR="00820D32" w:rsidRPr="00056A85" w:rsidTr="00C26E60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Количество проведенных мероприятий с подростками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056A85">
              <w:rPr>
                <w:rFonts w:ascii="Times New Roman" w:hAnsi="Times New Roman"/>
                <w:szCs w:val="20"/>
              </w:rPr>
              <w:t>35</w:t>
            </w:r>
          </w:p>
        </w:tc>
      </w:tr>
    </w:tbl>
    <w:p w:rsidR="00820D32" w:rsidRDefault="00820D32" w:rsidP="0082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820D32" w:rsidRDefault="00820D32" w:rsidP="0082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  <w:sectPr w:rsidR="00820D32" w:rsidSect="00E712A9">
          <w:pgSz w:w="11906" w:h="16838" w:code="9"/>
          <w:pgMar w:top="1134" w:right="567" w:bottom="1134" w:left="1701" w:header="567" w:footer="0" w:gutter="0"/>
          <w:cols w:space="708"/>
          <w:docGrid w:linePitch="360"/>
        </w:sectPr>
      </w:pPr>
    </w:p>
    <w:p w:rsidR="00820D32" w:rsidRDefault="00820D32" w:rsidP="00820D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lastRenderedPageBreak/>
        <w:t>3. Перечень основных мероприятий подпрограммы</w:t>
      </w:r>
    </w:p>
    <w:p w:rsidR="00820D32" w:rsidRDefault="00820D32" w:rsidP="00820D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5"/>
        <w:gridCol w:w="1503"/>
        <w:gridCol w:w="885"/>
        <w:gridCol w:w="1122"/>
        <w:gridCol w:w="509"/>
        <w:gridCol w:w="478"/>
        <w:gridCol w:w="493"/>
        <w:gridCol w:w="493"/>
        <w:gridCol w:w="493"/>
        <w:gridCol w:w="493"/>
        <w:gridCol w:w="493"/>
        <w:gridCol w:w="520"/>
        <w:gridCol w:w="1461"/>
        <w:gridCol w:w="493"/>
        <w:gridCol w:w="474"/>
        <w:gridCol w:w="493"/>
        <w:gridCol w:w="493"/>
        <w:gridCol w:w="496"/>
        <w:gridCol w:w="493"/>
        <w:gridCol w:w="536"/>
        <w:gridCol w:w="2294"/>
      </w:tblGrid>
      <w:tr w:rsidR="00820D32" w:rsidRPr="00056A85" w:rsidTr="00C26E60">
        <w:trPr>
          <w:trHeight w:val="119"/>
          <w:tblHeader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>п/п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Срок выполнения (квартал, год)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16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 xml:space="preserve">Перечень организаций, участвующих в реализации </w:t>
            </w:r>
            <w:r>
              <w:rPr>
                <w:rFonts w:ascii="Times New Roman" w:hAnsi="Times New Roman"/>
                <w:sz w:val="14"/>
                <w:szCs w:val="14"/>
              </w:rPr>
              <w:t>основных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 xml:space="preserve"> мероприятий</w:t>
            </w:r>
          </w:p>
        </w:tc>
      </w:tr>
      <w:tr w:rsidR="00820D32" w:rsidRPr="00056A85" w:rsidTr="00C26E60">
        <w:trPr>
          <w:trHeight w:val="295"/>
          <w:tblHeader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2018 год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2019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>год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2020 год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2021 год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2022 год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2023 год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2024 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Наименование показателя, ед. измерения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2018 год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2019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>год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2020 год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2021 год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2022 год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2023 год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2024 год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20D32" w:rsidRPr="00056A85" w:rsidTr="00C26E60">
        <w:trPr>
          <w:trHeight w:val="166"/>
          <w:tblHeader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</w:tr>
      <w:tr w:rsidR="00820D32" w:rsidRPr="00056A85" w:rsidTr="00C26E60">
        <w:trPr>
          <w:trHeight w:val="14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Цель: формирование негативного отношения жителей города Мурманска к незаконному потреблению наркотических средств и психотропных веществ, а также развитие антинаркотической пропаганды в областном центре</w:t>
            </w:r>
          </w:p>
        </w:tc>
      </w:tr>
      <w:tr w:rsidR="00820D32" w:rsidRPr="00056A85" w:rsidTr="00C26E60">
        <w:trPr>
          <w:trHeight w:val="103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Основное мероприятие: организация профилактической работы по формированию здорового образа жизни и развитию антинаркотической пропаганды в городе Мурманске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2018 - 2024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Всего: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4659,2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685,4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685,4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546,8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685,4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685,4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685,4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685,4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Количество мероприятий, ед.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 xml:space="preserve">КСПВООДМ АГМ, МАУ МП «Объединение молодежных центров», КО АГМ, </w:t>
            </w:r>
            <w:r w:rsidRPr="00FC4783">
              <w:rPr>
                <w:rFonts w:ascii="Times New Roman" w:hAnsi="Times New Roman"/>
                <w:sz w:val="14"/>
                <w:szCs w:val="14"/>
              </w:rPr>
              <w:t>М</w:t>
            </w:r>
            <w:r>
              <w:rPr>
                <w:rFonts w:ascii="Times New Roman" w:hAnsi="Times New Roman"/>
                <w:sz w:val="14"/>
                <w:szCs w:val="14"/>
              </w:rPr>
              <w:t>БУ</w:t>
            </w:r>
            <w:r w:rsidRPr="00FC478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ДПО        </w:t>
            </w:r>
            <w:r w:rsidRPr="00FC4783">
              <w:rPr>
                <w:rFonts w:ascii="Times New Roman" w:hAnsi="Times New Roman"/>
                <w:sz w:val="14"/>
                <w:szCs w:val="14"/>
              </w:rPr>
              <w:t xml:space="preserve"> г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4783">
              <w:rPr>
                <w:rFonts w:ascii="Times New Roman" w:hAnsi="Times New Roman"/>
                <w:sz w:val="14"/>
                <w:szCs w:val="14"/>
              </w:rPr>
              <w:t xml:space="preserve"> Мурманска </w:t>
            </w:r>
            <w:r>
              <w:rPr>
                <w:rFonts w:ascii="Times New Roman" w:hAnsi="Times New Roman"/>
                <w:sz w:val="14"/>
                <w:szCs w:val="14"/>
              </w:rPr>
              <w:t>«</w:t>
            </w:r>
            <w:r w:rsidRPr="00FC4783">
              <w:rPr>
                <w:rFonts w:ascii="Times New Roman" w:hAnsi="Times New Roman"/>
                <w:sz w:val="14"/>
                <w:szCs w:val="14"/>
              </w:rPr>
              <w:t>Городской информационно-методический центр работников образования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FC4783">
              <w:rPr>
                <w:rFonts w:ascii="Times New Roman" w:hAnsi="Times New Roman"/>
                <w:sz w:val="14"/>
                <w:szCs w:val="14"/>
              </w:rPr>
              <w:t>МАУДО ДДТ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C4783">
              <w:rPr>
                <w:rFonts w:ascii="Times New Roman" w:hAnsi="Times New Roman"/>
                <w:sz w:val="14"/>
                <w:szCs w:val="14"/>
              </w:rPr>
              <w:t>им. А. Бредова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FC4783">
              <w:rPr>
                <w:rFonts w:ascii="Times New Roman" w:hAnsi="Times New Roman"/>
                <w:sz w:val="14"/>
                <w:szCs w:val="14"/>
              </w:rPr>
              <w:t>МБУ ДО Первомайский ДДТ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МБУ 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>ДО ДДТ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>им. А. Торцева, КК АГМ, МБУК «Центральная городская библиотека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>г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 xml:space="preserve"> Мурманска», МБУК «Центральная детская библиотека города Мурманска», КФ</w:t>
            </w: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>С АГМ</w:t>
            </w:r>
          </w:p>
        </w:tc>
      </w:tr>
      <w:tr w:rsidR="00820D32" w:rsidRPr="00056A85" w:rsidTr="00C26E60">
        <w:trPr>
          <w:trHeight w:val="1529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МБ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4659,2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685,4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685,4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546,8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685,4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685,4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685,4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685,4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Количество участников</w:t>
            </w:r>
            <w:r w:rsidRPr="00056A85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>мероприятий, чел.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13895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13895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12695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12695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12695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12695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12695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20D32" w:rsidRPr="00056A85" w:rsidTr="00C26E60">
        <w:trPr>
          <w:trHeight w:val="210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1.1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2018 - 2024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Всего: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4"/>
                <w:szCs w:val="14"/>
                <w:lang w:eastAsia="ru-RU"/>
              </w:rPr>
              <w:t>3827,6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546,8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546,8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546,8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546,8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546,8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546,8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546,8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Количество проведенных мероприятий в сфере молодежной политик</w:t>
            </w: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>, ед.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КСПВООДМ АГМ, МАУ МП «Объединение молодежных центров»</w:t>
            </w:r>
          </w:p>
        </w:tc>
      </w:tr>
      <w:tr w:rsidR="00820D32" w:rsidRPr="00056A85" w:rsidTr="00C26E60">
        <w:trPr>
          <w:trHeight w:val="450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МБ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14"/>
                <w:szCs w:val="14"/>
                <w:lang w:eastAsia="ru-RU"/>
              </w:rPr>
              <w:t>2562,7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366,1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366,1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366,1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366,1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366,1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366,1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366,1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20D32" w:rsidRPr="00056A85" w:rsidTr="00C26E60">
        <w:trPr>
          <w:trHeight w:val="707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eastAsia="Calibri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Количество изготовленных и распространенных информационных материалов, шт.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1200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>
              <w:rPr>
                <w:rFonts w:ascii="Times New Roman" w:eastAsia="Calibri" w:hAnsi="Times New Roman"/>
                <w:sz w:val="14"/>
                <w:szCs w:val="14"/>
              </w:rPr>
              <w:t>5110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>
              <w:rPr>
                <w:rFonts w:ascii="Times New Roman" w:eastAsia="Calibri" w:hAnsi="Times New Roman"/>
                <w:sz w:val="14"/>
                <w:szCs w:val="14"/>
              </w:rPr>
              <w:t>7900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1200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1200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sz w:val="14"/>
                <w:szCs w:val="14"/>
              </w:rPr>
              <w:t>1200</w:t>
            </w: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20D32" w:rsidRPr="00056A85" w:rsidTr="00C26E60">
        <w:trPr>
          <w:trHeight w:val="127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МБ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  <w:lang w:eastAsia="ru-RU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732,9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Количество приобретенных книжных, электронных и аудиовизуальных изданий, шт.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 xml:space="preserve">КК АГМ, МБУК «Центральная городская библиотека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>г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 xml:space="preserve"> Мурманска», МБУК «Центральная детская библиотека города Мурманска»</w:t>
            </w:r>
          </w:p>
        </w:tc>
      </w:tr>
      <w:tr w:rsidR="00820D32" w:rsidRPr="00056A85" w:rsidTr="00C26E60">
        <w:trPr>
          <w:trHeight w:val="963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МБ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532,0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76,0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76,0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76,0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76,0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76,0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76,0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76,0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Количество родителей (законных представителей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) 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>несовершеннолетних, участвующих в мероприятиях, чел.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500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500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500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sz w:val="14"/>
                <w:szCs w:val="14"/>
              </w:rPr>
              <w:t>500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sz w:val="14"/>
                <w:szCs w:val="14"/>
              </w:rPr>
              <w:t>500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sz w:val="14"/>
                <w:szCs w:val="14"/>
              </w:rPr>
              <w:t>500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sz w:val="14"/>
                <w:szCs w:val="14"/>
              </w:rPr>
              <w:t>500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 xml:space="preserve">КО АГМ, </w:t>
            </w:r>
            <w:r w:rsidRPr="00FC4783">
              <w:rPr>
                <w:rFonts w:ascii="Times New Roman" w:hAnsi="Times New Roman"/>
                <w:sz w:val="14"/>
                <w:szCs w:val="14"/>
              </w:rPr>
              <w:t>М</w:t>
            </w:r>
            <w:r>
              <w:rPr>
                <w:rFonts w:ascii="Times New Roman" w:hAnsi="Times New Roman"/>
                <w:sz w:val="14"/>
                <w:szCs w:val="14"/>
              </w:rPr>
              <w:t>БУ</w:t>
            </w:r>
            <w:r w:rsidRPr="00FC478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ДПО</w:t>
            </w:r>
            <w:r w:rsidRPr="00FC4783">
              <w:rPr>
                <w:rFonts w:ascii="Times New Roman" w:hAnsi="Times New Roman"/>
                <w:sz w:val="14"/>
                <w:szCs w:val="14"/>
              </w:rPr>
              <w:t xml:space="preserve"> г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4783">
              <w:rPr>
                <w:rFonts w:ascii="Times New Roman" w:hAnsi="Times New Roman"/>
                <w:sz w:val="14"/>
                <w:szCs w:val="14"/>
              </w:rPr>
              <w:t xml:space="preserve"> Мурманска </w:t>
            </w:r>
            <w:r>
              <w:rPr>
                <w:rFonts w:ascii="Times New Roman" w:hAnsi="Times New Roman"/>
                <w:sz w:val="14"/>
                <w:szCs w:val="14"/>
              </w:rPr>
              <w:t>«</w:t>
            </w:r>
            <w:r w:rsidRPr="00FC4783">
              <w:rPr>
                <w:rFonts w:ascii="Times New Roman" w:hAnsi="Times New Roman"/>
                <w:sz w:val="14"/>
                <w:szCs w:val="14"/>
              </w:rPr>
              <w:t>Городской информационно-методический центр работников образования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C4783">
              <w:rPr>
                <w:rFonts w:ascii="Times New Roman" w:hAnsi="Times New Roman"/>
                <w:sz w:val="14"/>
                <w:szCs w:val="14"/>
              </w:rPr>
              <w:t>МАУДО ДДТ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</w:t>
            </w:r>
            <w:r w:rsidRPr="00FC4783">
              <w:rPr>
                <w:rFonts w:ascii="Times New Roman" w:hAnsi="Times New Roman"/>
                <w:sz w:val="14"/>
                <w:szCs w:val="14"/>
              </w:rPr>
              <w:t>им.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C4783">
              <w:rPr>
                <w:rFonts w:ascii="Times New Roman" w:hAnsi="Times New Roman"/>
                <w:sz w:val="14"/>
                <w:szCs w:val="14"/>
              </w:rPr>
              <w:t>А. Бредова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C4783">
              <w:rPr>
                <w:rFonts w:ascii="Times New Roman" w:hAnsi="Times New Roman"/>
                <w:sz w:val="14"/>
                <w:szCs w:val="14"/>
              </w:rPr>
              <w:t>МБУ ДО Первомайский ДДТ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МБУ 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>ДО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>ДДТ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>им. А. Торцева</w:t>
            </w:r>
          </w:p>
        </w:tc>
      </w:tr>
      <w:tr w:rsidR="00820D32" w:rsidRPr="00056A85" w:rsidTr="00C26E60">
        <w:trPr>
          <w:trHeight w:val="545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Количество участников мероприятий в сфере образования, чел.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12195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12195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12195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12195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12195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12195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sz w:val="14"/>
                <w:szCs w:val="14"/>
              </w:rPr>
              <w:t>12195</w:t>
            </w: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20D32" w:rsidRPr="00056A85" w:rsidTr="00C26E60">
        <w:trPr>
          <w:trHeight w:val="301"/>
        </w:trPr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1.2.</w:t>
            </w:r>
          </w:p>
        </w:tc>
        <w:tc>
          <w:tcPr>
            <w:tcW w:w="4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Предоставление субсидий некоммерческим организациям в сфере физической культуры и спорта (в рамках конкурса проектов на проведение мероприятий)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2018 - 2024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831,6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Количество некоммерческих объединений в сфере физической культуры и спорта, которым предоставлены субсидии, ед.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>
              <w:rPr>
                <w:rFonts w:ascii="Times New Roman" w:eastAsia="Calibri" w:hAnsi="Times New Roman"/>
                <w:sz w:val="14"/>
                <w:szCs w:val="14"/>
              </w:rPr>
              <w:t>1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КФ</w:t>
            </w: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Pr="00056A85">
              <w:rPr>
                <w:rFonts w:ascii="Times New Roman" w:hAnsi="Times New Roman"/>
                <w:sz w:val="14"/>
                <w:szCs w:val="14"/>
              </w:rPr>
              <w:t>С АГМ</w:t>
            </w:r>
          </w:p>
        </w:tc>
      </w:tr>
      <w:tr w:rsidR="00820D32" w:rsidRPr="00056A85" w:rsidTr="00C26E60">
        <w:trPr>
          <w:trHeight w:val="604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056A85">
              <w:rPr>
                <w:rFonts w:ascii="Times New Roman" w:hAnsi="Times New Roman"/>
                <w:sz w:val="14"/>
                <w:szCs w:val="14"/>
              </w:rPr>
              <w:t>МБ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831,6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14"/>
                <w:szCs w:val="14"/>
              </w:rPr>
            </w:pPr>
            <w:r w:rsidRPr="00056A85">
              <w:rPr>
                <w:rFonts w:ascii="Times New Roman" w:eastAsia="Calibri" w:hAnsi="Times New Roman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820D32" w:rsidRDefault="00820D32" w:rsidP="00820D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0D32" w:rsidRDefault="00820D32" w:rsidP="0082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820D32" w:rsidRDefault="00820D32" w:rsidP="0082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  <w:sectPr w:rsidR="00820D32" w:rsidSect="00E712A9">
          <w:pgSz w:w="16838" w:h="11906" w:orient="landscape" w:code="9"/>
          <w:pgMar w:top="1701" w:right="567" w:bottom="567" w:left="1134" w:header="567" w:footer="0" w:gutter="0"/>
          <w:cols w:space="708"/>
          <w:docGrid w:linePitch="360"/>
        </w:sectPr>
      </w:pP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 xml:space="preserve">Определение объема реальных потребностей в финансировании программных мероприятий возможно только при обосновании всех параметров подпрограммы. Объемы финансирования подпрограммы на 2018 </w:t>
      </w:r>
      <w:r w:rsidRPr="00056A85">
        <w:rPr>
          <w:rFonts w:ascii="Times New Roman" w:hAnsi="Times New Roman"/>
          <w:sz w:val="28"/>
          <w:szCs w:val="28"/>
        </w:rPr>
        <w:t>–</w:t>
      </w:r>
      <w:r w:rsidRPr="00056A85">
        <w:rPr>
          <w:rFonts w:ascii="Times New Roman" w:hAnsi="Times New Roman"/>
          <w:sz w:val="28"/>
          <w:szCs w:val="28"/>
          <w:lang w:eastAsia="ru-RU"/>
        </w:rPr>
        <w:t xml:space="preserve"> 2024 годы носят прогнозный характер и подлежат уточнению в установленном порядке при формировании бюджета на соответствующий год.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Объем финансирования подпрограммы</w:t>
      </w:r>
    </w:p>
    <w:p w:rsidR="00820D32" w:rsidRPr="006F560E" w:rsidRDefault="00820D32" w:rsidP="0082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7"/>
        <w:gridCol w:w="992"/>
        <w:gridCol w:w="850"/>
        <w:gridCol w:w="851"/>
        <w:gridCol w:w="850"/>
        <w:gridCol w:w="851"/>
        <w:gridCol w:w="709"/>
        <w:gridCol w:w="708"/>
        <w:gridCol w:w="677"/>
      </w:tblGrid>
      <w:tr w:rsidR="00820D32" w:rsidRPr="00056A85" w:rsidTr="00C26E60">
        <w:trPr>
          <w:cantSplit/>
          <w:tblHeader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5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В том числе по годам реализации, тыс. руб.</w:t>
            </w:r>
          </w:p>
        </w:tc>
      </w:tr>
      <w:tr w:rsidR="00820D32" w:rsidRPr="00056A85" w:rsidTr="00C26E60">
        <w:trPr>
          <w:cantSplit/>
          <w:tblHeader/>
          <w:jc w:val="center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32" w:rsidRPr="00056A85" w:rsidRDefault="00820D32" w:rsidP="00C26E60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2019</w:t>
            </w:r>
          </w:p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2023 год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2024 год</w:t>
            </w:r>
          </w:p>
        </w:tc>
      </w:tr>
      <w:tr w:rsidR="00820D32" w:rsidRPr="00056A85" w:rsidTr="00C26E60">
        <w:trPr>
          <w:cantSplit/>
          <w:tblHeader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9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BB6D3E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B6D3E">
              <w:rPr>
                <w:rFonts w:ascii="Times New Roman" w:eastAsia="Calibri" w:hAnsi="Times New Roman"/>
                <w:color w:val="000000"/>
              </w:rPr>
              <w:t>4</w:t>
            </w:r>
            <w:r>
              <w:rPr>
                <w:rFonts w:ascii="Times New Roman" w:eastAsia="Calibri" w:hAnsi="Times New Roman"/>
                <w:color w:val="000000"/>
              </w:rPr>
              <w:t> 659,2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BB6D3E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6D3E">
              <w:rPr>
                <w:rFonts w:ascii="Times New Roman" w:eastAsia="Calibri" w:hAnsi="Times New Roman"/>
                <w:color w:val="000000"/>
              </w:rPr>
              <w:t>685,4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BB6D3E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6D3E">
              <w:rPr>
                <w:rFonts w:ascii="Times New Roman" w:eastAsia="Calibri" w:hAnsi="Times New Roman"/>
                <w:color w:val="000000"/>
              </w:rPr>
              <w:t>685,4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BB6D3E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6D3E">
              <w:rPr>
                <w:rFonts w:ascii="Times New Roman" w:eastAsia="Calibri" w:hAnsi="Times New Roman"/>
                <w:color w:val="000000"/>
              </w:rPr>
              <w:t>546,8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BB6D3E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6D3E">
              <w:rPr>
                <w:rFonts w:ascii="Times New Roman" w:eastAsia="Calibri" w:hAnsi="Times New Roman"/>
                <w:color w:val="000000"/>
              </w:rPr>
              <w:t>685,4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BB6D3E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6D3E">
              <w:rPr>
                <w:rFonts w:ascii="Times New Roman" w:eastAsia="Calibri" w:hAnsi="Times New Roman"/>
                <w:color w:val="000000"/>
              </w:rPr>
              <w:t>685,4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BB6D3E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6D3E">
              <w:rPr>
                <w:rFonts w:ascii="Times New Roman" w:eastAsia="Calibri" w:hAnsi="Times New Roman"/>
                <w:color w:val="000000"/>
              </w:rPr>
              <w:t>685,4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BB6D3E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6D3E">
              <w:rPr>
                <w:rFonts w:ascii="Times New Roman" w:eastAsia="Calibri" w:hAnsi="Times New Roman"/>
                <w:color w:val="000000"/>
              </w:rPr>
              <w:t>685,4</w:t>
            </w:r>
          </w:p>
        </w:tc>
      </w:tr>
      <w:tr w:rsidR="00820D32" w:rsidRPr="00056A85" w:rsidTr="00C26E60">
        <w:trPr>
          <w:cantSplit/>
          <w:trHeight w:val="235"/>
          <w:jc w:val="center"/>
        </w:trPr>
        <w:tc>
          <w:tcPr>
            <w:tcW w:w="9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в том числе за счет:</w:t>
            </w:r>
          </w:p>
        </w:tc>
      </w:tr>
      <w:tr w:rsidR="00820D32" w:rsidRPr="00056A85" w:rsidTr="00C26E60">
        <w:trPr>
          <w:cantSplit/>
          <w:trHeight w:val="805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BB6D3E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B6D3E">
              <w:rPr>
                <w:rFonts w:ascii="Times New Roman" w:eastAsia="Calibri" w:hAnsi="Times New Roman"/>
                <w:color w:val="000000"/>
              </w:rPr>
              <w:t>4</w:t>
            </w:r>
            <w:r>
              <w:rPr>
                <w:rFonts w:ascii="Times New Roman" w:eastAsia="Calibri" w:hAnsi="Times New Roman"/>
                <w:color w:val="000000"/>
              </w:rPr>
              <w:t> 659,2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BB6D3E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6D3E">
              <w:rPr>
                <w:rFonts w:ascii="Times New Roman" w:eastAsia="Calibri" w:hAnsi="Times New Roman"/>
                <w:color w:val="000000"/>
              </w:rPr>
              <w:t>685,4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BB6D3E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6D3E">
              <w:rPr>
                <w:rFonts w:ascii="Times New Roman" w:eastAsia="Calibri" w:hAnsi="Times New Roman"/>
                <w:color w:val="000000"/>
              </w:rPr>
              <w:t>685,4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BB6D3E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6D3E">
              <w:rPr>
                <w:rFonts w:ascii="Times New Roman" w:eastAsia="Calibri" w:hAnsi="Times New Roman"/>
                <w:color w:val="000000"/>
              </w:rPr>
              <w:t>546,8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BB6D3E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6D3E">
              <w:rPr>
                <w:rFonts w:ascii="Times New Roman" w:eastAsia="Calibri" w:hAnsi="Times New Roman"/>
                <w:color w:val="000000"/>
              </w:rPr>
              <w:t>685,4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BB6D3E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6D3E">
              <w:rPr>
                <w:rFonts w:ascii="Times New Roman" w:eastAsia="Calibri" w:hAnsi="Times New Roman"/>
                <w:color w:val="000000"/>
              </w:rPr>
              <w:t>685,4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BB6D3E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6D3E">
              <w:rPr>
                <w:rFonts w:ascii="Times New Roman" w:eastAsia="Calibri" w:hAnsi="Times New Roman"/>
                <w:color w:val="000000"/>
              </w:rPr>
              <w:t>685,4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BB6D3E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B6D3E">
              <w:rPr>
                <w:rFonts w:ascii="Times New Roman" w:eastAsia="Calibri" w:hAnsi="Times New Roman"/>
                <w:color w:val="000000"/>
              </w:rPr>
              <w:t>685,4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внебюджетных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9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в том числе по заказчикам: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</w:rPr>
              <w:t>2 562,7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366,1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366,1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366,1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366,1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366,1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366,1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366,1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</w:rPr>
              <w:t>2 562,7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366,1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366,1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366,1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366,1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366,1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366,1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366,1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внебюджетных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инвестиции в основной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lastRenderedPageBreak/>
              <w:t>комитет по физической культуре и спорту администрации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</w:rPr>
              <w:t>831,6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138,6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138,6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138,6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</w:rPr>
              <w:t>831,6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138,6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138,6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138,6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внебюджетных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инвестиции в основной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комитет по культуре администрации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732,9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104,7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104,7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104,7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732,9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104,7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104,7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56A85">
              <w:rPr>
                <w:rFonts w:ascii="Times New Roman" w:eastAsia="Calibri" w:hAnsi="Times New Roman"/>
                <w:color w:val="000000"/>
              </w:rPr>
              <w:t>104,7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внебюджетных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инвестиции в основной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комитет по образованию администрации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56A85">
              <w:rPr>
                <w:rFonts w:ascii="Times New Roman" w:hAnsi="Times New Roman"/>
              </w:rPr>
              <w:t>532,0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76,0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76,0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76,0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56A85">
              <w:rPr>
                <w:rFonts w:ascii="Times New Roman" w:hAnsi="Times New Roman"/>
              </w:rPr>
              <w:t>532,0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76,0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76,0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76,0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внебюджетных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</w:tr>
      <w:tr w:rsidR="00820D32" w:rsidRPr="00056A85" w:rsidTr="00C26E60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инвестиции в основной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32" w:rsidRPr="00056A85" w:rsidRDefault="00820D32" w:rsidP="00C26E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056A85">
              <w:rPr>
                <w:rFonts w:ascii="Times New Roman" w:hAnsi="Times New Roman"/>
              </w:rPr>
              <w:t>0,0</w:t>
            </w:r>
          </w:p>
        </w:tc>
      </w:tr>
    </w:tbl>
    <w:p w:rsidR="00820D32" w:rsidRDefault="00820D32" w:rsidP="0082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820D32" w:rsidRDefault="00820D32" w:rsidP="0082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lastRenderedPageBreak/>
        <w:t>5. Механизм реализации подпрограммы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Реализация подпрограммы обеспечивается за счет проведения основных мероприятий.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При реализации основных мероприятий заказчики, с учетом специфики деятельности, организуют работу по реализации подпрограммы, определяют основные направления, плановые показатели деятельности и несут ответственность за эффективность использования финансовых средств.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Заказчики подпрограммы определяют по согласованию с заказчиком-координатором подпрограммы основные направления и плановые показатели реализации подпрограммы, а также несут ответственность за достижение утвержденных показателей и индикаторов, позволяющих оценить ход реализации подпрограммы.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Периодичность рассмотрения вопросов о выполнении основных мероприятий - один раз в квартал.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По итогам работы в срок до 10-го числа месяца, следующего за отчетным кварталом, заказчиками заказчику-координатору подпрограммы направляется отчет установленной формы.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Заказчик-координатор подпрограммы в срок до 15-го числа месяца, следующего за отчетным кварталом, направляет сводный отчет заказчику-координатору муниципальной программы «</w:t>
      </w:r>
      <w:r w:rsidRPr="00056A85">
        <w:rPr>
          <w:rFonts w:ascii="Times New Roman" w:hAnsi="Times New Roman"/>
          <w:bCs/>
          <w:sz w:val="28"/>
          <w:szCs w:val="28"/>
        </w:rPr>
        <w:t>Охрана здоровья населения города Мурманска» на 2018 – 2024 годы</w:t>
      </w:r>
      <w:r w:rsidRPr="00056A85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hyperlink r:id="rId5" w:history="1">
        <w:r w:rsidRPr="00056A85">
          <w:rPr>
            <w:rFonts w:ascii="Times New Roman" w:hAnsi="Times New Roman"/>
            <w:sz w:val="28"/>
            <w:szCs w:val="28"/>
            <w:lang w:eastAsia="ru-RU"/>
          </w:rPr>
          <w:t>Порядком</w:t>
        </w:r>
      </w:hyperlink>
      <w:r w:rsidRPr="00056A85">
        <w:rPr>
          <w:rFonts w:ascii="Times New Roman" w:hAnsi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города Мурманска.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Дополнительно заказчики подпрограммы направляют заказчику-координатору подпрограммы: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- информацию о реализации основных мероприятий по формам, установленным заказчиком-координатором подпрограммы;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- ежегодные доклады о ходе реализации основных мероприятий подпрограммы и эффективности использования финансовых средств.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Ежегодные доклады должны содержать: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- сведения о результатах реализации основных мероприятий подпрограммы за отчетный год;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- данные о целевом использовании и объемах средств, привлеченных из бюджета муниципального образования город Мурманск;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- сведения о соответствии фактических показателей реализации подпрограммы утвержденным показателям;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- информацию о ходе и полноте выполнения основных мероприятий подпрограммы;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- сведения о наличии, объемах и состоянии незавершенных мероприятий, включенных в подпрограмму;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- оценку эффективности результатов реализации подпрограммы.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С учетом положений подпрограммы заказчик-координатор подпрограммы: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- обеспечивает реализацию основных мероприятий подпрограммы и координирует деятельность заказчиков и исполнителей подпрограммы;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lastRenderedPageBreak/>
        <w:t>- осуществляет мониторинг хода реализации подпрограммы, в том числе сбор и анализ статистической и иной информации, организации оценки показателей результативности и эффективности основных мероприятий подпрограммы, их соответствия целевым индикаторам;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- планирует основные мероприятия подпрограммы на очередной финансовый год, готовит предложения по корректировке подпрограммы в установленном порядке;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- выполняет иные функции по управлению основными мероприятиями подпрограммы в соответствии с действующим законодательством и подпрограммой.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Объем, количество мероприятий и структура бюджетного финансирования подпрограммы подлежит ежегодному уточнению в соответствии с возможностями бюджета и с учетом фактического выполнения основных мероприятий подпрограммы.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Подпрограмма имеет социальную направленность.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При оценке эффекта, достигаемого при выполнении подпрограммы, целесообразно учитывать ее отличительные особенности, отмеченные ниже.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Одним из важнейших факторов, влияющих на снижение количества наркозависимых, является повышение уровня освещения проблемы наркомании и наркотизации общества, привлечение внимания молодежи и работоспособного населения к вопросам профилактики наркомании и пропаганды здорового образа жизни.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Организация системы целенаправленной профилактической работы в различных сферах жизни и деятельности подростков и молодежи, а также стимулирование общественной активности посредством социального противодействия распространению наркомании является основополагающим направлением в реализации настоящей подпрограммы. Использование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- профилактика распространения незаконного потребления и незаконного оборота наркотических средств;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- организация методической помощи специалистам, занимающимся профилактикой наркомании и других зависимостей;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- формирование у подростков и молодежи приоритета здорового образа жизни посредством привлечения к активным формам досуга.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Предполагается, что реализация подпрограммы к 2024 году будет способствовать: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- установлению контроля над наркоэпидемией в городе Мурманске через снижение спроса на наркотические средства: профилактика первой пробы, создание мотивации на отказ от наркотических средств у тех, кто потребляет их эпизодически, привлечение к лечению систематических потребителей;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lastRenderedPageBreak/>
        <w:t>- повышению уровня безопасности жизни людей в Мурманске за счет сокращения числа преступлений и правонарушений, совершенных наркозависимыми;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- созданию условий для повышения обращаемости за наркологической помощью;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- приостановлению роста злоупотребления наркотическими средствами и их незаконного оборота, а в перспективе - поэтапное сокращение наркомании и связанной с ней преступности, а также профилактика распространения ВИЧ-инфекции, связанной с употреблением наркотических средств;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- созданию в городе Мурманске единой системы противодействия и профилактики злоупотребления наркотических средств различными категориями населения;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- формированию у населения негативного отношения к употреблению наркотических средств и стремления к ведению здорового образа жизни;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- снижению количества детей и подростков в группе риска;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- росту числа подростков и молодежи, занятых в системе содержательного досуга.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В результате реализации подпрограммы предполагается сдержать рост количества лиц, поставленных на учет в ГОБУЗ «МОНД» с диагнозом «наркомания», по отношению к показателю предыдущего года.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На реализацию подпрограммы могут повлиять внешние риски, а именно: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Также можно выделить внутренние риски: изменение срока реализации программных мероприятий.</w:t>
      </w:r>
    </w:p>
    <w:p w:rsidR="00820D32" w:rsidRDefault="00820D32" w:rsidP="00820D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A85">
        <w:rPr>
          <w:rFonts w:ascii="Times New Roman" w:hAnsi="Times New Roman"/>
          <w:sz w:val="28"/>
          <w:szCs w:val="28"/>
          <w:lang w:eastAsia="ru-RU"/>
        </w:rPr>
        <w:t>Меры, направленные на снижение внутренних рисков: своевременный мониторинг обстоятельств, способных повлиять на изменение срока реализации программных мероприятий.</w:t>
      </w:r>
    </w:p>
    <w:p w:rsidR="00820D32" w:rsidRDefault="00820D32" w:rsidP="0082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D32" w:rsidRDefault="00820D32" w:rsidP="0082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D32" w:rsidRPr="00056A85" w:rsidRDefault="00820D32" w:rsidP="00820D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14407F" w:rsidRDefault="00820D32">
      <w:bookmarkStart w:id="0" w:name="_GoBack"/>
      <w:bookmarkEnd w:id="0"/>
    </w:p>
    <w:sectPr w:rsidR="0014407F" w:rsidSect="00913B9B">
      <w:pgSz w:w="11906" w:h="16838" w:code="9"/>
      <w:pgMar w:top="1134" w:right="567" w:bottom="1134" w:left="170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7952"/>
    <w:multiLevelType w:val="hybridMultilevel"/>
    <w:tmpl w:val="38E0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3F14"/>
    <w:multiLevelType w:val="hybridMultilevel"/>
    <w:tmpl w:val="4AC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531E8"/>
    <w:multiLevelType w:val="hybridMultilevel"/>
    <w:tmpl w:val="E2BE1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F27D1D"/>
    <w:multiLevelType w:val="hybridMultilevel"/>
    <w:tmpl w:val="38E0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420F"/>
    <w:multiLevelType w:val="hybridMultilevel"/>
    <w:tmpl w:val="9D7A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D57F0"/>
    <w:multiLevelType w:val="hybridMultilevel"/>
    <w:tmpl w:val="38E0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D6CD7"/>
    <w:multiLevelType w:val="hybridMultilevel"/>
    <w:tmpl w:val="7AE04924"/>
    <w:lvl w:ilvl="0" w:tplc="7DFEE900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1A8669E"/>
    <w:multiLevelType w:val="hybridMultilevel"/>
    <w:tmpl w:val="1CEC02AC"/>
    <w:lvl w:ilvl="0" w:tplc="77020BD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716398"/>
    <w:multiLevelType w:val="hybridMultilevel"/>
    <w:tmpl w:val="7B9C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931689"/>
    <w:multiLevelType w:val="hybridMultilevel"/>
    <w:tmpl w:val="38E0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60D09"/>
    <w:multiLevelType w:val="hybridMultilevel"/>
    <w:tmpl w:val="A9B87DE2"/>
    <w:lvl w:ilvl="0" w:tplc="7DFEE90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9908FD"/>
    <w:multiLevelType w:val="hybridMultilevel"/>
    <w:tmpl w:val="7B9C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4951E5"/>
    <w:multiLevelType w:val="hybridMultilevel"/>
    <w:tmpl w:val="9DD6C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7B36AD"/>
    <w:multiLevelType w:val="multilevel"/>
    <w:tmpl w:val="74B6CCFE"/>
    <w:lvl w:ilvl="0">
      <w:start w:val="1"/>
      <w:numFmt w:val="decimal"/>
      <w:suff w:val="space"/>
      <w:lvlText w:val="%1."/>
      <w:lvlJc w:val="left"/>
      <w:pPr>
        <w:ind w:left="7634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 w:numId="7">
    <w:abstractNumId w:val="13"/>
  </w:num>
  <w:num w:numId="8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1125" w:hanging="405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4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0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6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2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80" w:hanging="2160"/>
        </w:pPr>
        <w:rPr>
          <w:rFonts w:cs="Times New Roman" w:hint="default"/>
        </w:rPr>
      </w:lvl>
    </w:lvlOverride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  <w:num w:numId="13">
    <w:abstractNumId w:val="5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82"/>
    <w:rsid w:val="000D2633"/>
    <w:rsid w:val="007A3382"/>
    <w:rsid w:val="00820D32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F3884-83B6-4EAA-A3C4-8732F74F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3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820D32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rsid w:val="00820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20D32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ConsPlusCell">
    <w:name w:val="ConsPlusCell"/>
    <w:rsid w:val="00820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20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20D32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20D32"/>
    <w:rPr>
      <w:rFonts w:ascii="Calibri" w:eastAsia="Times New Roman" w:hAnsi="Calibri" w:cs="Times New Roman"/>
      <w:szCs w:val="20"/>
    </w:rPr>
  </w:style>
  <w:style w:type="paragraph" w:styleId="a5">
    <w:name w:val="Balloon Text"/>
    <w:basedOn w:val="a"/>
    <w:link w:val="a6"/>
    <w:uiPriority w:val="99"/>
    <w:rsid w:val="00820D32"/>
    <w:pPr>
      <w:spacing w:after="0" w:line="240" w:lineRule="auto"/>
    </w:pPr>
    <w:rPr>
      <w:rFonts w:ascii="Segoe UI" w:hAnsi="Segoe UI"/>
      <w:sz w:val="18"/>
      <w:szCs w:val="20"/>
      <w:lang w:val="x-none"/>
    </w:rPr>
  </w:style>
  <w:style w:type="character" w:customStyle="1" w:styleId="a6">
    <w:name w:val="Текст выноски Знак"/>
    <w:basedOn w:val="a0"/>
    <w:link w:val="a5"/>
    <w:uiPriority w:val="99"/>
    <w:rsid w:val="00820D32"/>
    <w:rPr>
      <w:rFonts w:ascii="Segoe UI" w:eastAsia="Times New Roman" w:hAnsi="Segoe UI" w:cs="Times New Roman"/>
      <w:sz w:val="18"/>
      <w:szCs w:val="20"/>
      <w:lang w:val="x-none"/>
    </w:rPr>
  </w:style>
  <w:style w:type="paragraph" w:styleId="a7">
    <w:name w:val="footer"/>
    <w:basedOn w:val="a"/>
    <w:link w:val="a8"/>
    <w:uiPriority w:val="99"/>
    <w:rsid w:val="00820D32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820D32"/>
    <w:rPr>
      <w:rFonts w:ascii="Calibri" w:eastAsia="Times New Roman" w:hAnsi="Calibri" w:cs="Times New Roman"/>
      <w:szCs w:val="20"/>
      <w:lang w:val="x-none"/>
    </w:rPr>
  </w:style>
  <w:style w:type="character" w:styleId="a9">
    <w:name w:val="annotation reference"/>
    <w:uiPriority w:val="99"/>
    <w:rsid w:val="00820D32"/>
    <w:rPr>
      <w:sz w:val="16"/>
    </w:rPr>
  </w:style>
  <w:style w:type="paragraph" w:styleId="aa">
    <w:name w:val="annotation text"/>
    <w:basedOn w:val="a"/>
    <w:link w:val="ab"/>
    <w:uiPriority w:val="99"/>
    <w:rsid w:val="00820D32"/>
    <w:rPr>
      <w:sz w:val="20"/>
      <w:szCs w:val="20"/>
      <w:lang w:val="x-none"/>
    </w:rPr>
  </w:style>
  <w:style w:type="character" w:customStyle="1" w:styleId="ab">
    <w:name w:val="Текст примечания Знак"/>
    <w:basedOn w:val="a0"/>
    <w:link w:val="aa"/>
    <w:uiPriority w:val="99"/>
    <w:rsid w:val="00820D32"/>
    <w:rPr>
      <w:rFonts w:ascii="Calibri" w:eastAsia="Times New Roman" w:hAnsi="Calibri" w:cs="Times New Roman"/>
      <w:sz w:val="20"/>
      <w:szCs w:val="20"/>
      <w:lang w:val="x-none"/>
    </w:rPr>
  </w:style>
  <w:style w:type="paragraph" w:styleId="ac">
    <w:name w:val="annotation subject"/>
    <w:basedOn w:val="aa"/>
    <w:next w:val="aa"/>
    <w:link w:val="ad"/>
    <w:uiPriority w:val="99"/>
    <w:rsid w:val="00820D32"/>
    <w:rPr>
      <w:b/>
    </w:rPr>
  </w:style>
  <w:style w:type="character" w:customStyle="1" w:styleId="ad">
    <w:name w:val="Тема примечания Знак"/>
    <w:basedOn w:val="ab"/>
    <w:link w:val="ac"/>
    <w:uiPriority w:val="99"/>
    <w:rsid w:val="00820D32"/>
    <w:rPr>
      <w:rFonts w:ascii="Calibri" w:eastAsia="Times New Roman" w:hAnsi="Calibri" w:cs="Times New Roman"/>
      <w:b/>
      <w:sz w:val="20"/>
      <w:szCs w:val="20"/>
      <w:lang w:val="x-none"/>
    </w:rPr>
  </w:style>
  <w:style w:type="paragraph" w:styleId="ae">
    <w:name w:val="List Paragraph"/>
    <w:basedOn w:val="a"/>
    <w:uiPriority w:val="34"/>
    <w:qFormat/>
    <w:rsid w:val="00820D32"/>
    <w:pPr>
      <w:ind w:left="720"/>
      <w:contextualSpacing/>
    </w:pPr>
  </w:style>
  <w:style w:type="paragraph" w:customStyle="1" w:styleId="ConsPlusTitle">
    <w:name w:val="ConsPlusTitle"/>
    <w:uiPriority w:val="99"/>
    <w:rsid w:val="00820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footnote text"/>
    <w:basedOn w:val="a"/>
    <w:link w:val="af0"/>
    <w:uiPriority w:val="99"/>
    <w:unhideWhenUsed/>
    <w:rsid w:val="00820D3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20D32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820D32"/>
    <w:rPr>
      <w:vertAlign w:val="superscript"/>
    </w:rPr>
  </w:style>
  <w:style w:type="character" w:styleId="af2">
    <w:name w:val="Hyperlink"/>
    <w:uiPriority w:val="99"/>
    <w:unhideWhenUsed/>
    <w:rsid w:val="00820D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0DF232DCD3BC237443A2A58A580AC4A1ED208356976749A5C217B42D77EC4479F48520F9BFC144AC6432DL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3088</Words>
  <Characters>17605</Characters>
  <Application>Microsoft Office Word</Application>
  <DocSecurity>0</DocSecurity>
  <Lines>146</Lines>
  <Paragraphs>41</Paragraphs>
  <ScaleCrop>false</ScaleCrop>
  <Company/>
  <LinksUpToDate>false</LinksUpToDate>
  <CharactersWithSpaces>20652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2022-01-13T14:20:00Z</dcterms:created>
  <dcterms:modified xsi:type="dcterms:W3CDTF">2022-01-13T14:20:00Z</dcterms:modified>
</cp:coreProperties>
</file>