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C7" w:rsidRPr="00B84EA4" w:rsidRDefault="00C204C7" w:rsidP="00C2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4EA4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84E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71926">
        <w:rPr>
          <w:rFonts w:ascii="Times New Roman" w:hAnsi="Times New Roman"/>
          <w:bCs/>
          <w:sz w:val="28"/>
          <w:szCs w:val="28"/>
        </w:rPr>
        <w:t>Подпрограмма</w:t>
      </w:r>
    </w:p>
    <w:p w:rsidR="00C204C7" w:rsidRDefault="00C204C7" w:rsidP="00C2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4EA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Диспансеризация муниципальных служащих </w:t>
      </w:r>
      <w:r w:rsidRPr="00B84EA4">
        <w:rPr>
          <w:rFonts w:ascii="Times New Roman" w:hAnsi="Times New Roman"/>
          <w:sz w:val="28"/>
          <w:szCs w:val="28"/>
          <w:lang w:eastAsia="ru-RU"/>
        </w:rPr>
        <w:t>города Мурманска»</w:t>
      </w:r>
    </w:p>
    <w:p w:rsidR="00C204C7" w:rsidRPr="00B84EA4" w:rsidRDefault="00C204C7" w:rsidP="00C2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4EA4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8 – </w:t>
      </w:r>
      <w:r w:rsidRPr="00B84EA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B84EA4">
        <w:rPr>
          <w:rFonts w:ascii="Times New Roman" w:hAnsi="Times New Roman"/>
          <w:sz w:val="28"/>
          <w:szCs w:val="28"/>
          <w:lang w:eastAsia="ru-RU"/>
        </w:rPr>
        <w:t>годы</w:t>
      </w:r>
    </w:p>
    <w:p w:rsidR="00C204C7" w:rsidRPr="00B84EA4" w:rsidRDefault="00C204C7" w:rsidP="00C2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04C7" w:rsidRPr="00B84EA4" w:rsidRDefault="00C204C7" w:rsidP="00C204C7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4EA4">
        <w:rPr>
          <w:rFonts w:ascii="Times New Roman" w:hAnsi="Times New Roman"/>
          <w:sz w:val="28"/>
          <w:szCs w:val="28"/>
          <w:lang w:eastAsia="ru-RU"/>
        </w:rPr>
        <w:t xml:space="preserve">Паспорт </w:t>
      </w:r>
    </w:p>
    <w:tbl>
      <w:tblPr>
        <w:tblpPr w:leftFromText="180" w:rightFromText="180" w:vertAnchor="text" w:horzAnchor="margin" w:tblpXSpec="center" w:tblpY="19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6023"/>
      </w:tblGrid>
      <w:tr w:rsidR="00C204C7" w:rsidRPr="00B71F57" w:rsidTr="00C26E60">
        <w:trPr>
          <w:cantSplit/>
          <w:trHeight w:val="492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B84EA4" w:rsidRDefault="00C204C7" w:rsidP="00C26E6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4EA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которую входит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271926">
              <w:rPr>
                <w:rFonts w:ascii="Times New Roman" w:hAnsi="Times New Roman"/>
                <w:bCs/>
                <w:sz w:val="28"/>
                <w:szCs w:val="28"/>
              </w:rPr>
              <w:t>одпрограмма</w:t>
            </w:r>
          </w:p>
        </w:tc>
        <w:tc>
          <w:tcPr>
            <w:tcW w:w="3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B84EA4" w:rsidRDefault="00C204C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F5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Охрана здоровья населения </w:t>
            </w:r>
            <w:r w:rsidRPr="00B84EA4">
              <w:rPr>
                <w:rFonts w:ascii="Times New Roman" w:hAnsi="Times New Roman"/>
                <w:sz w:val="28"/>
                <w:szCs w:val="28"/>
                <w:lang w:eastAsia="ru-RU"/>
              </w:rPr>
              <w:t>города Мурманска»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4EA4">
              <w:rPr>
                <w:rFonts w:ascii="Times New Roman" w:hAnsi="Times New Roman"/>
                <w:sz w:val="28"/>
                <w:szCs w:val="28"/>
                <w:lang w:eastAsia="ru-RU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– </w:t>
            </w:r>
            <w:r w:rsidRPr="00B84EA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Pr="00B84EA4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C204C7" w:rsidRPr="00B71F57" w:rsidTr="00C26E60">
        <w:trPr>
          <w:cantSplit/>
          <w:trHeight w:val="492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B84EA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271926">
              <w:rPr>
                <w:rFonts w:ascii="Times New Roman" w:hAnsi="Times New Roman"/>
                <w:bCs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3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B71F57" w:rsidRDefault="00C204C7" w:rsidP="00C26E60">
            <w:pPr>
              <w:pStyle w:val="NoSpacing1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71F57">
              <w:rPr>
                <w:rFonts w:ascii="Times New Roman" w:hAnsi="Times New Roman"/>
                <w:sz w:val="28"/>
                <w:szCs w:val="28"/>
              </w:rPr>
              <w:t>охранени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1F57">
              <w:rPr>
                <w:rFonts w:ascii="Times New Roman" w:hAnsi="Times New Roman"/>
                <w:sz w:val="28"/>
                <w:szCs w:val="28"/>
              </w:rPr>
              <w:t xml:space="preserve"> и укреплени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1F57">
              <w:rPr>
                <w:rFonts w:ascii="Times New Roman" w:hAnsi="Times New Roman"/>
                <w:sz w:val="28"/>
                <w:szCs w:val="28"/>
              </w:rPr>
              <w:t xml:space="preserve"> физического и психического здоровья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71F57">
              <w:rPr>
                <w:rFonts w:ascii="Times New Roman" w:hAnsi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</w:p>
        </w:tc>
      </w:tr>
      <w:tr w:rsidR="00C204C7" w:rsidRPr="00B71F57" w:rsidTr="00C26E60">
        <w:trPr>
          <w:cantSplit/>
          <w:trHeight w:val="492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3B33EB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3B33EB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целевые показатели (индикаторы) реализации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271926">
              <w:rPr>
                <w:rFonts w:ascii="Times New Roman" w:hAnsi="Times New Roman"/>
                <w:bCs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3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2E5F8A" w:rsidRDefault="00C204C7" w:rsidP="00C26E60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  <w:r w:rsidRPr="002E5F8A">
              <w:rPr>
                <w:rFonts w:ascii="Times New Roman" w:hAnsi="Times New Roman"/>
                <w:sz w:val="28"/>
                <w:szCs w:val="28"/>
              </w:rPr>
              <w:t>Доля муниципальных служащих, прошедших диспансеризацию</w:t>
            </w:r>
          </w:p>
        </w:tc>
      </w:tr>
      <w:tr w:rsidR="00C204C7" w:rsidRPr="00B71F57" w:rsidTr="00C26E60">
        <w:trPr>
          <w:cantSplit/>
          <w:trHeight w:val="492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3B33EB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3EB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271926">
              <w:rPr>
                <w:rFonts w:ascii="Times New Roman" w:hAnsi="Times New Roman"/>
                <w:bCs/>
                <w:sz w:val="28"/>
                <w:szCs w:val="28"/>
              </w:rPr>
              <w:t>одпрограмм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3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B71F57" w:rsidRDefault="00C204C7" w:rsidP="00C26E60">
            <w:pPr>
              <w:pStyle w:val="NoSpacing1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5033E">
              <w:rPr>
                <w:rFonts w:ascii="Times New Roman" w:hAnsi="Times New Roman"/>
                <w:sz w:val="28"/>
                <w:szCs w:val="28"/>
                <w:lang w:eastAsia="ru-RU"/>
              </w:rPr>
              <w:t>омитет по охране здоровья администрации города Мурманска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контрольно-счетная палата города Мурманска, Совет депутатов города Мурманска</w:t>
            </w:r>
          </w:p>
        </w:tc>
      </w:tr>
      <w:tr w:rsidR="00C204C7" w:rsidRPr="00B71F57" w:rsidTr="00C26E60">
        <w:trPr>
          <w:cantSplit/>
          <w:trHeight w:val="492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3B33EB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Заказчик-координатор подпрограммы</w:t>
            </w:r>
          </w:p>
        </w:tc>
        <w:tc>
          <w:tcPr>
            <w:tcW w:w="3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Default="00C204C7" w:rsidP="00C26E60">
            <w:pPr>
              <w:pStyle w:val="NoSpacing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5033E">
              <w:rPr>
                <w:rFonts w:ascii="Times New Roman" w:hAnsi="Times New Roman"/>
                <w:sz w:val="28"/>
                <w:szCs w:val="28"/>
                <w:lang w:eastAsia="ru-RU"/>
              </w:rPr>
              <w:t>омитет по охране здоровья администрации города Мурманска</w:t>
            </w:r>
          </w:p>
        </w:tc>
      </w:tr>
      <w:tr w:rsidR="00C204C7" w:rsidRPr="00B71F57" w:rsidTr="00C26E60">
        <w:trPr>
          <w:cantSplit/>
          <w:trHeight w:val="492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B84EA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3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B84EA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5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– </w:t>
            </w:r>
            <w:r w:rsidRPr="00B71F5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B71F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204C7" w:rsidRPr="00B71F57" w:rsidTr="00C26E60">
        <w:trPr>
          <w:cantSplit/>
          <w:trHeight w:val="459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B84EA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4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3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205630" w:rsidRDefault="00C204C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630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подпрограмме: 10 008,4 тыс. руб., в т.ч.: МБ: 10 008,4 тыс. руб., из них:</w:t>
            </w:r>
          </w:p>
          <w:p w:rsidR="00C204C7" w:rsidRPr="00205630" w:rsidRDefault="00C204C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630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3 393,0 тыс. руб.,</w:t>
            </w:r>
          </w:p>
          <w:p w:rsidR="00C204C7" w:rsidRPr="00205630" w:rsidRDefault="00C204C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630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3 313,8 тыс. руб.,</w:t>
            </w:r>
          </w:p>
          <w:p w:rsidR="00C204C7" w:rsidRPr="00205630" w:rsidRDefault="00C204C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630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3 301,6 тыс. руб.</w:t>
            </w:r>
          </w:p>
        </w:tc>
      </w:tr>
      <w:tr w:rsidR="00C204C7" w:rsidRPr="00B71F57" w:rsidTr="00C26E60">
        <w:trPr>
          <w:cantSplit/>
          <w:trHeight w:val="418"/>
        </w:trPr>
        <w:tc>
          <w:tcPr>
            <w:tcW w:w="1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3B33EB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3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3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205630" w:rsidRDefault="00C204C7" w:rsidP="00C26E6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5630">
              <w:rPr>
                <w:rFonts w:ascii="Times New Roman" w:hAnsi="Times New Roman"/>
                <w:sz w:val="28"/>
                <w:szCs w:val="28"/>
                <w:lang w:eastAsia="ru-RU"/>
              </w:rPr>
              <w:t>Доля муниципальных служащих, прошедших диспансеризацию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56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(ежегодно) – 99% в период 2018 – 2020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C204C7" w:rsidRPr="001F3C5B" w:rsidRDefault="00C204C7" w:rsidP="00C20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04C7" w:rsidRPr="003B33EB" w:rsidRDefault="00C204C7" w:rsidP="00C204C7">
      <w:pPr>
        <w:widowControl w:val="0"/>
        <w:autoSpaceDE w:val="0"/>
        <w:autoSpaceDN w:val="0"/>
        <w:adjustRightInd w:val="0"/>
        <w:spacing w:after="0" w:line="240" w:lineRule="auto"/>
        <w:ind w:right="37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3B33EB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1. Характеристика проблемы, на решение которой направлена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271926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C204C7" w:rsidRPr="002773A7" w:rsidRDefault="00C204C7" w:rsidP="00C204C7">
      <w:pPr>
        <w:widowControl w:val="0"/>
        <w:autoSpaceDE w:val="0"/>
        <w:autoSpaceDN w:val="0"/>
        <w:adjustRightInd w:val="0"/>
        <w:spacing w:after="0" w:line="240" w:lineRule="auto"/>
        <w:ind w:right="37" w:firstLine="709"/>
        <w:rPr>
          <w:rFonts w:ascii="Times New Roman" w:hAnsi="Times New Roman"/>
          <w:bCs/>
          <w:color w:val="000000"/>
          <w:spacing w:val="4"/>
          <w:sz w:val="28"/>
          <w:szCs w:val="28"/>
          <w:highlight w:val="darkGreen"/>
          <w:lang w:eastAsia="ru-RU"/>
        </w:rPr>
      </w:pPr>
    </w:p>
    <w:p w:rsidR="00C204C7" w:rsidRPr="001E1391" w:rsidRDefault="00C204C7" w:rsidP="00C20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391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4 части 1 статьи 13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E1391">
        <w:rPr>
          <w:rFonts w:ascii="Times New Roman" w:hAnsi="Times New Roman"/>
          <w:sz w:val="28"/>
          <w:szCs w:val="28"/>
          <w:lang w:eastAsia="ru-RU"/>
        </w:rPr>
        <w:t>от 02</w:t>
      </w:r>
      <w:r>
        <w:rPr>
          <w:rFonts w:ascii="Times New Roman" w:hAnsi="Times New Roman"/>
          <w:sz w:val="28"/>
          <w:szCs w:val="28"/>
          <w:lang w:eastAsia="ru-RU"/>
        </w:rPr>
        <w:t>.03.2</w:t>
      </w:r>
      <w:r w:rsidRPr="001E1391">
        <w:rPr>
          <w:rFonts w:ascii="Times New Roman" w:hAnsi="Times New Roman"/>
          <w:sz w:val="28"/>
          <w:szCs w:val="28"/>
          <w:lang w:eastAsia="ru-RU"/>
        </w:rPr>
        <w:t>007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39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391">
        <w:rPr>
          <w:rFonts w:ascii="Times New Roman" w:hAnsi="Times New Roman"/>
          <w:sz w:val="28"/>
          <w:szCs w:val="28"/>
          <w:lang w:eastAsia="ru-RU"/>
        </w:rPr>
        <w:t>25-ФЗ «О муниципальной службе в Российской Федерации», руководствуясь приказом Министерства здравоохранения и социального разв</w:t>
      </w:r>
      <w:r>
        <w:rPr>
          <w:rFonts w:ascii="Times New Roman" w:hAnsi="Times New Roman"/>
          <w:sz w:val="28"/>
          <w:szCs w:val="28"/>
          <w:lang w:eastAsia="ru-RU"/>
        </w:rPr>
        <w:t>ития Российской Федерации от 14.12.</w:t>
      </w:r>
      <w:r w:rsidRPr="001E1391">
        <w:rPr>
          <w:rFonts w:ascii="Times New Roman" w:hAnsi="Times New Roman"/>
          <w:sz w:val="28"/>
          <w:szCs w:val="28"/>
          <w:lang w:eastAsia="ru-RU"/>
        </w:rPr>
        <w:t>2009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391">
        <w:rPr>
          <w:rFonts w:ascii="Times New Roman" w:hAnsi="Times New Roman"/>
          <w:sz w:val="28"/>
          <w:szCs w:val="28"/>
          <w:lang w:eastAsia="ru-RU"/>
        </w:rPr>
        <w:t>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E1391">
        <w:rPr>
          <w:rFonts w:ascii="Times New Roman" w:hAnsi="Times New Roman"/>
          <w:sz w:val="28"/>
          <w:szCs w:val="28"/>
          <w:lang w:eastAsia="ru-RU"/>
        </w:rPr>
        <w:t xml:space="preserve"> прохождению, а также формы заключения медицинского учреждения» и с целью определения рисков развития заболеваний, раннего выявления имеющихся заболеваний, в том числе </w:t>
      </w:r>
      <w:r w:rsidRPr="001E1391">
        <w:rPr>
          <w:rFonts w:ascii="Times New Roman" w:hAnsi="Times New Roman"/>
          <w:sz w:val="28"/>
          <w:szCs w:val="28"/>
          <w:lang w:eastAsia="ru-RU"/>
        </w:rPr>
        <w:lastRenderedPageBreak/>
        <w:t>препятствующих прохождению муниципальной службы, сохранения и укрепления физического и психического здоровья муниципальных служащих должна проводиться ежегодная диспансеризация муниципальных служащих.</w:t>
      </w:r>
    </w:p>
    <w:p w:rsidR="00C204C7" w:rsidRPr="00156FC5" w:rsidRDefault="00C204C7" w:rsidP="00C2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56FC5">
        <w:rPr>
          <w:rFonts w:ascii="Times New Roman" w:hAnsi="Times New Roman"/>
          <w:sz w:val="28"/>
          <w:szCs w:val="28"/>
          <w:lang w:eastAsia="ru-RU"/>
        </w:rPr>
        <w:t>Повышение эффективности работы муниципальных служащих является одним из важнейших условий обеспечения социально-экономического развития муниципального образования город Мурманск.</w:t>
      </w:r>
    </w:p>
    <w:p w:rsidR="00C204C7" w:rsidRPr="00156FC5" w:rsidRDefault="00C204C7" w:rsidP="00C204C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56FC5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271926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F43469">
        <w:rPr>
          <w:rFonts w:ascii="Times New Roman" w:hAnsi="Times New Roman"/>
          <w:sz w:val="28"/>
          <w:szCs w:val="28"/>
          <w:lang w:eastAsia="ru-RU"/>
        </w:rPr>
        <w:t xml:space="preserve"> «Диспансеризация муниципальных служащих города Мурманска» на 20</w:t>
      </w:r>
      <w:r>
        <w:rPr>
          <w:rFonts w:ascii="Times New Roman" w:hAnsi="Times New Roman"/>
          <w:sz w:val="28"/>
          <w:szCs w:val="28"/>
          <w:lang w:eastAsia="ru-RU"/>
        </w:rPr>
        <w:t xml:space="preserve">18 – </w:t>
      </w:r>
      <w:r w:rsidRPr="00F43469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F43469">
        <w:rPr>
          <w:rFonts w:ascii="Times New Roman" w:hAnsi="Times New Roman"/>
          <w:sz w:val="28"/>
          <w:szCs w:val="28"/>
          <w:lang w:eastAsia="ru-RU"/>
        </w:rPr>
        <w:t xml:space="preserve">годы </w:t>
      </w:r>
      <w:r w:rsidRPr="00156FC5">
        <w:rPr>
          <w:rFonts w:ascii="Times New Roman" w:hAnsi="Times New Roman"/>
          <w:sz w:val="28"/>
          <w:szCs w:val="28"/>
          <w:lang w:eastAsia="ru-RU"/>
        </w:rPr>
        <w:t>должна способствовать созданию условий для развития муниципальной службы путем снижения заболеваемости сотрудников, укрепления и сохранения их здоровья.</w:t>
      </w:r>
    </w:p>
    <w:p w:rsidR="00C204C7" w:rsidRDefault="00C204C7" w:rsidP="00C2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391">
        <w:rPr>
          <w:rFonts w:ascii="Times New Roman" w:hAnsi="Times New Roman"/>
          <w:sz w:val="28"/>
          <w:szCs w:val="28"/>
          <w:lang w:eastAsia="ru-RU"/>
        </w:rPr>
        <w:t>Под диспансеризацией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служащего.</w:t>
      </w:r>
    </w:p>
    <w:p w:rsidR="00C204C7" w:rsidRDefault="00C204C7" w:rsidP="00C2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04C7" w:rsidRPr="00B84EA4" w:rsidRDefault="00C204C7" w:rsidP="00C2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204C7" w:rsidRPr="00B84EA4" w:rsidSect="00DF4605">
          <w:pgSz w:w="11906" w:h="16838" w:code="9"/>
          <w:pgMar w:top="1134" w:right="567" w:bottom="1134" w:left="1701" w:header="567" w:footer="0" w:gutter="0"/>
          <w:cols w:space="708"/>
          <w:docGrid w:linePitch="360"/>
        </w:sectPr>
      </w:pPr>
    </w:p>
    <w:p w:rsidR="00C204C7" w:rsidRDefault="00C204C7" w:rsidP="00C204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56F2">
        <w:rPr>
          <w:rFonts w:ascii="Times New Roman" w:hAnsi="Times New Roman"/>
          <w:sz w:val="28"/>
          <w:szCs w:val="28"/>
        </w:rPr>
        <w:lastRenderedPageBreak/>
        <w:t xml:space="preserve">2. Основные цели и задачи </w:t>
      </w:r>
      <w:r w:rsidRPr="001356F2">
        <w:rPr>
          <w:rFonts w:ascii="Times New Roman" w:hAnsi="Times New Roman"/>
          <w:bCs/>
          <w:sz w:val="28"/>
          <w:szCs w:val="28"/>
        </w:rPr>
        <w:t>подпрограммы</w:t>
      </w:r>
      <w:r w:rsidRPr="001356F2">
        <w:rPr>
          <w:rFonts w:ascii="Times New Roman" w:hAnsi="Times New Roman"/>
          <w:sz w:val="28"/>
          <w:szCs w:val="28"/>
        </w:rPr>
        <w:t xml:space="preserve">, целевые показатели (индикаторы) реализации </w:t>
      </w:r>
      <w:r w:rsidRPr="001356F2">
        <w:rPr>
          <w:rFonts w:ascii="Times New Roman" w:hAnsi="Times New Roman"/>
          <w:bCs/>
          <w:sz w:val="28"/>
          <w:szCs w:val="28"/>
        </w:rPr>
        <w:t>подпрограммы</w:t>
      </w:r>
    </w:p>
    <w:p w:rsidR="00C204C7" w:rsidRDefault="00C204C7" w:rsidP="00C2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9"/>
        <w:tblW w:w="497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6696"/>
        <w:gridCol w:w="988"/>
        <w:gridCol w:w="1593"/>
        <w:gridCol w:w="1493"/>
        <w:gridCol w:w="1171"/>
        <w:gridCol w:w="1171"/>
        <w:gridCol w:w="1165"/>
      </w:tblGrid>
      <w:tr w:rsidR="00C204C7" w:rsidRPr="002F0554" w:rsidTr="00C26E60">
        <w:trPr>
          <w:trHeight w:val="32"/>
        </w:trPr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Цель, задачи и показатели (индикаторы)</w:t>
            </w:r>
          </w:p>
        </w:tc>
        <w:tc>
          <w:tcPr>
            <w:tcW w:w="3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04C7" w:rsidRPr="002F055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90" w:type="pct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C204C7" w:rsidRPr="002F0554" w:rsidTr="00C26E60">
        <w:trPr>
          <w:trHeight w:val="32"/>
        </w:trPr>
        <w:tc>
          <w:tcPr>
            <w:tcW w:w="2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116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 подпрограммы</w:t>
            </w:r>
          </w:p>
        </w:tc>
      </w:tr>
      <w:tr w:rsidR="00C204C7" w:rsidRPr="002F0554" w:rsidTr="00C26E60">
        <w:trPr>
          <w:trHeight w:val="226"/>
        </w:trPr>
        <w:tc>
          <w:tcPr>
            <w:tcW w:w="2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C204C7" w:rsidRPr="002F0554" w:rsidTr="00C26E60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204C7" w:rsidRPr="002F0554" w:rsidTr="00C26E60">
        <w:trPr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Цель: сохранение и укрепление физического и психического здоровья муниципальных служащих</w:t>
            </w:r>
          </w:p>
        </w:tc>
      </w:tr>
      <w:tr w:rsidR="00C204C7" w:rsidRPr="002F0554" w:rsidTr="00C26E60">
        <w:trPr>
          <w:cantSplit/>
          <w:trHeight w:val="387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4C7" w:rsidRPr="002F0554" w:rsidRDefault="00C204C7" w:rsidP="00C26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Доля муниципальных служащих, прошедших диспансеризацию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2F0554" w:rsidRDefault="00C204C7" w:rsidP="00C26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04C7" w:rsidRPr="002F0554" w:rsidRDefault="00C204C7" w:rsidP="00C26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4C7" w:rsidRPr="00077C59" w:rsidRDefault="00C204C7" w:rsidP="00C26E6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C204C7" w:rsidRDefault="00C204C7" w:rsidP="00C204C7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C204C7" w:rsidRPr="00B84EA4" w:rsidRDefault="00C204C7" w:rsidP="00C204C7">
      <w:pPr>
        <w:tabs>
          <w:tab w:val="left" w:pos="3045"/>
          <w:tab w:val="left" w:pos="76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Hlk66790558"/>
      <w:r w:rsidRPr="00B84EA4">
        <w:rPr>
          <w:rFonts w:ascii="Times New Roman" w:hAnsi="Times New Roman"/>
          <w:sz w:val="28"/>
          <w:szCs w:val="28"/>
          <w:lang w:eastAsia="ru-RU"/>
        </w:rPr>
        <w:t xml:space="preserve">3. Перечень основных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271926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C204C7" w:rsidRDefault="00C204C7" w:rsidP="00C2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84EA4">
        <w:rPr>
          <w:rFonts w:ascii="Times New Roman" w:hAnsi="Times New Roman"/>
          <w:bCs/>
          <w:sz w:val="28"/>
          <w:szCs w:val="28"/>
          <w:lang w:eastAsia="ru-RU"/>
        </w:rPr>
        <w:t xml:space="preserve">3.1. Перечень основных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271926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B84EA4">
        <w:rPr>
          <w:rFonts w:ascii="Times New Roman" w:hAnsi="Times New Roman"/>
          <w:bCs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B84EA4">
        <w:rPr>
          <w:rFonts w:ascii="Times New Roman" w:hAnsi="Times New Roman"/>
          <w:bCs/>
          <w:sz w:val="28"/>
          <w:szCs w:val="28"/>
          <w:lang w:eastAsia="ru-RU"/>
        </w:rPr>
        <w:t>-20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B84EA4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</w:p>
    <w:bookmarkEnd w:id="0"/>
    <w:p w:rsidR="00C204C7" w:rsidRPr="00B84EA4" w:rsidRDefault="00C204C7" w:rsidP="00C2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204C7" w:rsidRPr="00687377" w:rsidRDefault="00C204C7" w:rsidP="00C2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_Hlk66790594"/>
      <w:r w:rsidRPr="00687377">
        <w:rPr>
          <w:rFonts w:ascii="Times New Roman" w:hAnsi="Times New Roman"/>
          <w:bCs/>
          <w:sz w:val="28"/>
          <w:szCs w:val="28"/>
          <w:lang w:eastAsia="ru-RU"/>
        </w:rPr>
        <w:t>В перечне программных мероприятий используются следующие сокращения:</w:t>
      </w:r>
    </w:p>
    <w:p w:rsidR="00C204C7" w:rsidRDefault="00C204C7" w:rsidP="00C2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87377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КоЗ АГМ </w:t>
      </w:r>
      <w:r w:rsidRPr="00687377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254F40">
        <w:rPr>
          <w:rFonts w:ascii="Times New Roman" w:hAnsi="Times New Roman"/>
          <w:bCs/>
          <w:sz w:val="28"/>
          <w:szCs w:val="28"/>
          <w:lang w:eastAsia="ru-RU"/>
        </w:rPr>
        <w:t>комитет по охране здоровья администрации города Мурманска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204C7" w:rsidRDefault="00C204C7" w:rsidP="00C2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КСП – контрольно-счетная палата города Мурманска;</w:t>
      </w:r>
    </w:p>
    <w:p w:rsidR="00C204C7" w:rsidRDefault="00C204C7" w:rsidP="00C2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СД – Совет депутатов города Мурманска.</w:t>
      </w:r>
    </w:p>
    <w:p w:rsidR="00C204C7" w:rsidRDefault="00C204C7" w:rsidP="00C204C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4"/>
        <w:gridCol w:w="2216"/>
        <w:gridCol w:w="1297"/>
        <w:gridCol w:w="1231"/>
        <w:gridCol w:w="954"/>
        <w:gridCol w:w="819"/>
        <w:gridCol w:w="819"/>
        <w:gridCol w:w="843"/>
        <w:gridCol w:w="2182"/>
        <w:gridCol w:w="822"/>
        <w:gridCol w:w="680"/>
        <w:gridCol w:w="873"/>
        <w:gridCol w:w="1671"/>
      </w:tblGrid>
      <w:tr w:rsidR="00C204C7" w:rsidRPr="002F0554" w:rsidTr="00C26E60">
        <w:trPr>
          <w:trHeight w:val="670"/>
          <w:tblHeader/>
        </w:trPr>
        <w:tc>
          <w:tcPr>
            <w:tcW w:w="214" w:type="pct"/>
            <w:vMerge w:val="restar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6" w:type="pct"/>
            <w:vMerge w:val="restar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31" w:type="pct"/>
            <w:vMerge w:val="restar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409" w:type="pct"/>
            <w:vMerge w:val="restar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Источник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</w:p>
          <w:p w:rsidR="00C204C7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</w:t>
            </w: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инансиро</w:t>
            </w:r>
          </w:p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141" w:type="pct"/>
            <w:gridSpan w:val="4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Объемы финансирования, тыс.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14" w:type="pct"/>
            <w:gridSpan w:val="4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56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C204C7" w:rsidRPr="002F0554" w:rsidTr="00C26E60">
        <w:trPr>
          <w:trHeight w:val="687"/>
          <w:tblHeader/>
        </w:trPr>
        <w:tc>
          <w:tcPr>
            <w:tcW w:w="214" w:type="pct"/>
            <w:vMerge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2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2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0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  <w:p w:rsidR="00C204C7" w:rsidRPr="002F055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5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273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6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9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  <w:p w:rsidR="00C204C7" w:rsidRPr="002F055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56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204C7" w:rsidRPr="002F0554" w:rsidTr="00C26E60">
        <w:trPr>
          <w:trHeight w:val="303"/>
          <w:tblHeader/>
        </w:trPr>
        <w:tc>
          <w:tcPr>
            <w:tcW w:w="214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5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204C7" w:rsidRPr="002F0554" w:rsidTr="00C26E60">
        <w:trPr>
          <w:trHeight w:val="303"/>
        </w:trPr>
        <w:tc>
          <w:tcPr>
            <w:tcW w:w="5000" w:type="pct"/>
            <w:gridSpan w:val="13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Цель: сохранение и укрепление физического и психического здоровья муниципальных служащих</w:t>
            </w:r>
          </w:p>
        </w:tc>
      </w:tr>
      <w:tr w:rsidR="00C204C7" w:rsidRPr="002F0554" w:rsidTr="00C26E60">
        <w:trPr>
          <w:trHeight w:val="303"/>
        </w:trPr>
        <w:tc>
          <w:tcPr>
            <w:tcW w:w="214" w:type="pct"/>
            <w:noWrap/>
            <w:vAlign w:val="center"/>
          </w:tcPr>
          <w:p w:rsidR="00C204C7" w:rsidRPr="002F0554" w:rsidRDefault="00C204C7" w:rsidP="00C26E60">
            <w:pPr>
              <w:tabs>
                <w:tab w:val="left" w:pos="3045"/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6" w:type="pct"/>
            <w:noWrap/>
          </w:tcPr>
          <w:p w:rsidR="00C204C7" w:rsidRPr="002F0554" w:rsidRDefault="00C204C7" w:rsidP="00C26E60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мероприятие: определение рисков развити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заболеваний, раннее выявление </w:t>
            </w: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имеющихся заболеваний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 том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числе препятствующих прохождению м</w:t>
            </w: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униципальной службы</w:t>
            </w:r>
          </w:p>
        </w:tc>
        <w:tc>
          <w:tcPr>
            <w:tcW w:w="431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т.ч.: МБ</w:t>
            </w:r>
          </w:p>
        </w:tc>
        <w:tc>
          <w:tcPr>
            <w:tcW w:w="317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10008,4</w:t>
            </w:r>
          </w:p>
        </w:tc>
        <w:tc>
          <w:tcPr>
            <w:tcW w:w="272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3393</w:t>
            </w:r>
            <w:r w:rsidRPr="002F05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3313</w:t>
            </w:r>
            <w:r w:rsidRPr="002F05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80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3301,6</w:t>
            </w:r>
          </w:p>
        </w:tc>
        <w:tc>
          <w:tcPr>
            <w:tcW w:w="725" w:type="pct"/>
            <w:noWrap/>
            <w:vAlign w:val="center"/>
          </w:tcPr>
          <w:p w:rsidR="00C204C7" w:rsidRDefault="00C204C7" w:rsidP="00C26E60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 xml:space="preserve">Функционирование системы по выявлению заболеваний у муниципальных служащих, </w:t>
            </w:r>
          </w:p>
          <w:p w:rsidR="00C204C7" w:rsidRPr="002F0554" w:rsidRDefault="00C204C7" w:rsidP="00C26E60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да-1/нет-0</w:t>
            </w:r>
          </w:p>
        </w:tc>
        <w:tc>
          <w:tcPr>
            <w:tcW w:w="273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noWrap/>
            <w:vAlign w:val="center"/>
          </w:tcPr>
          <w:p w:rsidR="00C204C7" w:rsidRPr="002F0554" w:rsidRDefault="00C204C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КоЗ АГМ, конкурсный отбор</w:t>
            </w:r>
          </w:p>
        </w:tc>
      </w:tr>
      <w:tr w:rsidR="00C204C7" w:rsidRPr="002F0554" w:rsidTr="00C26E60">
        <w:trPr>
          <w:trHeight w:val="303"/>
        </w:trPr>
        <w:tc>
          <w:tcPr>
            <w:tcW w:w="214" w:type="pct"/>
            <w:vMerge w:val="restart"/>
            <w:noWrap/>
            <w:vAlign w:val="center"/>
          </w:tcPr>
          <w:p w:rsidR="00C204C7" w:rsidRPr="002F0554" w:rsidRDefault="00C204C7" w:rsidP="00C26E60">
            <w:pPr>
              <w:tabs>
                <w:tab w:val="left" w:pos="3045"/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6" w:type="pct"/>
            <w:vMerge w:val="restart"/>
            <w:noWrap/>
          </w:tcPr>
          <w:p w:rsidR="00C204C7" w:rsidRPr="002F0554" w:rsidRDefault="00C204C7" w:rsidP="00C26E60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431" w:type="pct"/>
            <w:vMerge w:val="restar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17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9287,0</w:t>
            </w:r>
          </w:p>
        </w:tc>
        <w:tc>
          <w:tcPr>
            <w:tcW w:w="272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3177</w:t>
            </w:r>
            <w:r w:rsidRPr="00DE27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72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3069</w:t>
            </w:r>
            <w:r w:rsidRPr="00DE27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3040</w:t>
            </w:r>
            <w:r w:rsidRPr="00DE27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pct"/>
            <w:noWrap/>
            <w:vAlign w:val="center"/>
          </w:tcPr>
          <w:p w:rsidR="00C204C7" w:rsidRPr="002F0554" w:rsidRDefault="00C204C7" w:rsidP="00C26E60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служащих, прошедших диспансеризацию, чел.</w:t>
            </w:r>
          </w:p>
        </w:tc>
        <w:tc>
          <w:tcPr>
            <w:tcW w:w="273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226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  <w:r w:rsidRPr="00DE27B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" w:type="pct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556" w:type="pct"/>
            <w:noWrap/>
            <w:vAlign w:val="center"/>
          </w:tcPr>
          <w:p w:rsidR="00C204C7" w:rsidRPr="002F0554" w:rsidRDefault="00C204C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КоЗ АГМ, конкурсный отбор</w:t>
            </w:r>
          </w:p>
        </w:tc>
      </w:tr>
      <w:tr w:rsidR="00C204C7" w:rsidRPr="002F0554" w:rsidTr="00C26E60">
        <w:trPr>
          <w:trHeight w:val="303"/>
        </w:trPr>
        <w:tc>
          <w:tcPr>
            <w:tcW w:w="214" w:type="pct"/>
            <w:vMerge/>
            <w:noWrap/>
            <w:vAlign w:val="center"/>
          </w:tcPr>
          <w:p w:rsidR="00C204C7" w:rsidRPr="002F0554" w:rsidRDefault="00C204C7" w:rsidP="00C26E60">
            <w:pPr>
              <w:tabs>
                <w:tab w:val="left" w:pos="3045"/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noWrap/>
          </w:tcPr>
          <w:p w:rsidR="00C204C7" w:rsidRPr="002F0554" w:rsidRDefault="00C204C7" w:rsidP="00C26E60">
            <w:pPr>
              <w:pStyle w:val="NoSpacing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17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419,7</w:t>
            </w:r>
          </w:p>
        </w:tc>
        <w:tc>
          <w:tcPr>
            <w:tcW w:w="272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27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272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27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 w:rsidRPr="00DE27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725" w:type="pct"/>
            <w:noWrap/>
            <w:vAlign w:val="center"/>
          </w:tcPr>
          <w:p w:rsidR="00C204C7" w:rsidRPr="002F0554" w:rsidRDefault="00C204C7" w:rsidP="00C26E60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служащих, прошедших диспансеризацию, чел.</w:t>
            </w:r>
          </w:p>
        </w:tc>
        <w:tc>
          <w:tcPr>
            <w:tcW w:w="273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27B6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27B6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" w:type="pct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27B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noWrap/>
            <w:vAlign w:val="center"/>
          </w:tcPr>
          <w:p w:rsidR="00C204C7" w:rsidRPr="002F0554" w:rsidRDefault="00C204C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  <w:r w:rsidRPr="002F0554">
              <w:rPr>
                <w:rFonts w:ascii="Times New Roman" w:hAnsi="Times New Roman"/>
                <w:sz w:val="20"/>
                <w:szCs w:val="20"/>
              </w:rPr>
              <w:t>, конкурсный отбор</w:t>
            </w:r>
          </w:p>
        </w:tc>
      </w:tr>
      <w:tr w:rsidR="00C204C7" w:rsidRPr="002F0554" w:rsidTr="00C26E60">
        <w:trPr>
          <w:trHeight w:val="303"/>
        </w:trPr>
        <w:tc>
          <w:tcPr>
            <w:tcW w:w="214" w:type="pct"/>
            <w:vMerge/>
            <w:noWrap/>
            <w:vAlign w:val="center"/>
          </w:tcPr>
          <w:p w:rsidR="00C204C7" w:rsidRPr="002F0554" w:rsidRDefault="00C204C7" w:rsidP="00C26E60">
            <w:pPr>
              <w:tabs>
                <w:tab w:val="left" w:pos="3045"/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vMerge/>
            <w:noWrap/>
          </w:tcPr>
          <w:p w:rsidR="00C204C7" w:rsidRPr="002F0554" w:rsidRDefault="00C204C7" w:rsidP="00C26E60">
            <w:pPr>
              <w:pStyle w:val="NoSpacing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17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272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272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280" w:type="pct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725" w:type="pct"/>
            <w:noWrap/>
            <w:vAlign w:val="center"/>
          </w:tcPr>
          <w:p w:rsidR="00C204C7" w:rsidRPr="002F0554" w:rsidRDefault="00C204C7" w:rsidP="00C26E60">
            <w:pPr>
              <w:pStyle w:val="NoSpacing1"/>
              <w:rPr>
                <w:rFonts w:ascii="Times New Roman" w:hAnsi="Times New Roman"/>
                <w:sz w:val="20"/>
                <w:szCs w:val="20"/>
              </w:rPr>
            </w:pPr>
            <w:r w:rsidRPr="002F0554">
              <w:rPr>
                <w:rFonts w:ascii="Times New Roman" w:hAnsi="Times New Roman"/>
                <w:sz w:val="20"/>
                <w:szCs w:val="20"/>
              </w:rPr>
              <w:t>Численность муниципальны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F0554">
              <w:rPr>
                <w:rFonts w:ascii="Times New Roman" w:hAnsi="Times New Roman"/>
                <w:sz w:val="20"/>
                <w:szCs w:val="20"/>
              </w:rPr>
              <w:t xml:space="preserve"> служащих, прошедших диспансеризацию, чел.</w:t>
            </w:r>
          </w:p>
        </w:tc>
        <w:tc>
          <w:tcPr>
            <w:tcW w:w="273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" w:type="pct"/>
            <w:noWrap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" w:type="pct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56" w:type="pct"/>
            <w:noWrap/>
            <w:vAlign w:val="center"/>
          </w:tcPr>
          <w:p w:rsidR="00C204C7" w:rsidRPr="002F0554" w:rsidRDefault="00C204C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</w:t>
            </w:r>
            <w:r w:rsidRPr="002F0554">
              <w:rPr>
                <w:rFonts w:ascii="Times New Roman" w:hAnsi="Times New Roman"/>
                <w:sz w:val="20"/>
                <w:szCs w:val="20"/>
              </w:rPr>
              <w:t>, конкурсный отбор</w:t>
            </w:r>
          </w:p>
        </w:tc>
      </w:tr>
      <w:tr w:rsidR="00C204C7" w:rsidRPr="002F0554" w:rsidTr="00C26E60">
        <w:trPr>
          <w:trHeight w:val="303"/>
        </w:trPr>
        <w:tc>
          <w:tcPr>
            <w:tcW w:w="214" w:type="pct"/>
            <w:noWrap/>
          </w:tcPr>
          <w:p w:rsidR="00C204C7" w:rsidRPr="002F0554" w:rsidRDefault="00C204C7" w:rsidP="00C26E60">
            <w:pPr>
              <w:tabs>
                <w:tab w:val="left" w:pos="3045"/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noWrap/>
            <w:vAlign w:val="center"/>
          </w:tcPr>
          <w:p w:rsidR="00C204C7" w:rsidRPr="002F055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431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" w:type="pct"/>
            <w:noWrap/>
          </w:tcPr>
          <w:p w:rsidR="00C204C7" w:rsidRPr="002F055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C204C7" w:rsidRPr="002F055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в т.ч.:</w:t>
            </w:r>
          </w:p>
          <w:p w:rsidR="00C204C7" w:rsidRPr="002F055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10008,4</w:t>
            </w:r>
          </w:p>
        </w:tc>
        <w:tc>
          <w:tcPr>
            <w:tcW w:w="272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05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</w:t>
            </w:r>
            <w:r w:rsidRPr="002F05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noWrap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3313</w:t>
            </w:r>
            <w:r w:rsidRPr="002F05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80" w:type="pct"/>
            <w:vAlign w:val="center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3301,6</w:t>
            </w:r>
          </w:p>
        </w:tc>
        <w:tc>
          <w:tcPr>
            <w:tcW w:w="725" w:type="pct"/>
            <w:noWrap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noWrap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</w:tcPr>
          <w:p w:rsidR="00C204C7" w:rsidRPr="002F055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noWrap/>
            <w:vAlign w:val="center"/>
          </w:tcPr>
          <w:p w:rsidR="00C204C7" w:rsidRPr="002F0554" w:rsidRDefault="00C204C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:rsidR="00C204C7" w:rsidRDefault="00C204C7" w:rsidP="00C204C7"/>
    <w:p w:rsidR="00C204C7" w:rsidRDefault="00C204C7" w:rsidP="00C204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C204C7" w:rsidSect="00DF4605">
          <w:pgSz w:w="16838" w:h="11906" w:orient="landscape" w:code="9"/>
          <w:pgMar w:top="1701" w:right="567" w:bottom="567" w:left="1134" w:header="567" w:footer="0" w:gutter="0"/>
          <w:cols w:space="708"/>
          <w:titlePg/>
          <w:docGrid w:linePitch="360"/>
        </w:sectPr>
      </w:pPr>
    </w:p>
    <w:p w:rsidR="00C204C7" w:rsidRDefault="00C204C7" w:rsidP="00C204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20209">
        <w:rPr>
          <w:rFonts w:ascii="Times New Roman" w:hAnsi="Times New Roman"/>
          <w:sz w:val="28"/>
          <w:szCs w:val="24"/>
        </w:rPr>
        <w:lastRenderedPageBreak/>
        <w:t>4.</w:t>
      </w:r>
      <w:r w:rsidRPr="00FE4F8E">
        <w:rPr>
          <w:rFonts w:ascii="Times New Roman" w:hAnsi="Times New Roman"/>
          <w:sz w:val="28"/>
          <w:szCs w:val="24"/>
        </w:rPr>
        <w:t xml:space="preserve"> Обоснование ресурсного обеспечения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271926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C204C7" w:rsidRDefault="00C204C7" w:rsidP="00C204C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7"/>
        <w:gridCol w:w="1423"/>
        <w:gridCol w:w="1228"/>
        <w:gridCol w:w="1228"/>
        <w:gridCol w:w="1228"/>
      </w:tblGrid>
      <w:tr w:rsidR="00C204C7" w:rsidRPr="00FE4F8E" w:rsidTr="00C26E60">
        <w:trPr>
          <w:trHeight w:val="675"/>
        </w:trPr>
        <w:tc>
          <w:tcPr>
            <w:tcW w:w="0" w:type="auto"/>
            <w:vMerge w:val="restart"/>
            <w:vAlign w:val="center"/>
          </w:tcPr>
          <w:p w:rsidR="00C204C7" w:rsidRPr="004C2D1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C204C7" w:rsidRPr="004C2D1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3"/>
          </w:tcPr>
          <w:p w:rsidR="00C204C7" w:rsidRPr="004C2D1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11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C204C7" w:rsidRPr="00FE4F8E" w:rsidTr="00C26E60">
        <w:trPr>
          <w:trHeight w:val="445"/>
        </w:trPr>
        <w:tc>
          <w:tcPr>
            <w:tcW w:w="0" w:type="auto"/>
            <w:vMerge/>
            <w:vAlign w:val="center"/>
          </w:tcPr>
          <w:p w:rsidR="00C204C7" w:rsidRPr="004C2D1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204C7" w:rsidRPr="004C2D1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04C7" w:rsidRPr="004C2D1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</w:tcPr>
          <w:p w:rsidR="00C204C7" w:rsidRPr="004C2D1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</w:tcPr>
          <w:p w:rsidR="00C204C7" w:rsidRPr="00F94E8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204C7" w:rsidRPr="00FE4F8E" w:rsidTr="00C26E60">
        <w:trPr>
          <w:trHeight w:val="262"/>
        </w:trPr>
        <w:tc>
          <w:tcPr>
            <w:tcW w:w="0" w:type="auto"/>
          </w:tcPr>
          <w:p w:rsidR="00C204C7" w:rsidRPr="004C2D1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204C7" w:rsidRPr="004C2D1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204C7" w:rsidRPr="004C2D1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204C7" w:rsidRPr="004C2D1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204C7" w:rsidRPr="00F94E84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204C7" w:rsidRPr="00FE4F8E" w:rsidTr="00C26E60">
        <w:trPr>
          <w:trHeight w:val="278"/>
        </w:trPr>
        <w:tc>
          <w:tcPr>
            <w:tcW w:w="0" w:type="auto"/>
          </w:tcPr>
          <w:p w:rsidR="00C204C7" w:rsidRPr="004C2D11" w:rsidRDefault="00C204C7" w:rsidP="00C2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по </w:t>
            </w:r>
            <w:r w:rsidRPr="008023A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подпрограмме</w:t>
            </w: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</w:tcPr>
          <w:p w:rsidR="00C204C7" w:rsidRPr="00F94E8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10 008,4</w:t>
            </w:r>
          </w:p>
        </w:tc>
        <w:tc>
          <w:tcPr>
            <w:tcW w:w="0" w:type="auto"/>
            <w:vAlign w:val="center"/>
          </w:tcPr>
          <w:p w:rsidR="00C204C7" w:rsidRPr="00A25A41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3 393,0</w:t>
            </w:r>
          </w:p>
        </w:tc>
        <w:tc>
          <w:tcPr>
            <w:tcW w:w="0" w:type="auto"/>
            <w:vAlign w:val="center"/>
          </w:tcPr>
          <w:p w:rsidR="00C204C7" w:rsidRPr="00A25A41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3 313,8</w:t>
            </w:r>
          </w:p>
        </w:tc>
        <w:tc>
          <w:tcPr>
            <w:tcW w:w="0" w:type="auto"/>
            <w:vAlign w:val="center"/>
          </w:tcPr>
          <w:p w:rsidR="00C204C7" w:rsidRPr="00077C59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3 301,6</w:t>
            </w:r>
          </w:p>
        </w:tc>
      </w:tr>
      <w:tr w:rsidR="00C204C7" w:rsidRPr="00FE4F8E" w:rsidTr="00C26E60">
        <w:trPr>
          <w:trHeight w:val="262"/>
        </w:trPr>
        <w:tc>
          <w:tcPr>
            <w:tcW w:w="0" w:type="auto"/>
          </w:tcPr>
          <w:p w:rsidR="00C204C7" w:rsidRPr="004C2D11" w:rsidRDefault="00C204C7" w:rsidP="00C2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за счет:</w:t>
            </w:r>
          </w:p>
        </w:tc>
        <w:tc>
          <w:tcPr>
            <w:tcW w:w="0" w:type="auto"/>
            <w:vAlign w:val="center"/>
          </w:tcPr>
          <w:p w:rsidR="00C204C7" w:rsidRPr="00A25A41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04C7" w:rsidRPr="00A25A41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04C7" w:rsidRPr="00A25A41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04C7" w:rsidRPr="00077C59" w:rsidRDefault="00C204C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C204C7" w:rsidRPr="00FE4F8E" w:rsidTr="00C26E60">
        <w:trPr>
          <w:trHeight w:val="215"/>
        </w:trPr>
        <w:tc>
          <w:tcPr>
            <w:tcW w:w="0" w:type="auto"/>
          </w:tcPr>
          <w:p w:rsidR="00C204C7" w:rsidRPr="004C2D11" w:rsidRDefault="00C204C7" w:rsidP="00C2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D11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vAlign w:val="center"/>
          </w:tcPr>
          <w:p w:rsidR="00C204C7" w:rsidRPr="00F94E8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10 008,4</w:t>
            </w:r>
          </w:p>
        </w:tc>
        <w:tc>
          <w:tcPr>
            <w:tcW w:w="0" w:type="auto"/>
            <w:vAlign w:val="center"/>
          </w:tcPr>
          <w:p w:rsidR="00C204C7" w:rsidRPr="00A25A41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3 393,0</w:t>
            </w:r>
          </w:p>
        </w:tc>
        <w:tc>
          <w:tcPr>
            <w:tcW w:w="0" w:type="auto"/>
            <w:vAlign w:val="center"/>
          </w:tcPr>
          <w:p w:rsidR="00C204C7" w:rsidRPr="00A25A41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3 313,8</w:t>
            </w:r>
          </w:p>
        </w:tc>
        <w:tc>
          <w:tcPr>
            <w:tcW w:w="0" w:type="auto"/>
            <w:vAlign w:val="center"/>
          </w:tcPr>
          <w:p w:rsidR="00C204C7" w:rsidRPr="00077C59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3 301,6</w:t>
            </w:r>
          </w:p>
        </w:tc>
      </w:tr>
      <w:tr w:rsidR="00C204C7" w:rsidRPr="00FE4F8E" w:rsidTr="00C26E60">
        <w:trPr>
          <w:trHeight w:val="215"/>
        </w:trPr>
        <w:tc>
          <w:tcPr>
            <w:tcW w:w="0" w:type="auto"/>
          </w:tcPr>
          <w:p w:rsidR="00C204C7" w:rsidRPr="004C2D11" w:rsidRDefault="00C204C7" w:rsidP="00C2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заказчикам:</w:t>
            </w:r>
          </w:p>
        </w:tc>
        <w:tc>
          <w:tcPr>
            <w:tcW w:w="0" w:type="auto"/>
            <w:vAlign w:val="center"/>
          </w:tcPr>
          <w:p w:rsidR="00C204C7" w:rsidRPr="00F94E84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04C7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04C7" w:rsidRPr="00A25A41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204C7" w:rsidRPr="00077C59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04C7" w:rsidRPr="00FE4F8E" w:rsidTr="00C26E60">
        <w:trPr>
          <w:trHeight w:val="215"/>
        </w:trPr>
        <w:tc>
          <w:tcPr>
            <w:tcW w:w="0" w:type="auto"/>
          </w:tcPr>
          <w:p w:rsidR="00C204C7" w:rsidRPr="004C2D11" w:rsidRDefault="00C204C7" w:rsidP="00C2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охране здоровья администрации города Мурманска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9 287,0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3 177,0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3 069,1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077C59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3 040,9</w:t>
            </w:r>
          </w:p>
        </w:tc>
      </w:tr>
      <w:tr w:rsidR="00C204C7" w:rsidRPr="00FE4F8E" w:rsidTr="00C26E60">
        <w:trPr>
          <w:trHeight w:val="215"/>
        </w:trPr>
        <w:tc>
          <w:tcPr>
            <w:tcW w:w="0" w:type="auto"/>
          </w:tcPr>
          <w:p w:rsidR="00C204C7" w:rsidRPr="004C2D11" w:rsidRDefault="00C204C7" w:rsidP="00C26E6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7745E">
              <w:rPr>
                <w:rFonts w:ascii="Times New Roman" w:hAnsi="Times New Roman" w:cs="Times New Roman"/>
                <w:sz w:val="24"/>
                <w:szCs w:val="24"/>
              </w:rPr>
              <w:t>в т.ч.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5E">
              <w:rPr>
                <w:rFonts w:ascii="Times New Roman" w:hAnsi="Times New Roman"/>
                <w:sz w:val="24"/>
                <w:szCs w:val="24"/>
              </w:rPr>
              <w:t>город Мурманск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9 287,0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3 177,0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3 069,1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077C59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3 040,9</w:t>
            </w:r>
          </w:p>
        </w:tc>
      </w:tr>
      <w:tr w:rsidR="00C204C7" w:rsidRPr="00FE4F8E" w:rsidTr="00C26E60">
        <w:trPr>
          <w:trHeight w:val="215"/>
        </w:trPr>
        <w:tc>
          <w:tcPr>
            <w:tcW w:w="0" w:type="auto"/>
          </w:tcPr>
          <w:p w:rsidR="00C204C7" w:rsidRPr="0057745E" w:rsidRDefault="00C204C7" w:rsidP="00C26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Мурманска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077C59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  <w:r w:rsidRPr="00DE2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4C7" w:rsidRPr="00FE4F8E" w:rsidTr="00C26E60">
        <w:trPr>
          <w:trHeight w:val="215"/>
        </w:trPr>
        <w:tc>
          <w:tcPr>
            <w:tcW w:w="0" w:type="auto"/>
          </w:tcPr>
          <w:p w:rsidR="00C204C7" w:rsidRPr="0057745E" w:rsidRDefault="00C204C7" w:rsidP="00C26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E">
              <w:rPr>
                <w:rFonts w:ascii="Times New Roman" w:hAnsi="Times New Roman" w:cs="Times New Roman"/>
                <w:sz w:val="24"/>
                <w:szCs w:val="24"/>
              </w:rPr>
              <w:t>в т.ч.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5E">
              <w:rPr>
                <w:rFonts w:ascii="Times New Roman" w:hAnsi="Times New Roman" w:cs="Times New Roman"/>
                <w:sz w:val="24"/>
                <w:szCs w:val="24"/>
              </w:rPr>
              <w:t>город Мурманск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077C59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  <w:r w:rsidRPr="00DE2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04C7" w:rsidRPr="00FE4F8E" w:rsidTr="00C26E60">
        <w:trPr>
          <w:trHeight w:val="215"/>
        </w:trPr>
        <w:tc>
          <w:tcPr>
            <w:tcW w:w="0" w:type="auto"/>
          </w:tcPr>
          <w:p w:rsidR="00C204C7" w:rsidRPr="0057745E" w:rsidRDefault="00C204C7" w:rsidP="00C26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города Мурманска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077C59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  <w:r w:rsidRPr="00DE2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04C7" w:rsidRPr="00FE4F8E" w:rsidTr="00C26E60">
        <w:trPr>
          <w:trHeight w:val="215"/>
        </w:trPr>
        <w:tc>
          <w:tcPr>
            <w:tcW w:w="0" w:type="auto"/>
          </w:tcPr>
          <w:p w:rsidR="00C204C7" w:rsidRPr="0057745E" w:rsidRDefault="00C204C7" w:rsidP="00C26E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45E">
              <w:rPr>
                <w:rFonts w:ascii="Times New Roman" w:hAnsi="Times New Roman" w:cs="Times New Roman"/>
                <w:sz w:val="24"/>
                <w:szCs w:val="24"/>
              </w:rPr>
              <w:t>в т.ч.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5E">
              <w:rPr>
                <w:rFonts w:ascii="Times New Roman" w:hAnsi="Times New Roman" w:cs="Times New Roman"/>
                <w:sz w:val="24"/>
                <w:szCs w:val="24"/>
              </w:rPr>
              <w:t>город Мурманск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DE27B6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04C7" w:rsidRPr="00077C59" w:rsidRDefault="00C204C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  <w:r w:rsidRPr="00DE2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204C7" w:rsidRPr="00FE4F8E" w:rsidRDefault="00C204C7" w:rsidP="00C204C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204C7" w:rsidRPr="00E91EA8" w:rsidRDefault="00C204C7" w:rsidP="00C204C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A8">
        <w:rPr>
          <w:rFonts w:ascii="Times New Roman" w:hAnsi="Times New Roman"/>
          <w:sz w:val="28"/>
          <w:szCs w:val="28"/>
        </w:rPr>
        <w:t xml:space="preserve">5. Механизм реализации подпрограммы </w:t>
      </w:r>
    </w:p>
    <w:p w:rsidR="00C204C7" w:rsidRPr="00E91EA8" w:rsidRDefault="00C204C7" w:rsidP="00C204C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4C7" w:rsidRDefault="00C204C7" w:rsidP="00C20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проведения основных мероприятий.</w:t>
      </w:r>
    </w:p>
    <w:p w:rsidR="00C204C7" w:rsidRPr="00235C42" w:rsidRDefault="00C204C7" w:rsidP="00C20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Заказчиками подпрограммы являются комитет по охране здоровья администрации города Мурманска, контрольно-счетная палата города Мурманска, Совет депутатов города Мурманска.</w:t>
      </w:r>
    </w:p>
    <w:p w:rsidR="00C204C7" w:rsidRDefault="00C204C7" w:rsidP="00C20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При реализации основных мероприятий заказчики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42">
        <w:rPr>
          <w:rFonts w:ascii="Times New Roman" w:hAnsi="Times New Roman" w:cs="Times New Roman"/>
          <w:sz w:val="28"/>
          <w:szCs w:val="28"/>
        </w:rPr>
        <w:t xml:space="preserve">организуют работу по реализации подпрограммы, определяют по согласованию с заказчиком-координатором плановые показатели </w:t>
      </w:r>
      <w:r>
        <w:rPr>
          <w:rFonts w:ascii="Times New Roman" w:hAnsi="Times New Roman" w:cs="Times New Roman"/>
          <w:sz w:val="28"/>
          <w:szCs w:val="28"/>
        </w:rPr>
        <w:t>ее реализации</w:t>
      </w:r>
      <w:r w:rsidRPr="00235C42">
        <w:rPr>
          <w:rFonts w:ascii="Times New Roman" w:hAnsi="Times New Roman" w:cs="Times New Roman"/>
          <w:sz w:val="28"/>
          <w:szCs w:val="28"/>
        </w:rPr>
        <w:t xml:space="preserve"> и несут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235C42">
        <w:rPr>
          <w:rFonts w:ascii="Times New Roman" w:hAnsi="Times New Roman" w:cs="Times New Roman"/>
          <w:sz w:val="28"/>
          <w:szCs w:val="28"/>
        </w:rPr>
        <w:t xml:space="preserve"> достижение утвержденных показателей и индикаторов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35C42">
        <w:rPr>
          <w:rFonts w:ascii="Times New Roman" w:hAnsi="Times New Roman" w:cs="Times New Roman"/>
          <w:sz w:val="28"/>
          <w:szCs w:val="28"/>
        </w:rPr>
        <w:t xml:space="preserve"> за эффективность использования финансовых средств.</w:t>
      </w:r>
    </w:p>
    <w:p w:rsidR="00C204C7" w:rsidRPr="00235C42" w:rsidRDefault="00C204C7" w:rsidP="00C20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35C42">
        <w:rPr>
          <w:rFonts w:ascii="Times New Roman" w:hAnsi="Times New Roman" w:cs="Times New Roman"/>
          <w:sz w:val="28"/>
          <w:szCs w:val="28"/>
        </w:rPr>
        <w:t>аказчик-координатор подпрограммы:</w:t>
      </w:r>
    </w:p>
    <w:p w:rsidR="00C204C7" w:rsidRPr="00235C42" w:rsidRDefault="00C204C7" w:rsidP="00C20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- обеспечивает реализацию основных мероприятий подпрограммы и координирует деятельность </w:t>
      </w:r>
      <w:r>
        <w:rPr>
          <w:rFonts w:ascii="Times New Roman" w:hAnsi="Times New Roman" w:cs="Times New Roman"/>
          <w:sz w:val="28"/>
          <w:szCs w:val="28"/>
        </w:rPr>
        <w:t>заказчиков</w:t>
      </w:r>
      <w:r w:rsidRPr="00235C42"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C204C7" w:rsidRPr="00235C42" w:rsidRDefault="00C204C7" w:rsidP="00C20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осуществляет мониторинг хода реализации подпрограммы;</w:t>
      </w:r>
    </w:p>
    <w:p w:rsidR="00C204C7" w:rsidRPr="00235C42" w:rsidRDefault="00C204C7" w:rsidP="00C20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планирует основные мероприятия подпрограммы на очередной финансовый год, готовит предложения по корректировке подпрограммы в установленном порядке;</w:t>
      </w:r>
    </w:p>
    <w:p w:rsidR="00C204C7" w:rsidRDefault="00C204C7" w:rsidP="00C20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выполняет иные функции по управлению основными мероприятиями подпрограммы в соответствии с действующим законодательством и подпрограммой.</w:t>
      </w:r>
    </w:p>
    <w:p w:rsidR="00C204C7" w:rsidRDefault="00C204C7" w:rsidP="00C204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745E">
        <w:rPr>
          <w:rFonts w:ascii="Times New Roman" w:hAnsi="Times New Roman"/>
          <w:sz w:val="28"/>
          <w:szCs w:val="28"/>
        </w:rPr>
        <w:t xml:space="preserve">В целях обеспечения оперативного мониторинга выполнения </w:t>
      </w:r>
      <w:r>
        <w:rPr>
          <w:rFonts w:ascii="Times New Roman" w:hAnsi="Times New Roman"/>
          <w:sz w:val="28"/>
          <w:szCs w:val="28"/>
        </w:rPr>
        <w:lastRenderedPageBreak/>
        <w:t>подпрограммы</w:t>
      </w:r>
      <w:r w:rsidRPr="00577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заказчики направляют в адрес заказчика-координатора информацию о</w:t>
      </w:r>
      <w:r w:rsidRPr="0057745E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мероприятий подпрограммы, ответственными за реализацию которых они являются,</w:t>
      </w:r>
      <w:r w:rsidRPr="0057745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первое</w:t>
      </w:r>
      <w:r w:rsidRPr="0057745E">
        <w:rPr>
          <w:rFonts w:ascii="Times New Roman" w:hAnsi="Times New Roman"/>
          <w:sz w:val="28"/>
          <w:szCs w:val="28"/>
        </w:rPr>
        <w:t xml:space="preserve"> полугодие и </w:t>
      </w:r>
      <w:r>
        <w:rPr>
          <w:rFonts w:ascii="Times New Roman" w:hAnsi="Times New Roman"/>
          <w:sz w:val="28"/>
          <w:szCs w:val="28"/>
        </w:rPr>
        <w:t>девять</w:t>
      </w:r>
      <w:r w:rsidRPr="0057745E">
        <w:rPr>
          <w:rFonts w:ascii="Times New Roman" w:hAnsi="Times New Roman"/>
          <w:sz w:val="28"/>
          <w:szCs w:val="28"/>
        </w:rPr>
        <w:t xml:space="preserve"> месяцев текущего года (нарастающим итогом с начала года) в срок до </w:t>
      </w:r>
      <w:r>
        <w:rPr>
          <w:rFonts w:ascii="Times New Roman" w:hAnsi="Times New Roman"/>
          <w:sz w:val="28"/>
          <w:szCs w:val="28"/>
        </w:rPr>
        <w:t>15</w:t>
      </w:r>
      <w:r w:rsidRPr="0057745E">
        <w:rPr>
          <w:rFonts w:ascii="Times New Roman" w:hAnsi="Times New Roman"/>
          <w:sz w:val="28"/>
          <w:szCs w:val="28"/>
        </w:rPr>
        <w:t xml:space="preserve"> числа месяца, следующего за соответствующим отчетным периодом, на бумажном и электронном носителях</w:t>
      </w:r>
      <w:r>
        <w:rPr>
          <w:rFonts w:ascii="Times New Roman" w:hAnsi="Times New Roman"/>
          <w:sz w:val="28"/>
          <w:szCs w:val="28"/>
        </w:rPr>
        <w:t>.</w:t>
      </w:r>
    </w:p>
    <w:p w:rsidR="00C204C7" w:rsidRDefault="00C204C7" w:rsidP="00C204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7745E">
        <w:rPr>
          <w:rFonts w:ascii="Times New Roman" w:hAnsi="Times New Roman"/>
          <w:sz w:val="28"/>
          <w:szCs w:val="28"/>
        </w:rPr>
        <w:t xml:space="preserve">Заказчик-координатор </w:t>
      </w:r>
      <w:r>
        <w:rPr>
          <w:rFonts w:ascii="Times New Roman" w:hAnsi="Times New Roman"/>
          <w:sz w:val="28"/>
          <w:szCs w:val="28"/>
        </w:rPr>
        <w:t xml:space="preserve">готовит сводный отчет о реализации подпрограммы и направляет его в составе </w:t>
      </w:r>
      <w:hyperlink w:anchor="Par723" w:history="1">
        <w:r w:rsidRPr="0057745E">
          <w:rPr>
            <w:rFonts w:ascii="Times New Roman" w:hAnsi="Times New Roman"/>
            <w:sz w:val="28"/>
            <w:szCs w:val="28"/>
          </w:rPr>
          <w:t>отчет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57745E">
        <w:rPr>
          <w:rFonts w:ascii="Times New Roman" w:hAnsi="Times New Roman"/>
          <w:sz w:val="28"/>
          <w:szCs w:val="28"/>
        </w:rPr>
        <w:t xml:space="preserve"> о реализации муниципальной программы за </w:t>
      </w:r>
      <w:r>
        <w:rPr>
          <w:rFonts w:ascii="Times New Roman" w:hAnsi="Times New Roman"/>
          <w:sz w:val="28"/>
          <w:szCs w:val="28"/>
        </w:rPr>
        <w:t>первое</w:t>
      </w:r>
      <w:r w:rsidRPr="0057745E">
        <w:rPr>
          <w:rFonts w:ascii="Times New Roman" w:hAnsi="Times New Roman"/>
          <w:sz w:val="28"/>
          <w:szCs w:val="28"/>
        </w:rPr>
        <w:t xml:space="preserve"> полугодие и </w:t>
      </w:r>
      <w:r>
        <w:rPr>
          <w:rFonts w:ascii="Times New Roman" w:hAnsi="Times New Roman"/>
          <w:sz w:val="28"/>
          <w:szCs w:val="28"/>
        </w:rPr>
        <w:t>девять</w:t>
      </w:r>
      <w:r w:rsidRPr="0057745E">
        <w:rPr>
          <w:rFonts w:ascii="Times New Roman" w:hAnsi="Times New Roman"/>
          <w:sz w:val="28"/>
          <w:szCs w:val="28"/>
        </w:rPr>
        <w:t xml:space="preserve"> месяцев текущего года в комитет по экономическому развитию администрации города Мурманска</w:t>
      </w:r>
      <w:r>
        <w:rPr>
          <w:rFonts w:ascii="Times New Roman" w:hAnsi="Times New Roman"/>
          <w:sz w:val="28"/>
          <w:szCs w:val="28"/>
        </w:rPr>
        <w:t>.</w:t>
      </w:r>
    </w:p>
    <w:p w:rsidR="00C204C7" w:rsidRDefault="00C204C7" w:rsidP="00C204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5150">
        <w:rPr>
          <w:rFonts w:ascii="Times New Roman" w:hAnsi="Times New Roman"/>
          <w:sz w:val="28"/>
          <w:szCs w:val="28"/>
        </w:rPr>
        <w:t xml:space="preserve">В целях обеспечения программного мониторинга </w:t>
      </w:r>
      <w:r w:rsidRPr="0057745E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577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заказчики</w:t>
      </w:r>
      <w:r w:rsidRPr="002A5150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я</w:t>
      </w:r>
      <w:r w:rsidRPr="002A515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информацию о реализации мероприятий подпрограммы, ответственными за реализацию которых они являются,</w:t>
      </w:r>
      <w:r w:rsidRPr="00577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направляют ее заказчику-координатору</w:t>
      </w:r>
      <w:r w:rsidRPr="002A5150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25</w:t>
      </w:r>
      <w:r w:rsidRPr="002A5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2A5150">
        <w:rPr>
          <w:rFonts w:ascii="Times New Roman" w:hAnsi="Times New Roman"/>
          <w:sz w:val="28"/>
          <w:szCs w:val="28"/>
        </w:rPr>
        <w:t xml:space="preserve"> года, следующего за отчетным</w:t>
      </w:r>
      <w:r>
        <w:rPr>
          <w:rFonts w:ascii="Times New Roman" w:hAnsi="Times New Roman"/>
          <w:sz w:val="28"/>
          <w:szCs w:val="28"/>
        </w:rPr>
        <w:t>.</w:t>
      </w:r>
    </w:p>
    <w:p w:rsidR="00C204C7" w:rsidRDefault="00C204C7" w:rsidP="00C204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A5150">
        <w:rPr>
          <w:rFonts w:ascii="Times New Roman" w:hAnsi="Times New Roman"/>
          <w:sz w:val="28"/>
          <w:szCs w:val="28"/>
        </w:rPr>
        <w:t xml:space="preserve">аказчик-координатор </w:t>
      </w:r>
      <w:r>
        <w:rPr>
          <w:rFonts w:ascii="Times New Roman" w:hAnsi="Times New Roman"/>
          <w:sz w:val="28"/>
          <w:szCs w:val="28"/>
        </w:rPr>
        <w:t>под</w:t>
      </w:r>
      <w:r w:rsidRPr="002A5150">
        <w:rPr>
          <w:rFonts w:ascii="Times New Roman" w:hAnsi="Times New Roman"/>
          <w:sz w:val="28"/>
          <w:szCs w:val="28"/>
        </w:rPr>
        <w:t xml:space="preserve">программы ежегодно готовит </w:t>
      </w:r>
      <w:r>
        <w:rPr>
          <w:rFonts w:ascii="Times New Roman" w:hAnsi="Times New Roman"/>
          <w:sz w:val="28"/>
          <w:szCs w:val="28"/>
        </w:rPr>
        <w:t>сводный годовой отчет о реализации подпрограммы и направляет его в составе</w:t>
      </w:r>
      <w:r w:rsidRPr="002A5150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ого</w:t>
      </w:r>
      <w:r w:rsidRPr="002A515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2A5150">
        <w:rPr>
          <w:rFonts w:ascii="Times New Roman" w:hAnsi="Times New Roman"/>
          <w:sz w:val="28"/>
          <w:szCs w:val="28"/>
        </w:rPr>
        <w:t xml:space="preserve"> о ходе реализации муниципальной программы в срок до 05 февраля года, следующего за отчетным, в комитет по экономическому развитию администрации города Мурманска. </w:t>
      </w:r>
    </w:p>
    <w:p w:rsidR="00C204C7" w:rsidRDefault="00C204C7" w:rsidP="00C204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A5150">
        <w:rPr>
          <w:rFonts w:ascii="Times New Roman" w:hAnsi="Times New Roman"/>
          <w:sz w:val="28"/>
          <w:szCs w:val="28"/>
        </w:rPr>
        <w:t xml:space="preserve">Объемы финансирования подпрограммы </w:t>
      </w:r>
      <w:r>
        <w:rPr>
          <w:rFonts w:ascii="Times New Roman" w:hAnsi="Times New Roman"/>
          <w:sz w:val="28"/>
          <w:szCs w:val="28"/>
        </w:rPr>
        <w:t xml:space="preserve">и значения </w:t>
      </w:r>
      <w:r w:rsidRPr="00235C42">
        <w:rPr>
          <w:rFonts w:ascii="Times New Roman" w:hAnsi="Times New Roman" w:cs="Times New Roman"/>
          <w:sz w:val="28"/>
          <w:szCs w:val="28"/>
        </w:rPr>
        <w:t>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35C4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235C42">
        <w:rPr>
          <w:rFonts w:ascii="Times New Roman" w:hAnsi="Times New Roman" w:cs="Times New Roman"/>
          <w:sz w:val="28"/>
          <w:szCs w:val="28"/>
        </w:rPr>
        <w:t>(индикатор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35C42">
        <w:rPr>
          <w:rFonts w:ascii="Times New Roman" w:hAnsi="Times New Roman" w:cs="Times New Roman"/>
          <w:sz w:val="28"/>
          <w:szCs w:val="28"/>
        </w:rPr>
        <w:t>) реализации подпрограммы</w:t>
      </w:r>
      <w:r w:rsidRPr="002A5150">
        <w:rPr>
          <w:rFonts w:ascii="Times New Roman" w:hAnsi="Times New Roman"/>
          <w:sz w:val="28"/>
          <w:szCs w:val="28"/>
        </w:rPr>
        <w:t xml:space="preserve"> подлежат уточнению в установленном порядке при формировании бюджета на соответствующий год.</w:t>
      </w:r>
    </w:p>
    <w:p w:rsidR="00C204C7" w:rsidRDefault="00C204C7" w:rsidP="00C204C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04C7" w:rsidRPr="004D1235" w:rsidRDefault="00C204C7" w:rsidP="00C204C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D1235">
        <w:rPr>
          <w:rFonts w:ascii="Times New Roman" w:hAnsi="Times New Roman"/>
          <w:sz w:val="28"/>
          <w:szCs w:val="28"/>
        </w:rPr>
        <w:t xml:space="preserve">. Оценка эффективности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271926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4D1235">
        <w:rPr>
          <w:rFonts w:ascii="Times New Roman" w:hAnsi="Times New Roman"/>
          <w:sz w:val="28"/>
          <w:szCs w:val="28"/>
        </w:rPr>
        <w:t>, рисков ее реализации</w:t>
      </w:r>
    </w:p>
    <w:p w:rsidR="00C204C7" w:rsidRPr="004D1235" w:rsidRDefault="00C204C7" w:rsidP="00C204C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04C7" w:rsidRPr="004D1235" w:rsidRDefault="00C204C7" w:rsidP="00C204C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235">
        <w:rPr>
          <w:rFonts w:ascii="Times New Roman" w:hAnsi="Times New Roman"/>
          <w:sz w:val="28"/>
          <w:szCs w:val="28"/>
        </w:rPr>
        <w:t>В результате реализации программных мероприятий к концу 20</w:t>
      </w:r>
      <w:r>
        <w:rPr>
          <w:rFonts w:ascii="Times New Roman" w:hAnsi="Times New Roman"/>
          <w:sz w:val="28"/>
          <w:szCs w:val="28"/>
        </w:rPr>
        <w:t>24</w:t>
      </w:r>
      <w:r w:rsidRPr="004D1235">
        <w:rPr>
          <w:rFonts w:ascii="Times New Roman" w:hAnsi="Times New Roman"/>
          <w:sz w:val="28"/>
          <w:szCs w:val="28"/>
        </w:rPr>
        <w:t xml:space="preserve"> года ожидается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469">
        <w:rPr>
          <w:rFonts w:ascii="Times New Roman" w:hAnsi="Times New Roman"/>
          <w:sz w:val="28"/>
          <w:szCs w:val="28"/>
        </w:rPr>
        <w:t>снижени</w:t>
      </w:r>
      <w:r>
        <w:rPr>
          <w:rFonts w:ascii="Times New Roman" w:hAnsi="Times New Roman"/>
          <w:sz w:val="28"/>
          <w:szCs w:val="28"/>
        </w:rPr>
        <w:t>е</w:t>
      </w:r>
      <w:r w:rsidRPr="00F43469">
        <w:rPr>
          <w:rFonts w:ascii="Times New Roman" w:hAnsi="Times New Roman"/>
          <w:sz w:val="28"/>
          <w:szCs w:val="28"/>
        </w:rPr>
        <w:t xml:space="preserve"> заболеваемости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4346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лужащих</w:t>
      </w:r>
      <w:r w:rsidRPr="00F43469">
        <w:rPr>
          <w:rFonts w:ascii="Times New Roman" w:hAnsi="Times New Roman"/>
          <w:sz w:val="28"/>
          <w:szCs w:val="28"/>
        </w:rPr>
        <w:t>, укреплени</w:t>
      </w:r>
      <w:r>
        <w:rPr>
          <w:rFonts w:ascii="Times New Roman" w:hAnsi="Times New Roman"/>
          <w:sz w:val="28"/>
          <w:szCs w:val="28"/>
        </w:rPr>
        <w:t>е</w:t>
      </w:r>
      <w:r w:rsidRPr="00F43469">
        <w:rPr>
          <w:rFonts w:ascii="Times New Roman" w:hAnsi="Times New Roman"/>
          <w:sz w:val="28"/>
          <w:szCs w:val="28"/>
        </w:rPr>
        <w:t xml:space="preserve"> и сохранени</w:t>
      </w:r>
      <w:r>
        <w:rPr>
          <w:rFonts w:ascii="Times New Roman" w:hAnsi="Times New Roman"/>
          <w:sz w:val="28"/>
          <w:szCs w:val="28"/>
        </w:rPr>
        <w:t>е</w:t>
      </w:r>
      <w:r w:rsidRPr="00F43469">
        <w:rPr>
          <w:rFonts w:ascii="Times New Roman" w:hAnsi="Times New Roman"/>
          <w:sz w:val="28"/>
          <w:szCs w:val="28"/>
        </w:rPr>
        <w:t xml:space="preserve"> их здоровья.</w:t>
      </w:r>
    </w:p>
    <w:p w:rsidR="00C204C7" w:rsidRPr="00D61829" w:rsidRDefault="00C204C7" w:rsidP="00C204C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829">
        <w:rPr>
          <w:rFonts w:ascii="Times New Roman" w:hAnsi="Times New Roman"/>
          <w:sz w:val="28"/>
          <w:szCs w:val="28"/>
        </w:rPr>
        <w:t xml:space="preserve">На достижение цели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271926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D61829">
        <w:rPr>
          <w:rFonts w:ascii="Times New Roman" w:hAnsi="Times New Roman"/>
          <w:sz w:val="28"/>
          <w:szCs w:val="28"/>
        </w:rPr>
        <w:t xml:space="preserve">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C204C7" w:rsidRPr="00D61829" w:rsidRDefault="00C204C7" w:rsidP="00C204C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829">
        <w:rPr>
          <w:rFonts w:ascii="Times New Roman" w:hAnsi="Times New Roman"/>
          <w:sz w:val="28"/>
          <w:szCs w:val="28"/>
        </w:rPr>
        <w:t>К внешним рискам следует отнести увеличение цен, изменение законодательства, сокращение бюджетного финансирования.</w:t>
      </w:r>
    </w:p>
    <w:p w:rsidR="00C204C7" w:rsidRPr="00D61829" w:rsidRDefault="00C204C7" w:rsidP="00C204C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829">
        <w:rPr>
          <w:rFonts w:ascii="Times New Roman" w:hAnsi="Times New Roman"/>
          <w:sz w:val="28"/>
          <w:szCs w:val="28"/>
        </w:rPr>
        <w:t>К внутренним рискам следует отнести:</w:t>
      </w:r>
    </w:p>
    <w:p w:rsidR="00C204C7" w:rsidRPr="00D61829" w:rsidRDefault="00C204C7" w:rsidP="00C204C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829">
        <w:rPr>
          <w:rFonts w:ascii="Times New Roman" w:hAnsi="Times New Roman"/>
          <w:sz w:val="28"/>
          <w:szCs w:val="28"/>
        </w:rPr>
        <w:t>- риск неисполнения условий контракта. В процессе конкурсного отбора победителем аукциона на оказание услуг может стать организация, с которой в дальнейшем возможно расторжение контракта из-за неисполнения (или ненадлежащего исполнения) условий контракта;</w:t>
      </w:r>
    </w:p>
    <w:p w:rsidR="00C204C7" w:rsidRPr="00D61829" w:rsidRDefault="00C204C7" w:rsidP="00C204C7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829">
        <w:rPr>
          <w:rFonts w:ascii="Times New Roman" w:hAnsi="Times New Roman"/>
          <w:sz w:val="28"/>
          <w:szCs w:val="28"/>
        </w:rPr>
        <w:t xml:space="preserve">- риск </w:t>
      </w:r>
      <w:r>
        <w:rPr>
          <w:rFonts w:ascii="Times New Roman" w:hAnsi="Times New Roman"/>
          <w:sz w:val="28"/>
          <w:szCs w:val="28"/>
        </w:rPr>
        <w:t xml:space="preserve">признания несостоявшимся </w:t>
      </w:r>
      <w:r w:rsidRPr="00D61829">
        <w:rPr>
          <w:rFonts w:ascii="Times New Roman" w:hAnsi="Times New Roman"/>
          <w:sz w:val="28"/>
          <w:szCs w:val="28"/>
        </w:rPr>
        <w:t>аукциона для выполнения работ по оказанию услуг.</w:t>
      </w:r>
    </w:p>
    <w:p w:rsidR="00C204C7" w:rsidRDefault="00C204C7" w:rsidP="00C204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минимизации рисков предлагается при заключении муниципальных контрактов на оказание услуг по организации проведения диспансеризации муниципальных служащих предусматривать штрафные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санкции или другие меры ответственности за неисполнение договорных обязательств; осуществлять мониторинг выполнения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271926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регулярный анализ выполнения показателей и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271926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необходимости их корректировку.</w:t>
      </w:r>
    </w:p>
    <w:p w:rsidR="0014407F" w:rsidRDefault="00C204C7">
      <w:bookmarkStart w:id="2" w:name="_GoBack"/>
      <w:bookmarkEnd w:id="2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A7"/>
    <w:rsid w:val="000D2633"/>
    <w:rsid w:val="008426CA"/>
    <w:rsid w:val="00C204C7"/>
    <w:rsid w:val="00F8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13847-33B9-4C9D-A800-7146F59A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C204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C20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04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2022-01-13T14:19:00Z</dcterms:created>
  <dcterms:modified xsi:type="dcterms:W3CDTF">2022-01-13T14:19:00Z</dcterms:modified>
</cp:coreProperties>
</file>