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23" w:rsidRPr="00CB7011" w:rsidRDefault="00F13E23" w:rsidP="00F13E23">
      <w:pPr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>
        <w:rPr>
          <w:szCs w:val="28"/>
          <w:lang w:eastAsia="en-US"/>
        </w:rPr>
        <w:t>лнительного образования» на 2018</w:t>
      </w:r>
      <w:r w:rsidRPr="00CB7011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2024</w:t>
      </w:r>
      <w:r w:rsidRPr="00CB7011">
        <w:rPr>
          <w:szCs w:val="28"/>
          <w:lang w:eastAsia="en-US"/>
        </w:rPr>
        <w:t xml:space="preserve"> годы </w:t>
      </w:r>
    </w:p>
    <w:p w:rsidR="00F13E23" w:rsidRDefault="00F13E23" w:rsidP="00F13E23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F13E23" w:rsidRPr="00CB7011" w:rsidRDefault="00F13E23" w:rsidP="00F13E2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F13E23" w:rsidRPr="00CB7011" w:rsidRDefault="00F13E23" w:rsidP="00F13E2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F13E23" w:rsidRPr="00CB7011" w:rsidTr="00B0399A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F13E23" w:rsidRPr="00CB7011" w:rsidTr="00B039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F13E23" w:rsidRPr="00CB7011" w:rsidTr="00B039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13E23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13E23" w:rsidRPr="00F577F6" w:rsidRDefault="00F13E23" w:rsidP="00B0399A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13E23" w:rsidRPr="00F577F6" w:rsidRDefault="00F13E23" w:rsidP="00B0399A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>(в расче</w:t>
            </w:r>
            <w:r>
              <w:rPr>
                <w:szCs w:val="28"/>
                <w:lang w:eastAsia="en-US"/>
              </w:rPr>
              <w:t>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>
              <w:rPr>
                <w:szCs w:val="28"/>
                <w:lang w:eastAsia="en-US"/>
              </w:rPr>
              <w:t xml:space="preserve"> ЕГЭ,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13E23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</w:t>
            </w:r>
            <w:r w:rsidRPr="008302EA">
              <w:rPr>
                <w:szCs w:val="28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F13E23" w:rsidRPr="008302EA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F13E23" w:rsidRPr="00CB7011" w:rsidTr="00B039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F13E23" w:rsidRPr="00CB7011" w:rsidTr="00B0399A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F13E23" w:rsidRPr="00CB7011" w:rsidTr="00B0399A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0A78F9" w:rsidRDefault="00F13E23" w:rsidP="00B03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Всего по подпрограмме: 30 156 393,0 тыс. руб., в т.ч.: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МБ: 12 213 208,5 тыс. руб., из них: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2018 год – 1 462 467,0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2019 год – 1 609 672,0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2020 год – 1 645 955,3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2021 год – 1 785 296,7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2022 год – 1 848 608,1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2023 год – 1 901 508,3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2024 год – 1 959 701,1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ОБ: 17 019 529,9 тыс. руб., из них: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2018 год – 2 165 761,4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2019 год – 2 223 824,6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2020 год – 2 299 637,7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2021 год – 2 521 504,5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2022 год – 2 554 492,4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2023 год – 2 588 421,1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2024 год – 2 665 888,2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ФБ: 923 654,6 тыс. руб., из них: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lastRenderedPageBreak/>
              <w:t>2020 год – 70 693,4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2021 год – 212 080,2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2022 год – 213 627,0 тыс. руб.;</w:t>
            </w:r>
          </w:p>
          <w:p w:rsidR="00F13E23" w:rsidRDefault="00F13E23" w:rsidP="00B0399A">
            <w:pPr>
              <w:tabs>
                <w:tab w:val="left" w:pos="709"/>
              </w:tabs>
              <w:jc w:val="both"/>
            </w:pPr>
            <w:r>
              <w:t>2023 год – 213 627,0 тыс. руб.;</w:t>
            </w:r>
          </w:p>
          <w:p w:rsidR="00F13E23" w:rsidRPr="000A78F9" w:rsidRDefault="00F13E23" w:rsidP="00B0399A">
            <w:pPr>
              <w:tabs>
                <w:tab w:val="left" w:pos="709"/>
              </w:tabs>
              <w:jc w:val="both"/>
            </w:pPr>
            <w:r>
              <w:t>2024 год – 213 627,0 тыс. руб.</w:t>
            </w:r>
          </w:p>
        </w:tc>
      </w:tr>
      <w:tr w:rsidR="00F13E23" w:rsidRPr="00CB7011" w:rsidTr="00B0399A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CB7011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004F8D">
              <w:rPr>
                <w:szCs w:val="28"/>
                <w:lang w:eastAsia="en-US"/>
              </w:rPr>
              <w:t xml:space="preserve">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F13E23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F13E23" w:rsidRPr="00F577F6" w:rsidRDefault="00F13E23" w:rsidP="00B0399A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F13E23" w:rsidRPr="00F577F6" w:rsidRDefault="00F13E23" w:rsidP="00B0399A">
            <w:pPr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 xml:space="preserve">тношение среднего балла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</w:t>
            </w:r>
            <w:r>
              <w:rPr>
                <w:szCs w:val="28"/>
              </w:rPr>
              <w:t xml:space="preserve">один </w:t>
            </w:r>
            <w:r w:rsidRPr="00004F8D">
              <w:rPr>
                <w:szCs w:val="28"/>
              </w:rPr>
              <w:t xml:space="preserve">предмет) в 10% школ с худшими результатами </w:t>
            </w:r>
            <w:r>
              <w:rPr>
                <w:szCs w:val="28"/>
              </w:rPr>
              <w:t>ЕГЭ – 1,3%;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F13E23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>ков такой категории – 100,0 %;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</w:t>
            </w:r>
            <w:r w:rsidRPr="00004F8D">
              <w:rPr>
                <w:szCs w:val="28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F13E23" w:rsidRPr="00004F8D" w:rsidRDefault="00F13E23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F13E23" w:rsidRPr="00CB7011" w:rsidRDefault="00F13E23" w:rsidP="00B0399A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>ормирование услови</w:t>
            </w:r>
            <w:r>
              <w:rPr>
                <w:szCs w:val="28"/>
                <w:lang w:eastAsia="en-US"/>
              </w:rPr>
              <w:t xml:space="preserve">й, обеспечивающих соответствие ОУ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,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F13E23" w:rsidRDefault="00F13E23" w:rsidP="00F13E23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F13E23" w:rsidRPr="00111E73" w:rsidRDefault="00F13E23" w:rsidP="00F13E23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F13E23" w:rsidRPr="00111E73" w:rsidRDefault="00F13E23" w:rsidP="00F13E23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F13E23" w:rsidRPr="00111E73" w:rsidRDefault="00F13E23" w:rsidP="00F13E23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F13E23" w:rsidRPr="00111E73" w:rsidRDefault="00F13E23" w:rsidP="00F13E23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F13E23" w:rsidRPr="00111E73" w:rsidRDefault="00F13E23" w:rsidP="00F13E23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F13E23" w:rsidRPr="00111E73" w:rsidRDefault="00F13E23" w:rsidP="00F13E23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</w:t>
      </w:r>
      <w:r>
        <w:rPr>
          <w:szCs w:val="28"/>
          <w:lang w:eastAsia="ar-SA"/>
        </w:rPr>
        <w:t xml:space="preserve">город Мурманск </w:t>
      </w:r>
      <w:r w:rsidRPr="00111E73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13E23" w:rsidRPr="00111E73" w:rsidRDefault="00F13E23" w:rsidP="00F13E23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 2010 года в Мурманске осуществляется введение </w:t>
      </w:r>
      <w:r>
        <w:rPr>
          <w:rFonts w:eastAsia="Calibri"/>
          <w:szCs w:val="28"/>
          <w:lang w:eastAsia="en-US"/>
        </w:rPr>
        <w:t xml:space="preserve">ФГОС </w:t>
      </w:r>
      <w:r w:rsidRPr="00111E73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общеобразовательных учреждениях</w:t>
      </w:r>
      <w:r w:rsidRPr="00111E73">
        <w:rPr>
          <w:rFonts w:eastAsia="Calibri"/>
          <w:szCs w:val="28"/>
          <w:lang w:eastAsia="en-US"/>
        </w:rPr>
        <w:t xml:space="preserve">. В 2015 году ФГОС реализован на всем уровне начального общего образования, а с 2014 года начался поэтапный </w:t>
      </w:r>
      <w:r w:rsidRPr="00111E73">
        <w:rPr>
          <w:rFonts w:eastAsia="Calibri"/>
          <w:szCs w:val="28"/>
          <w:lang w:eastAsia="en-US"/>
        </w:rPr>
        <w:lastRenderedPageBreak/>
        <w:t>переход на ФГОС основного общего образования.</w:t>
      </w:r>
    </w:p>
    <w:p w:rsidR="00F13E23" w:rsidRPr="00111E73" w:rsidRDefault="00F13E23" w:rsidP="00F13E23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F13E23" w:rsidRPr="00111E73" w:rsidRDefault="00F13E23" w:rsidP="00F13E23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13E23" w:rsidRPr="00111E73" w:rsidRDefault="00F13E23" w:rsidP="00F13E2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</w:t>
      </w:r>
      <w:r>
        <w:rPr>
          <w:rFonts w:eastAsia="Calibri"/>
          <w:szCs w:val="28"/>
          <w:lang w:eastAsia="en-US"/>
        </w:rPr>
        <w:t>МБОУ;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F13E23" w:rsidRPr="00111E73" w:rsidRDefault="00F13E23" w:rsidP="00F13E2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</w:t>
      </w:r>
      <w:r>
        <w:rPr>
          <w:rFonts w:eastAsia="Calibri"/>
          <w:szCs w:val="28"/>
          <w:lang w:eastAsia="en-US"/>
        </w:rPr>
        <w:t>МДОУ;</w:t>
      </w:r>
      <w:r w:rsidRPr="00111E73">
        <w:rPr>
          <w:rFonts w:eastAsia="Calibri"/>
          <w:szCs w:val="28"/>
          <w:lang w:eastAsia="en-US"/>
        </w:rPr>
        <w:t xml:space="preserve"> </w:t>
      </w:r>
    </w:p>
    <w:p w:rsidR="00F13E23" w:rsidRPr="00111E73" w:rsidRDefault="00F13E23" w:rsidP="00F13E23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F13E23" w:rsidRPr="00111E73" w:rsidRDefault="00F13E23" w:rsidP="00F13E23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F13E23" w:rsidRPr="00111E73" w:rsidRDefault="00F13E23" w:rsidP="00F13E23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</w:t>
      </w:r>
      <w:r>
        <w:rPr>
          <w:szCs w:val="28"/>
          <w:lang w:eastAsia="en-US"/>
        </w:rPr>
        <w:t xml:space="preserve">нительных образовательных услуг </w:t>
      </w:r>
      <w:r w:rsidRPr="00E96B0D">
        <w:rPr>
          <w:szCs w:val="28"/>
          <w:lang w:eastAsia="en-US"/>
        </w:rPr>
        <w:t xml:space="preserve">– </w:t>
      </w:r>
      <w:r w:rsidRPr="00111E73">
        <w:rPr>
          <w:szCs w:val="28"/>
          <w:lang w:eastAsia="en-US"/>
        </w:rPr>
        <w:t>увеличение количества объединений технической и естественно</w:t>
      </w:r>
      <w:r>
        <w:rPr>
          <w:szCs w:val="28"/>
          <w:lang w:eastAsia="en-US"/>
        </w:rPr>
        <w:t>-</w:t>
      </w:r>
      <w:r w:rsidRPr="00111E73">
        <w:rPr>
          <w:szCs w:val="28"/>
          <w:lang w:eastAsia="en-US"/>
        </w:rPr>
        <w:t>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F13E23" w:rsidRPr="00111E73" w:rsidRDefault="00F13E23" w:rsidP="00F13E23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соответствии с общими приоритетными направлениями системы дополнител</w:t>
      </w:r>
      <w:r>
        <w:rPr>
          <w:szCs w:val="28"/>
          <w:lang w:eastAsia="en-US"/>
        </w:rPr>
        <w:t>ьного образования в Российской Федерации, закрепленными в частности</w:t>
      </w:r>
      <w:r w:rsidRPr="00111E73">
        <w:rPr>
          <w:szCs w:val="28"/>
          <w:lang w:eastAsia="en-US"/>
        </w:rPr>
        <w:t xml:space="preserve">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Минпросвещения России от 03.09.2019 № 467 «Об утверждении Целевой модели развития региональных систем дополнительного образования детей», в целях </w:t>
      </w:r>
      <w:r w:rsidRPr="00111E73">
        <w:rPr>
          <w:szCs w:val="28"/>
          <w:lang w:eastAsia="en-US"/>
        </w:rPr>
        <w:lastRenderedPageBreak/>
        <w:t>обеспечения равной доступности качественного дополнительного образования для детей в муниципальном образовании город Мурманск с 2020 года реализуется система персонифицированного финансирования дополнительного образования</w:t>
      </w:r>
      <w:r>
        <w:rPr>
          <w:szCs w:val="28"/>
          <w:lang w:eastAsia="en-US"/>
        </w:rPr>
        <w:t>, подразумевающая предоставление</w:t>
      </w:r>
      <w:r w:rsidRPr="00111E73">
        <w:rPr>
          <w:szCs w:val="28"/>
          <w:lang w:eastAsia="en-US"/>
        </w:rPr>
        <w:t xml:space="preserve">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>
        <w:rPr>
          <w:szCs w:val="28"/>
          <w:lang w:eastAsia="en-US"/>
        </w:rPr>
        <w:t xml:space="preserve">КО </w:t>
      </w:r>
      <w:r w:rsidRPr="00111E73">
        <w:rPr>
          <w:szCs w:val="28"/>
          <w:lang w:eastAsia="en-US"/>
        </w:rPr>
        <w:t>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F13E23" w:rsidRDefault="00F13E23" w:rsidP="00F13E23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F13E23" w:rsidRDefault="00F13E23" w:rsidP="00F13E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F13E23" w:rsidRDefault="00F13E23" w:rsidP="00F13E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F13E23" w:rsidRPr="00F2347E" w:rsidRDefault="00F13E23" w:rsidP="00F13E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936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556"/>
        <w:gridCol w:w="567"/>
        <w:gridCol w:w="567"/>
        <w:gridCol w:w="567"/>
        <w:gridCol w:w="567"/>
        <w:gridCol w:w="567"/>
        <w:gridCol w:w="567"/>
      </w:tblGrid>
      <w:tr w:rsidR="00F13E23" w:rsidRPr="00F2347E" w:rsidTr="00B0399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13E23" w:rsidRPr="00F2347E" w:rsidTr="00B0399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13E23" w:rsidRPr="00F2347E" w:rsidTr="00B0399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F13E23" w:rsidRPr="00F2347E" w:rsidRDefault="00F13E23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13E23" w:rsidRPr="00F2347E" w:rsidTr="00B0399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9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F13E23" w:rsidRPr="00F2347E" w:rsidTr="00B0399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13E23" w:rsidRPr="00F2347E" w:rsidTr="00B0399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</w:t>
            </w:r>
            <w:r>
              <w:rPr>
                <w:sz w:val="18"/>
                <w:szCs w:val="18"/>
              </w:rPr>
              <w:t xml:space="preserve"> ЕГЭ</w:t>
            </w:r>
            <w:r w:rsidRPr="00F2347E">
              <w:rPr>
                <w:sz w:val="18"/>
                <w:szCs w:val="18"/>
              </w:rPr>
              <w:t>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 xml:space="preserve">оля детей в возрасте 5-18 лет, получающих дополнительное образование с использованием сертификата дополнительного образования, в общей </w:t>
            </w:r>
            <w:r w:rsidRPr="000F3801">
              <w:rPr>
                <w:sz w:val="18"/>
                <w:szCs w:val="18"/>
              </w:rPr>
              <w:lastRenderedPageBreak/>
              <w:t>численности детей, получающих 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505326" w:rsidRDefault="00F13E23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 xml:space="preserve">Отношение среднего балла </w:t>
            </w:r>
            <w:r>
              <w:rPr>
                <w:sz w:val="18"/>
                <w:szCs w:val="18"/>
              </w:rPr>
              <w:t xml:space="preserve">ЕГЭ </w:t>
            </w:r>
            <w:r w:rsidRPr="00F2347E">
              <w:rPr>
                <w:sz w:val="18"/>
                <w:szCs w:val="18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>
              <w:rPr>
                <w:sz w:val="18"/>
                <w:szCs w:val="18"/>
              </w:rPr>
              <w:t>ЕГЭ (в расчете на один</w:t>
            </w:r>
            <w:r w:rsidRPr="00F2347E">
              <w:rPr>
                <w:sz w:val="18"/>
                <w:szCs w:val="18"/>
              </w:rPr>
              <w:t xml:space="preserve"> предмет) в 10% школ с худшими результатами </w:t>
            </w:r>
            <w:r>
              <w:rPr>
                <w:sz w:val="18"/>
                <w:szCs w:val="18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 xml:space="preserve">Отношение средней заработной платы педагогических работников </w:t>
            </w:r>
            <w:r>
              <w:rPr>
                <w:sz w:val="18"/>
                <w:szCs w:val="18"/>
              </w:rPr>
              <w:t xml:space="preserve">ОУ </w:t>
            </w:r>
            <w:r w:rsidRPr="00F2347E">
              <w:rPr>
                <w:sz w:val="18"/>
                <w:szCs w:val="18"/>
              </w:rPr>
              <w:t>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F13E23" w:rsidRPr="00432802" w:rsidRDefault="00F13E23" w:rsidP="00B039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</w:t>
            </w:r>
            <w:r>
              <w:rPr>
                <w:sz w:val="18"/>
                <w:szCs w:val="18"/>
              </w:rPr>
              <w:t xml:space="preserve"> ОУ</w:t>
            </w:r>
            <w:r w:rsidRPr="00432802">
              <w:rPr>
                <w:sz w:val="18"/>
                <w:szCs w:val="18"/>
              </w:rPr>
              <w:t>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432802" w:rsidRDefault="00F13E23" w:rsidP="00B0399A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F13E23" w:rsidRPr="00F2347E" w:rsidTr="00B0399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Формирование условий, обеспечивающих соответствие </w:t>
            </w:r>
            <w:r>
              <w:rPr>
                <w:sz w:val="18"/>
                <w:szCs w:val="18"/>
                <w:lang w:eastAsia="en-US"/>
              </w:rPr>
              <w:t xml:space="preserve">ОУ </w:t>
            </w:r>
            <w:r w:rsidRPr="00F2347E">
              <w:rPr>
                <w:sz w:val="18"/>
                <w:szCs w:val="18"/>
                <w:lang w:eastAsia="en-US"/>
              </w:rPr>
              <w:t>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2347E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F13E23" w:rsidRPr="003D1710" w:rsidRDefault="00F13E23" w:rsidP="00F13E23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F13E23" w:rsidRPr="003D1710" w:rsidSect="006D4074">
          <w:headerReference w:type="even" r:id="rId5"/>
          <w:headerReference w:type="default" r:id="rId6"/>
          <w:footerReference w:type="even" r:id="rId7"/>
          <w:footerReference w:type="default" r:id="rId8"/>
          <w:pgSz w:w="11905" w:h="16837" w:code="9"/>
          <w:pgMar w:top="1134" w:right="567" w:bottom="1134" w:left="1701" w:header="720" w:footer="720" w:gutter="0"/>
          <w:pgNumType w:start="64"/>
          <w:cols w:space="60"/>
          <w:noEndnote/>
          <w:docGrid w:linePitch="381"/>
        </w:sectPr>
      </w:pPr>
    </w:p>
    <w:p w:rsidR="00F13E23" w:rsidRPr="00382F13" w:rsidRDefault="00F13E23" w:rsidP="00F13E23">
      <w:pPr>
        <w:ind w:left="720"/>
        <w:jc w:val="center"/>
        <w:rPr>
          <w:bCs/>
          <w:szCs w:val="28"/>
          <w:lang w:eastAsia="en-US"/>
        </w:rPr>
      </w:pPr>
      <w:r w:rsidRPr="00382F13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F13E23" w:rsidRPr="00382F13" w:rsidRDefault="00F13E23" w:rsidP="00F13E23">
      <w:pPr>
        <w:ind w:left="720"/>
        <w:jc w:val="center"/>
        <w:rPr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"/>
        <w:gridCol w:w="2260"/>
        <w:gridCol w:w="567"/>
        <w:gridCol w:w="585"/>
        <w:gridCol w:w="850"/>
        <w:gridCol w:w="709"/>
        <w:gridCol w:w="709"/>
        <w:gridCol w:w="708"/>
        <w:gridCol w:w="701"/>
        <w:gridCol w:w="709"/>
        <w:gridCol w:w="708"/>
        <w:gridCol w:w="851"/>
        <w:gridCol w:w="1702"/>
        <w:gridCol w:w="567"/>
        <w:gridCol w:w="565"/>
        <w:gridCol w:w="569"/>
        <w:gridCol w:w="567"/>
        <w:gridCol w:w="567"/>
        <w:gridCol w:w="567"/>
        <w:gridCol w:w="567"/>
        <w:gridCol w:w="992"/>
      </w:tblGrid>
      <w:tr w:rsidR="00F13E23" w:rsidRPr="00893F56" w:rsidTr="00B0399A">
        <w:trPr>
          <w:trHeight w:val="431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F13E23" w:rsidRPr="00893F56" w:rsidRDefault="00F13E23" w:rsidP="00B0399A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Источ-ники финан-сирова-ния</w:t>
            </w:r>
          </w:p>
        </w:tc>
        <w:tc>
          <w:tcPr>
            <w:tcW w:w="5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13E23" w:rsidRPr="00893F56" w:rsidTr="00B0399A">
        <w:trPr>
          <w:trHeight w:val="293"/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23" w:rsidRPr="00893F56" w:rsidRDefault="00F13E23" w:rsidP="00B0399A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2020</w:t>
            </w:r>
          </w:p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2024 </w:t>
            </w:r>
          </w:p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2020</w:t>
            </w:r>
          </w:p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F13E23" w:rsidRPr="00893F56" w:rsidTr="00B0399A">
        <w:trPr>
          <w:trHeight w:val="151"/>
          <w:tblHeader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F13E23" w:rsidRPr="00893F56" w:rsidTr="00B0399A">
        <w:trPr>
          <w:trHeight w:val="106"/>
        </w:trPr>
        <w:tc>
          <w:tcPr>
            <w:tcW w:w="1630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F13E23" w:rsidRPr="00893F56" w:rsidTr="00B0399A">
        <w:trPr>
          <w:trHeight w:val="39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Основное мероприятие: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22953578,8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3448137,2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3525029,4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3577363,8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3667612,7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МБОУ</w:t>
            </w:r>
          </w:p>
        </w:tc>
      </w:tr>
      <w:tr w:rsidR="00F13E23" w:rsidRPr="00893F56" w:rsidTr="00B0399A">
        <w:trPr>
          <w:trHeight w:val="26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5078945,3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757586,3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99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16950978,9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2472858,5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2553816,1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2587744,8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2665211,9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6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5078945,3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757586,3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МБОУ</w:t>
            </w:r>
          </w:p>
        </w:tc>
      </w:tr>
      <w:tr w:rsidR="00F13E23" w:rsidRPr="00893F56" w:rsidTr="00B0399A">
        <w:trPr>
          <w:trHeight w:val="24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5078945,3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763198,5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757586,3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775992,0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788773,8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7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69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МБОУ</w:t>
            </w:r>
          </w:p>
        </w:tc>
      </w:tr>
      <w:tr w:rsidR="00F13E23" w:rsidRPr="00893F56" w:rsidTr="00B0399A">
        <w:trPr>
          <w:trHeight w:val="108"/>
        </w:trPr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893F56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893F56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6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893F56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893F56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6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14758058,8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2544105,8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2578034,5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2655501,6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30182,4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30638,9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МБОУ</w:t>
            </w:r>
          </w:p>
        </w:tc>
      </w:tr>
      <w:tr w:rsidR="00F13E23" w:rsidRPr="00893F56" w:rsidTr="00B0399A">
        <w:trPr>
          <w:trHeight w:val="69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893F56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893F56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34,2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7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14758058,8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2463218,5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2544105,8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2578034,5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2655501,6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893F56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893F56">
              <w:rPr>
                <w:sz w:val="15"/>
                <w:szCs w:val="15"/>
                <w:lang w:eastAsia="en-US"/>
              </w:rPr>
              <w:t xml:space="preserve">в </w:t>
            </w:r>
            <w:r w:rsidRPr="00893F56">
              <w:rPr>
                <w:sz w:val="15"/>
                <w:szCs w:val="15"/>
                <w:lang w:eastAsia="en-US"/>
              </w:rPr>
              <w:lastRenderedPageBreak/>
              <w:t>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8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1.4.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 </w:t>
            </w:r>
          </w:p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</w:t>
            </w:r>
            <w:r w:rsidRPr="00893F56">
              <w:t xml:space="preserve"> 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ММЛ, МПЛ</w:t>
            </w:r>
          </w:p>
        </w:tc>
      </w:tr>
      <w:tr w:rsidR="00F13E23" w:rsidRPr="00893F56" w:rsidTr="00B0399A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8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1.5.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ОУ Мурманской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965638,8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73906,7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223337,3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1243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1243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1243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КО, МБОУ </w:t>
            </w:r>
          </w:p>
        </w:tc>
      </w:tr>
      <w:tr w:rsidR="00F13E23" w:rsidRPr="00893F56" w:rsidTr="00B0399A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41984,2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3213,3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9710,3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8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314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Основное мероприятие: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4699278,0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719219,0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717076,3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751153,8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782934,0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</w:rPr>
              <w:t xml:space="preserve">Доля детей, охваченных образовательными программами дополнительного образования в муниципальных ОУ </w:t>
            </w:r>
            <w:r w:rsidRPr="00893F56">
              <w:rPr>
                <w:sz w:val="15"/>
                <w:szCs w:val="15"/>
              </w:rPr>
              <w:lastRenderedPageBreak/>
              <w:t>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lastRenderedPageBreak/>
              <w:t>34,1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32,65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31,6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31,3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31,3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МБОУ</w:t>
            </w:r>
          </w:p>
        </w:tc>
      </w:tr>
      <w:tr w:rsidR="00F13E23" w:rsidRPr="00893F56" w:rsidTr="00B0399A">
        <w:trPr>
          <w:trHeight w:val="18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4630727,0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670573,0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716400,0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750477,5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782257,7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62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68551,0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48646,0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9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4252941,2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641960,5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675999,9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707740,5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МБУ ДО</w:t>
            </w:r>
          </w:p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4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4252941,2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548217,8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641960,5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675999,9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707740,5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Количество обучающихся муниципальных</w:t>
            </w:r>
            <w:r w:rsidRPr="00893F56">
              <w:t xml:space="preserve"> </w:t>
            </w:r>
            <w:r w:rsidRPr="00893F56">
              <w:rPr>
                <w:sz w:val="15"/>
                <w:szCs w:val="15"/>
              </w:rPr>
              <w:t>учреждений дополнительного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14444</w:t>
            </w:r>
          </w:p>
          <w:p w:rsidR="00F13E23" w:rsidRPr="00893F56" w:rsidRDefault="00F13E23" w:rsidP="00B0399A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МБУ ДО</w:t>
            </w:r>
          </w:p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(кроме ППМС)</w:t>
            </w:r>
          </w:p>
        </w:tc>
      </w:tr>
      <w:tr w:rsidR="00F13E23" w:rsidRPr="00893F56" w:rsidTr="00B0399A">
        <w:trPr>
          <w:trHeight w:val="26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ППМС</w:t>
            </w:r>
          </w:p>
        </w:tc>
      </w:tr>
      <w:tr w:rsidR="00F13E23" w:rsidRPr="00893F56" w:rsidTr="00B0399A">
        <w:trPr>
          <w:trHeight w:val="19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8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106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1210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4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</w:t>
            </w:r>
            <w:r w:rsidRPr="00893F56">
              <w:rPr>
                <w:sz w:val="15"/>
                <w:szCs w:val="15"/>
                <w:lang w:eastAsia="en-US"/>
              </w:rPr>
              <w:lastRenderedPageBreak/>
              <w:t>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67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56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2.2.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893F56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МБУ ДО, МБУО ЦБ</w:t>
            </w:r>
          </w:p>
        </w:tc>
      </w:tr>
      <w:tr w:rsidR="00F13E23" w:rsidRPr="00893F56" w:rsidTr="00B0399A">
        <w:trPr>
          <w:trHeight w:val="17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727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4971,3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43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2.3.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2018, 2021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Отсутствие кредиторской задолженности по оплате труда, 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МБУ ДО, МБУО ЦБ</w:t>
            </w:r>
          </w:p>
        </w:tc>
      </w:tr>
      <w:tr w:rsidR="00F13E23" w:rsidRPr="00893F56" w:rsidTr="00B0399A">
        <w:trPr>
          <w:trHeight w:val="1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43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62969,7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5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2.4.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2018, 2021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9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59239,4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8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47969,7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2.5.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</w:t>
            </w:r>
          </w:p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F13E23" w:rsidRPr="00893F56" w:rsidTr="00B0399A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26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26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 xml:space="preserve">Обеспечение персонифицированного финансирования дополнительного образования </w:t>
            </w:r>
            <w:r w:rsidRPr="00893F56">
              <w:rPr>
                <w:rFonts w:eastAsia="Calibri"/>
                <w:sz w:val="15"/>
                <w:szCs w:val="15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lastRenderedPageBreak/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Всего: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 xml:space="preserve">в т.ч: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318546,4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63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74439,5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74477,6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74517,2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Организация деятельности по обеспечению персонифицированного </w:t>
            </w:r>
            <w:r w:rsidRPr="00893F56">
              <w:rPr>
                <w:sz w:val="15"/>
                <w:szCs w:val="15"/>
                <w:lang w:eastAsia="en-US"/>
              </w:rPr>
              <w:lastRenderedPageBreak/>
              <w:t>финансирования дополнительного образования детей,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893F5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893F56">
              <w:rPr>
                <w:rFonts w:eastAsia="Calibri"/>
                <w:sz w:val="16"/>
                <w:szCs w:val="16"/>
              </w:rPr>
              <w:t>КО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F13E23" w:rsidRPr="00893F56" w:rsidTr="00B0399A">
        <w:trPr>
          <w:trHeight w:val="23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318546,4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63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74439,5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74477,6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74517,2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98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63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99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3.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Основное мероприятие: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2503536,2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7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374621,8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Количество ОУ и УО,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ОУ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и УО</w:t>
            </w:r>
          </w:p>
        </w:tc>
      </w:tr>
      <w:tr w:rsidR="00F13E23" w:rsidRPr="00893F56" w:rsidTr="00B0399A">
        <w:trPr>
          <w:trHeight w:val="9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2503536,2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7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374621,8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349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2503536,2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7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374621,8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</w:rPr>
              <w:t>КО, ППМС</w:t>
            </w:r>
          </w:p>
        </w:tc>
      </w:tr>
      <w:tr w:rsidR="00F13E23" w:rsidRPr="00893F56" w:rsidTr="00B0399A">
        <w:trPr>
          <w:trHeight w:val="9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2503536,2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330703,1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351525,2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7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374621,8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375038,8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388669,6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1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106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0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КО,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F13E23" w:rsidRPr="00893F56" w:rsidTr="00B0399A">
        <w:trPr>
          <w:trHeight w:val="12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106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Количество обслуживаемых </w:t>
            </w:r>
            <w:r w:rsidRPr="00893F56">
              <w:rPr>
                <w:sz w:val="15"/>
                <w:szCs w:val="15"/>
                <w:lang w:eastAsia="en-US"/>
              </w:rPr>
              <w:lastRenderedPageBreak/>
              <w:t>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lastRenderedPageBreak/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8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ОУ,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22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>КО, муниципаль-ное автономное учреждение образования города Мурманска «Управление хозяйственно-эксплуатаци-онного обслуживания образователь-ных учреждений»</w:t>
            </w:r>
          </w:p>
        </w:tc>
      </w:tr>
      <w:tr w:rsidR="00F13E23" w:rsidRPr="00893F56" w:rsidTr="00B0399A">
        <w:trPr>
          <w:trHeight w:val="12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945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Готовность ОУ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8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МБУО ЦБ</w:t>
            </w:r>
          </w:p>
        </w:tc>
      </w:tr>
      <w:tr w:rsidR="00F13E23" w:rsidRPr="00893F56" w:rsidTr="00B0399A">
        <w:trPr>
          <w:trHeight w:val="100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3.2.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2018 - 2024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КО, ППМС</w:t>
            </w:r>
          </w:p>
        </w:tc>
      </w:tr>
      <w:tr w:rsidR="00F13E23" w:rsidRPr="00893F56" w:rsidTr="00B0399A">
        <w:trPr>
          <w:trHeight w:val="2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Всего: </w:t>
            </w:r>
            <w:r w:rsidRPr="00893F56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30156393,0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4518881,4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4616727,5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4703556,4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4839216,3</w:t>
            </w:r>
          </w:p>
        </w:tc>
        <w:tc>
          <w:tcPr>
            <w:tcW w:w="66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104"/>
        </w:trPr>
        <w:tc>
          <w:tcPr>
            <w:tcW w:w="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12213208,5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1785296,7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1848608,1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1901508,3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893F56">
              <w:rPr>
                <w:rFonts w:eastAsia="Calibri"/>
                <w:sz w:val="15"/>
                <w:szCs w:val="15"/>
              </w:rPr>
              <w:t>1959701,1</w:t>
            </w:r>
          </w:p>
        </w:tc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F13E23" w:rsidRPr="00893F56" w:rsidTr="00B0399A">
        <w:trPr>
          <w:trHeight w:val="92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17019529,9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2521504,5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2554492,4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2588421,1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2665888,2</w:t>
            </w:r>
          </w:p>
        </w:tc>
        <w:tc>
          <w:tcPr>
            <w:tcW w:w="66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F13E23" w:rsidRPr="00893F56" w:rsidTr="00B0399A">
        <w:trPr>
          <w:trHeight w:val="92"/>
        </w:trPr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893F56">
              <w:rPr>
                <w:sz w:val="15"/>
                <w:szCs w:val="15"/>
              </w:rPr>
              <w:t>923654,6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893F56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893F56">
              <w:rPr>
                <w:sz w:val="15"/>
                <w:szCs w:val="15"/>
                <w:lang w:eastAsia="en-US"/>
              </w:rPr>
              <w:t>213627,0</w:t>
            </w:r>
          </w:p>
        </w:tc>
        <w:tc>
          <w:tcPr>
            <w:tcW w:w="66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23" w:rsidRPr="00893F56" w:rsidRDefault="00F13E23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F13E23" w:rsidRPr="00382F13" w:rsidRDefault="00F13E23" w:rsidP="00F13E2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F13E23" w:rsidRPr="00382F13" w:rsidRDefault="00F13E23" w:rsidP="00F13E23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382F13">
        <w:rPr>
          <w:szCs w:val="28"/>
        </w:rPr>
        <w:t>Детализация направлений расходов</w:t>
      </w:r>
    </w:p>
    <w:p w:rsidR="00F13E23" w:rsidRPr="00382F13" w:rsidRDefault="00F13E23" w:rsidP="00F13E23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F13E23" w:rsidRPr="005908FB" w:rsidTr="00B0399A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F13E23" w:rsidRPr="005908FB" w:rsidTr="00B0399A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5908FB" w:rsidRDefault="00F13E23" w:rsidP="00B0399A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5908FB" w:rsidRDefault="00F13E23" w:rsidP="00B0399A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5908FB" w:rsidRDefault="00F13E23" w:rsidP="00B0399A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2024 год</w:t>
            </w:r>
          </w:p>
        </w:tc>
      </w:tr>
      <w:tr w:rsidR="00F13E23" w:rsidRPr="005908FB" w:rsidTr="00B0399A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11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5908FB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2 503 536,2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374 621,8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375 038,8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388 669,6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2 503 536,2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333 292,9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349 684,8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374 621,8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375 038,8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388 669,6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335 762,1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153725">
              <w:rPr>
                <w:sz w:val="15"/>
                <w:szCs w:val="15"/>
              </w:rPr>
              <w:t>48 266,4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50 027,1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52 195,0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54 086,2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9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1 573 876,8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0" w:right="-121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0" w:right="-121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223 356,1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1" w:right="-115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232 243,4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241 514,5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250 483,3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хозяйственно-эксплуатационного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502 831,0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73 002,7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84 385,7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73 476,8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75 958,8</w:t>
            </w:r>
          </w:p>
        </w:tc>
      </w:tr>
      <w:tr w:rsidR="00F13E23" w:rsidRPr="005908FB" w:rsidTr="00B0399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34 100,6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6 900,0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7 965,6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7 852,5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908FB">
              <w:rPr>
                <w:sz w:val="15"/>
                <w:szCs w:val="15"/>
              </w:rPr>
              <w:t>8 141,3</w:t>
            </w:r>
          </w:p>
        </w:tc>
      </w:tr>
    </w:tbl>
    <w:p w:rsidR="00F13E23" w:rsidRDefault="00F13E23" w:rsidP="00F13E23">
      <w:pPr>
        <w:ind w:firstLine="720"/>
        <w:jc w:val="center"/>
        <w:rPr>
          <w:szCs w:val="28"/>
          <w:lang w:eastAsia="en-US"/>
        </w:rPr>
      </w:pPr>
    </w:p>
    <w:p w:rsidR="00F13E23" w:rsidRPr="003D1710" w:rsidRDefault="00F13E23" w:rsidP="00F13E23">
      <w:pPr>
        <w:ind w:firstLine="720"/>
        <w:jc w:val="center"/>
        <w:rPr>
          <w:rFonts w:ascii="Calibri" w:hAnsi="Calibri"/>
          <w:sz w:val="20"/>
          <w:lang w:eastAsia="en-US"/>
        </w:rPr>
        <w:sectPr w:rsidR="00F13E23" w:rsidRPr="003D1710" w:rsidSect="006D4074">
          <w:pgSz w:w="16837" w:h="11905" w:orient="landscape"/>
          <w:pgMar w:top="1701" w:right="851" w:bottom="426" w:left="426" w:header="1134" w:footer="720" w:gutter="0"/>
          <w:pgNumType w:start="72"/>
          <w:cols w:space="60"/>
          <w:noEndnote/>
          <w:docGrid w:linePitch="326"/>
        </w:sectPr>
      </w:pPr>
    </w:p>
    <w:p w:rsidR="00F13E23" w:rsidRDefault="00F13E23" w:rsidP="00F13E2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F13E23" w:rsidRDefault="00F13E23" w:rsidP="00F13E2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13E23" w:rsidRPr="00153725" w:rsidTr="00B0399A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F13E23" w:rsidRPr="00153725" w:rsidTr="00B0399A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153725" w:rsidRDefault="00F13E23" w:rsidP="00B039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153725" w:rsidRDefault="00F13E23" w:rsidP="00B039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F13E23" w:rsidRPr="00153725" w:rsidTr="00B0399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23" w:rsidRPr="00153725" w:rsidRDefault="00F13E23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F13E23" w:rsidRPr="00153725" w:rsidTr="00B0399A">
        <w:trPr>
          <w:trHeight w:val="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30 156 393,0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3 628 228,4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3 833 496,6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4 518  88</w:t>
            </w:r>
            <w:r w:rsidRPr="00153725">
              <w:rPr>
                <w:sz w:val="15"/>
                <w:szCs w:val="15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4 616 727,5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703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839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216,3</w:t>
            </w:r>
          </w:p>
        </w:tc>
      </w:tr>
      <w:tr w:rsidR="00F13E23" w:rsidRPr="00153725" w:rsidTr="00B0399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</w:p>
        </w:tc>
      </w:tr>
      <w:tr w:rsidR="00F13E23" w:rsidRPr="00153725" w:rsidTr="00B0399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12 213 208,5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1 462 467,0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1 609 672,0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153725"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1 785 29</w:t>
            </w:r>
            <w:r w:rsidRPr="00153725">
              <w:rPr>
                <w:rFonts w:eastAsia="Calibri"/>
                <w:sz w:val="15"/>
                <w:szCs w:val="15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1 848 608,1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901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5908FB">
              <w:rPr>
                <w:rFonts w:eastAsia="Calibri"/>
                <w:sz w:val="15"/>
                <w:szCs w:val="15"/>
              </w:rPr>
              <w:t>1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959</w:t>
            </w:r>
            <w:r>
              <w:rPr>
                <w:rFonts w:eastAsia="Calibri"/>
                <w:sz w:val="15"/>
                <w:szCs w:val="15"/>
              </w:rPr>
              <w:t xml:space="preserve"> </w:t>
            </w:r>
            <w:r w:rsidRPr="005908FB">
              <w:rPr>
                <w:rFonts w:eastAsia="Calibri"/>
                <w:sz w:val="15"/>
                <w:szCs w:val="15"/>
              </w:rPr>
              <w:t>701,1</w:t>
            </w:r>
          </w:p>
        </w:tc>
      </w:tr>
      <w:tr w:rsidR="00F13E23" w:rsidRPr="00153725" w:rsidTr="00B0399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17 019 529,9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2 165 761,4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2 223 824,6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2 299 637,7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2 521 504,5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554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588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421,1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665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888,2</w:t>
            </w:r>
          </w:p>
        </w:tc>
      </w:tr>
      <w:tr w:rsidR="00F13E23" w:rsidRPr="00153725" w:rsidTr="00B0399A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923 654,6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70 693,4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153725" w:rsidRDefault="00F13E23" w:rsidP="00B0399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153725">
              <w:rPr>
                <w:sz w:val="15"/>
                <w:szCs w:val="15"/>
                <w:lang w:eastAsia="en-US"/>
              </w:rPr>
              <w:t>212 080,2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23" w:rsidRPr="005908FB" w:rsidRDefault="00F13E23" w:rsidP="00B0399A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5908FB">
              <w:rPr>
                <w:sz w:val="15"/>
                <w:szCs w:val="15"/>
                <w:lang w:eastAsia="en-US"/>
              </w:rPr>
              <w:t>213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5908FB">
              <w:rPr>
                <w:sz w:val="15"/>
                <w:szCs w:val="15"/>
                <w:lang w:eastAsia="en-US"/>
              </w:rPr>
              <w:t>627,0</w:t>
            </w:r>
          </w:p>
        </w:tc>
      </w:tr>
    </w:tbl>
    <w:p w:rsidR="00F13E23" w:rsidRPr="00153725" w:rsidRDefault="00F13E23" w:rsidP="00F13E23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F13E23" w:rsidRPr="003D1710" w:rsidRDefault="00F13E23" w:rsidP="00F13E23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F13E23" w:rsidRPr="003D1710" w:rsidRDefault="00F13E23" w:rsidP="00F13E23">
      <w:pPr>
        <w:ind w:firstLine="567"/>
        <w:jc w:val="both"/>
        <w:rPr>
          <w:szCs w:val="28"/>
          <w:lang w:eastAsia="en-US"/>
        </w:rPr>
      </w:pPr>
    </w:p>
    <w:p w:rsidR="00F13E23" w:rsidRPr="003D1710" w:rsidRDefault="00F13E23" w:rsidP="00F13E23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</w:t>
      </w:r>
      <w:r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Pr="003D1710">
        <w:rPr>
          <w:rFonts w:eastAsia="Lucida Sans Unicode"/>
          <w:b/>
          <w:szCs w:val="28"/>
          <w:lang w:eastAsia="en-US"/>
        </w:rPr>
        <w:t xml:space="preserve"> </w:t>
      </w:r>
      <w:r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F13E23" w:rsidRPr="003D1710" w:rsidRDefault="00F13E23" w:rsidP="00F13E2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F13E23" w:rsidRPr="003D1710" w:rsidRDefault="00F13E23" w:rsidP="00F13E2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F13E23" w:rsidRPr="003D1710" w:rsidRDefault="00F13E23" w:rsidP="00F13E2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F13E23" w:rsidRPr="003D1710" w:rsidRDefault="00F13E23" w:rsidP="00F13E2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F13E23" w:rsidRPr="003D1710" w:rsidRDefault="00F13E23" w:rsidP="00F13E2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F13E23" w:rsidRPr="003D1710" w:rsidRDefault="00F13E23" w:rsidP="00F13E2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F13E23" w:rsidRPr="003D1710" w:rsidRDefault="00F13E23" w:rsidP="00F13E2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F13E23" w:rsidRPr="003D1710" w:rsidRDefault="00F13E23" w:rsidP="00F13E23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F13E23" w:rsidRPr="003D1710" w:rsidRDefault="00F13E23" w:rsidP="00F13E23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регионального законодательства</w:t>
      </w:r>
      <w:r w:rsidRPr="003D1710">
        <w:rPr>
          <w:szCs w:val="28"/>
          <w:lang w:eastAsia="en-US"/>
        </w:rPr>
        <w:t>;</w:t>
      </w:r>
    </w:p>
    <w:p w:rsidR="00F13E23" w:rsidRPr="003D1710" w:rsidRDefault="00F13E23" w:rsidP="00F13E2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F13E23" w:rsidRPr="003D1710" w:rsidRDefault="00F13E23" w:rsidP="00F13E2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>
        <w:rPr>
          <w:szCs w:val="28"/>
          <w:lang w:eastAsia="en-US"/>
        </w:rPr>
        <w:t>численности обучающихся ОУ</w:t>
      </w:r>
      <w:r w:rsidRPr="003D1710">
        <w:rPr>
          <w:szCs w:val="28"/>
          <w:lang w:eastAsia="en-US"/>
        </w:rPr>
        <w:t>, несбалансированное кодовое распреде</w:t>
      </w:r>
      <w:r>
        <w:rPr>
          <w:szCs w:val="28"/>
          <w:lang w:eastAsia="en-US"/>
        </w:rPr>
        <w:t>ление финансовых средств между ОУ</w:t>
      </w:r>
      <w:r w:rsidRPr="003D1710">
        <w:rPr>
          <w:szCs w:val="28"/>
          <w:lang w:eastAsia="en-US"/>
        </w:rPr>
        <w:t>.</w:t>
      </w:r>
    </w:p>
    <w:p w:rsidR="00F13E23" w:rsidRPr="003D1710" w:rsidRDefault="00F13E23" w:rsidP="00F13E23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F13E23" w:rsidRPr="003D1710" w:rsidRDefault="00F13E23" w:rsidP="00F13E23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>
        <w:rPr>
          <w:szCs w:val="28"/>
          <w:lang w:eastAsia="en-US"/>
        </w:rPr>
        <w:t>подпрограммы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муниципальных программ города Мурманска.</w:t>
      </w:r>
    </w:p>
    <w:p w:rsidR="0014407F" w:rsidRDefault="00F13E2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F13E23" w:rsidP="00565CB7">
    <w:pPr>
      <w:pStyle w:val="ac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F13E23" w:rsidP="00565CB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F13E23" w:rsidP="00565CB7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F13E23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F13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6E27C6" w:rsidRDefault="00F13E23" w:rsidP="006E27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4C"/>
    <w:rsid w:val="000D2633"/>
    <w:rsid w:val="008426CA"/>
    <w:rsid w:val="00F13E23"/>
    <w:rsid w:val="00F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15E2-DD9D-42B8-BD51-32447A1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E23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3E23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13E2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13E23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13E2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E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E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E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3E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F13E23"/>
    <w:rPr>
      <w:color w:val="0000FF"/>
      <w:u w:val="single"/>
    </w:rPr>
  </w:style>
  <w:style w:type="paragraph" w:customStyle="1" w:styleId="FR1">
    <w:name w:val="FR1"/>
    <w:rsid w:val="00F13E23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F13E2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F13E23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F13E2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3E23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13E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F13E23"/>
  </w:style>
  <w:style w:type="table" w:styleId="ab">
    <w:name w:val="Table Grid"/>
    <w:basedOn w:val="a1"/>
    <w:uiPriority w:val="59"/>
    <w:rsid w:val="00F1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F13E2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13E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F13E2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F13E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13E23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13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13E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13E23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F13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F13E2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F13E23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F13E23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F13E2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F1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F13E2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F13E2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F13E23"/>
  </w:style>
  <w:style w:type="paragraph" w:customStyle="1" w:styleId="Style1">
    <w:name w:val="Style1"/>
    <w:basedOn w:val="a"/>
    <w:rsid w:val="00F13E23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F13E23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F13E2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F13E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F13E23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F13E23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F13E2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F13E23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F13E2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13E2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F13E23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F13E23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F13E23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F13E2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F13E23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F13E23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F13E2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F13E23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F13E2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F13E23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F13E2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F13E23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F13E23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F13E23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F13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F13E23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F13E2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F13E23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F1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F13E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F13E23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F13E23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F13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F13E2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F13E2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F13E23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F13E23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F1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F13E23"/>
    <w:rPr>
      <w:sz w:val="20"/>
    </w:rPr>
  </w:style>
  <w:style w:type="character" w:customStyle="1" w:styleId="af5">
    <w:name w:val="Текст сноски Знак"/>
    <w:basedOn w:val="a0"/>
    <w:link w:val="af4"/>
    <w:rsid w:val="00F1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13E23"/>
    <w:rPr>
      <w:rFonts w:cs="Times New Roman"/>
      <w:vertAlign w:val="superscript"/>
    </w:rPr>
  </w:style>
  <w:style w:type="paragraph" w:customStyle="1" w:styleId="ConsPlusNonformat">
    <w:name w:val="ConsPlusNonformat"/>
    <w:rsid w:val="00F1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F13E23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F13E2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F13E23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F13E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F13E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F13E23"/>
  </w:style>
  <w:style w:type="table" w:customStyle="1" w:styleId="22">
    <w:name w:val="Сетка таблицы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F13E23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F13E23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F13E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F13E23"/>
    <w:rPr>
      <w:lang w:eastAsia="en-US"/>
    </w:rPr>
  </w:style>
  <w:style w:type="character" w:customStyle="1" w:styleId="afd">
    <w:name w:val="Основной текст_"/>
    <w:rsid w:val="00F13E2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F13E23"/>
  </w:style>
  <w:style w:type="character" w:customStyle="1" w:styleId="apple-converted-space">
    <w:name w:val="apple-converted-space"/>
    <w:rsid w:val="00F13E23"/>
  </w:style>
  <w:style w:type="character" w:styleId="afe">
    <w:name w:val="Strong"/>
    <w:qFormat/>
    <w:rsid w:val="00F13E23"/>
    <w:rPr>
      <w:b/>
      <w:bCs/>
    </w:rPr>
  </w:style>
  <w:style w:type="paragraph" w:customStyle="1" w:styleId="rvps698610">
    <w:name w:val="rvps698610"/>
    <w:basedOn w:val="a"/>
    <w:rsid w:val="00F13E23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F13E23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F13E23"/>
  </w:style>
  <w:style w:type="character" w:customStyle="1" w:styleId="WW8Num1z0">
    <w:name w:val="WW8Num1z0"/>
    <w:rsid w:val="00F13E23"/>
    <w:rPr>
      <w:rFonts w:ascii="Symbol" w:hAnsi="Symbol"/>
      <w:color w:val="auto"/>
    </w:rPr>
  </w:style>
  <w:style w:type="character" w:customStyle="1" w:styleId="WW8Num1z1">
    <w:name w:val="WW8Num1z1"/>
    <w:rsid w:val="00F13E23"/>
    <w:rPr>
      <w:rFonts w:ascii="Courier New" w:hAnsi="Courier New" w:cs="Courier New"/>
    </w:rPr>
  </w:style>
  <w:style w:type="character" w:customStyle="1" w:styleId="WW8Num1z2">
    <w:name w:val="WW8Num1z2"/>
    <w:rsid w:val="00F13E23"/>
    <w:rPr>
      <w:rFonts w:ascii="Wingdings" w:hAnsi="Wingdings"/>
    </w:rPr>
  </w:style>
  <w:style w:type="character" w:customStyle="1" w:styleId="WW8Num1z3">
    <w:name w:val="WW8Num1z3"/>
    <w:rsid w:val="00F13E23"/>
    <w:rPr>
      <w:rFonts w:ascii="Symbol" w:hAnsi="Symbol"/>
    </w:rPr>
  </w:style>
  <w:style w:type="character" w:customStyle="1" w:styleId="WW8Num2z0">
    <w:name w:val="WW8Num2z0"/>
    <w:rsid w:val="00F13E23"/>
    <w:rPr>
      <w:rFonts w:ascii="Symbol" w:hAnsi="Symbol"/>
      <w:color w:val="auto"/>
    </w:rPr>
  </w:style>
  <w:style w:type="character" w:customStyle="1" w:styleId="WW8Num2z1">
    <w:name w:val="WW8Num2z1"/>
    <w:rsid w:val="00F13E23"/>
    <w:rPr>
      <w:rFonts w:ascii="Courier New" w:hAnsi="Courier New" w:cs="Courier New"/>
    </w:rPr>
  </w:style>
  <w:style w:type="character" w:customStyle="1" w:styleId="WW8Num2z2">
    <w:name w:val="WW8Num2z2"/>
    <w:rsid w:val="00F13E23"/>
    <w:rPr>
      <w:rFonts w:ascii="Wingdings" w:hAnsi="Wingdings"/>
    </w:rPr>
  </w:style>
  <w:style w:type="character" w:customStyle="1" w:styleId="WW8Num2z3">
    <w:name w:val="WW8Num2z3"/>
    <w:rsid w:val="00F13E23"/>
    <w:rPr>
      <w:rFonts w:ascii="Symbol" w:hAnsi="Symbol"/>
    </w:rPr>
  </w:style>
  <w:style w:type="character" w:customStyle="1" w:styleId="15">
    <w:name w:val="Основной шрифт абзаца1"/>
    <w:rsid w:val="00F13E23"/>
  </w:style>
  <w:style w:type="character" w:customStyle="1" w:styleId="16">
    <w:name w:val="Знак Знак1"/>
    <w:rsid w:val="00F13E23"/>
    <w:rPr>
      <w:sz w:val="24"/>
      <w:szCs w:val="24"/>
    </w:rPr>
  </w:style>
  <w:style w:type="character" w:customStyle="1" w:styleId="aff">
    <w:name w:val="Знак Знак"/>
    <w:rsid w:val="00F13E23"/>
  </w:style>
  <w:style w:type="character" w:customStyle="1" w:styleId="aff0">
    <w:name w:val="Символ сноски"/>
    <w:rsid w:val="00F13E23"/>
    <w:rPr>
      <w:vertAlign w:val="superscript"/>
    </w:rPr>
  </w:style>
  <w:style w:type="character" w:customStyle="1" w:styleId="aff1">
    <w:name w:val="Маркеры списка"/>
    <w:rsid w:val="00F13E23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F13E23"/>
    <w:rPr>
      <w:vertAlign w:val="superscript"/>
    </w:rPr>
  </w:style>
  <w:style w:type="character" w:customStyle="1" w:styleId="aff3">
    <w:name w:val="Символы концевой сноски"/>
    <w:rsid w:val="00F13E23"/>
  </w:style>
  <w:style w:type="paragraph" w:customStyle="1" w:styleId="aff4">
    <w:name w:val="Заголовок"/>
    <w:basedOn w:val="a"/>
    <w:next w:val="af"/>
    <w:rsid w:val="00F13E2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F13E23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F13E23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13E23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F13E23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F13E23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F13E23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F13E23"/>
  </w:style>
  <w:style w:type="table" w:customStyle="1" w:styleId="112">
    <w:name w:val="Сетка таблицы1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F13E23"/>
  </w:style>
  <w:style w:type="table" w:customStyle="1" w:styleId="42">
    <w:name w:val="Сетка таблицы4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13E23"/>
  </w:style>
  <w:style w:type="table" w:customStyle="1" w:styleId="121">
    <w:name w:val="Сетка таблицы1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F13E23"/>
  </w:style>
  <w:style w:type="table" w:customStyle="1" w:styleId="52">
    <w:name w:val="Сетка таблицы5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F13E23"/>
  </w:style>
  <w:style w:type="table" w:customStyle="1" w:styleId="131">
    <w:name w:val="Сетка таблицы1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F13E23"/>
  </w:style>
  <w:style w:type="table" w:customStyle="1" w:styleId="60">
    <w:name w:val="Сетка таблицы6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F13E23"/>
  </w:style>
  <w:style w:type="table" w:customStyle="1" w:styleId="141">
    <w:name w:val="Сетка таблицы14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F13E23"/>
  </w:style>
  <w:style w:type="table" w:customStyle="1" w:styleId="70">
    <w:name w:val="Сетка таблицы7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F13E23"/>
  </w:style>
  <w:style w:type="table" w:customStyle="1" w:styleId="151">
    <w:name w:val="Сетка таблицы15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F13E23"/>
    <w:rPr>
      <w:color w:val="800080"/>
      <w:u w:val="single"/>
    </w:rPr>
  </w:style>
  <w:style w:type="paragraph" w:customStyle="1" w:styleId="font5">
    <w:name w:val="font5"/>
    <w:basedOn w:val="a"/>
    <w:rsid w:val="00F13E2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F13E2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1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1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13E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13E2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13E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13E2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13E2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13E2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E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E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13E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F13E23"/>
  </w:style>
  <w:style w:type="table" w:customStyle="1" w:styleId="80">
    <w:name w:val="Сетка таблицы8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F13E23"/>
    <w:rPr>
      <w:i/>
      <w:iCs/>
    </w:rPr>
  </w:style>
  <w:style w:type="paragraph" w:customStyle="1" w:styleId="xl76">
    <w:name w:val="xl76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F13E2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F13E23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F13E2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F13E23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F13E23"/>
    <w:rPr>
      <w:lang w:eastAsia="en-US"/>
    </w:rPr>
  </w:style>
  <w:style w:type="paragraph" w:customStyle="1" w:styleId="19">
    <w:name w:val="Знак1"/>
    <w:basedOn w:val="a"/>
    <w:rsid w:val="00F13E2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F13E23"/>
    <w:rPr>
      <w:lang w:eastAsia="en-US"/>
    </w:rPr>
  </w:style>
  <w:style w:type="character" w:customStyle="1" w:styleId="114">
    <w:name w:val="Знак Знак11"/>
    <w:rsid w:val="00F13E23"/>
    <w:rPr>
      <w:sz w:val="24"/>
      <w:szCs w:val="24"/>
    </w:rPr>
  </w:style>
  <w:style w:type="character" w:customStyle="1" w:styleId="35">
    <w:name w:val="Знак Знак3"/>
    <w:rsid w:val="00F13E23"/>
  </w:style>
  <w:style w:type="character" w:styleId="affa">
    <w:name w:val="line number"/>
    <w:basedOn w:val="a0"/>
    <w:rsid w:val="00F13E23"/>
  </w:style>
  <w:style w:type="paragraph" w:customStyle="1" w:styleId="1a">
    <w:name w:val="Заголовок1"/>
    <w:basedOn w:val="a"/>
    <w:next w:val="af"/>
    <w:rsid w:val="00F13E23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13E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13E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13E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13E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13E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1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13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13E23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13E2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F13E23"/>
  </w:style>
  <w:style w:type="numbering" w:customStyle="1" w:styleId="100">
    <w:name w:val="Нет списка10"/>
    <w:next w:val="a2"/>
    <w:uiPriority w:val="99"/>
    <w:semiHidden/>
    <w:unhideWhenUsed/>
    <w:rsid w:val="00F13E23"/>
  </w:style>
  <w:style w:type="numbering" w:customStyle="1" w:styleId="160">
    <w:name w:val="Нет списка16"/>
    <w:next w:val="a2"/>
    <w:uiPriority w:val="99"/>
    <w:semiHidden/>
    <w:unhideWhenUsed/>
    <w:rsid w:val="00F13E23"/>
  </w:style>
  <w:style w:type="numbering" w:customStyle="1" w:styleId="170">
    <w:name w:val="Нет списка17"/>
    <w:next w:val="a2"/>
    <w:uiPriority w:val="99"/>
    <w:semiHidden/>
    <w:unhideWhenUsed/>
    <w:rsid w:val="00F13E23"/>
  </w:style>
  <w:style w:type="paragraph" w:customStyle="1" w:styleId="xl110">
    <w:name w:val="xl110"/>
    <w:basedOn w:val="a"/>
    <w:rsid w:val="00F13E2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13E2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13E23"/>
  </w:style>
  <w:style w:type="paragraph" w:customStyle="1" w:styleId="xl115">
    <w:name w:val="xl115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F13E2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F13E23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F13E23"/>
    <w:rPr>
      <w:lang w:eastAsia="en-US"/>
    </w:rPr>
  </w:style>
  <w:style w:type="character" w:customStyle="1" w:styleId="123">
    <w:name w:val="Знак Знак12"/>
    <w:rsid w:val="00F13E23"/>
    <w:rPr>
      <w:sz w:val="24"/>
      <w:szCs w:val="24"/>
    </w:rPr>
  </w:style>
  <w:style w:type="character" w:customStyle="1" w:styleId="43">
    <w:name w:val="Знак Знак4"/>
    <w:rsid w:val="00F13E23"/>
  </w:style>
  <w:style w:type="paragraph" w:styleId="affb">
    <w:name w:val="endnote text"/>
    <w:basedOn w:val="a"/>
    <w:link w:val="affc"/>
    <w:rsid w:val="00F13E23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F13E2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F13E23"/>
  </w:style>
  <w:style w:type="table" w:customStyle="1" w:styleId="90">
    <w:name w:val="Сетка таблицы9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F13E23"/>
  </w:style>
  <w:style w:type="table" w:customStyle="1" w:styleId="161">
    <w:name w:val="Сетка таблицы16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F13E23"/>
  </w:style>
  <w:style w:type="table" w:customStyle="1" w:styleId="212">
    <w:name w:val="Сетка таблицы2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F13E23"/>
  </w:style>
  <w:style w:type="table" w:customStyle="1" w:styleId="313">
    <w:name w:val="Сетка таблицы31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13E23"/>
  </w:style>
  <w:style w:type="table" w:customStyle="1" w:styleId="1111">
    <w:name w:val="Сетка таблицы11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F13E23"/>
  </w:style>
  <w:style w:type="table" w:customStyle="1" w:styleId="411">
    <w:name w:val="Сетка таблицы41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F13E23"/>
  </w:style>
  <w:style w:type="table" w:customStyle="1" w:styleId="1211">
    <w:name w:val="Сетка таблицы12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F13E23"/>
  </w:style>
  <w:style w:type="table" w:customStyle="1" w:styleId="511">
    <w:name w:val="Сетка таблицы51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F13E23"/>
  </w:style>
  <w:style w:type="table" w:customStyle="1" w:styleId="1311">
    <w:name w:val="Сетка таблицы13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F13E23"/>
  </w:style>
  <w:style w:type="table" w:customStyle="1" w:styleId="610">
    <w:name w:val="Сетка таблицы61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F13E23"/>
  </w:style>
  <w:style w:type="table" w:customStyle="1" w:styleId="1411">
    <w:name w:val="Сетка таблицы14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F13E23"/>
  </w:style>
  <w:style w:type="table" w:customStyle="1" w:styleId="710">
    <w:name w:val="Сетка таблицы71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F13E23"/>
  </w:style>
  <w:style w:type="table" w:customStyle="1" w:styleId="1511">
    <w:name w:val="Сетка таблицы15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F13E23"/>
  </w:style>
  <w:style w:type="table" w:customStyle="1" w:styleId="810">
    <w:name w:val="Сетка таблицы81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F13E23"/>
  </w:style>
  <w:style w:type="numbering" w:customStyle="1" w:styleId="101">
    <w:name w:val="Нет списка101"/>
    <w:next w:val="a2"/>
    <w:uiPriority w:val="99"/>
    <w:semiHidden/>
    <w:unhideWhenUsed/>
    <w:rsid w:val="00F13E23"/>
  </w:style>
  <w:style w:type="numbering" w:customStyle="1" w:styleId="1610">
    <w:name w:val="Нет списка161"/>
    <w:next w:val="a2"/>
    <w:uiPriority w:val="99"/>
    <w:semiHidden/>
    <w:unhideWhenUsed/>
    <w:rsid w:val="00F13E23"/>
  </w:style>
  <w:style w:type="numbering" w:customStyle="1" w:styleId="171">
    <w:name w:val="Нет списка171"/>
    <w:next w:val="a2"/>
    <w:uiPriority w:val="99"/>
    <w:semiHidden/>
    <w:unhideWhenUsed/>
    <w:rsid w:val="00F13E23"/>
  </w:style>
  <w:style w:type="numbering" w:customStyle="1" w:styleId="181">
    <w:name w:val="Нет списка181"/>
    <w:next w:val="a2"/>
    <w:uiPriority w:val="99"/>
    <w:semiHidden/>
    <w:unhideWhenUsed/>
    <w:rsid w:val="00F13E23"/>
  </w:style>
  <w:style w:type="paragraph" w:customStyle="1" w:styleId="xl117">
    <w:name w:val="xl117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F1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F1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F13E2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F13E2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F13E23"/>
  </w:style>
  <w:style w:type="table" w:customStyle="1" w:styleId="102">
    <w:name w:val="Сетка таблицы10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F13E23"/>
  </w:style>
  <w:style w:type="table" w:customStyle="1" w:styleId="172">
    <w:name w:val="Сетка таблицы17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F13E23"/>
  </w:style>
  <w:style w:type="table" w:customStyle="1" w:styleId="222">
    <w:name w:val="Сетка таблицы2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F13E23"/>
  </w:style>
  <w:style w:type="table" w:customStyle="1" w:styleId="322">
    <w:name w:val="Сетка таблицы32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F13E23"/>
  </w:style>
  <w:style w:type="table" w:customStyle="1" w:styleId="1121">
    <w:name w:val="Сетка таблицы11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F13E23"/>
  </w:style>
  <w:style w:type="table" w:customStyle="1" w:styleId="421">
    <w:name w:val="Сетка таблицы42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F13E23"/>
  </w:style>
  <w:style w:type="table" w:customStyle="1" w:styleId="1221">
    <w:name w:val="Сетка таблицы12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F13E23"/>
  </w:style>
  <w:style w:type="table" w:customStyle="1" w:styleId="521">
    <w:name w:val="Сетка таблицы52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F13E23"/>
  </w:style>
  <w:style w:type="table" w:customStyle="1" w:styleId="1320">
    <w:name w:val="Сетка таблицы13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F13E23"/>
  </w:style>
  <w:style w:type="table" w:customStyle="1" w:styleId="620">
    <w:name w:val="Сетка таблицы62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F13E23"/>
  </w:style>
  <w:style w:type="table" w:customStyle="1" w:styleId="1420">
    <w:name w:val="Сетка таблицы14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F13E23"/>
  </w:style>
  <w:style w:type="table" w:customStyle="1" w:styleId="720">
    <w:name w:val="Сетка таблицы72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F13E23"/>
  </w:style>
  <w:style w:type="table" w:customStyle="1" w:styleId="1520">
    <w:name w:val="Сетка таблицы15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F13E23"/>
  </w:style>
  <w:style w:type="table" w:customStyle="1" w:styleId="820">
    <w:name w:val="Сетка таблицы82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F13E23"/>
  </w:style>
  <w:style w:type="numbering" w:customStyle="1" w:styleId="1020">
    <w:name w:val="Нет списка102"/>
    <w:next w:val="a2"/>
    <w:uiPriority w:val="99"/>
    <w:semiHidden/>
    <w:unhideWhenUsed/>
    <w:rsid w:val="00F13E23"/>
  </w:style>
  <w:style w:type="numbering" w:customStyle="1" w:styleId="162">
    <w:name w:val="Нет списка162"/>
    <w:next w:val="a2"/>
    <w:uiPriority w:val="99"/>
    <w:semiHidden/>
    <w:unhideWhenUsed/>
    <w:rsid w:val="00F13E23"/>
  </w:style>
  <w:style w:type="numbering" w:customStyle="1" w:styleId="1720">
    <w:name w:val="Нет списка172"/>
    <w:next w:val="a2"/>
    <w:uiPriority w:val="99"/>
    <w:semiHidden/>
    <w:unhideWhenUsed/>
    <w:rsid w:val="00F13E23"/>
  </w:style>
  <w:style w:type="numbering" w:customStyle="1" w:styleId="182">
    <w:name w:val="Нет списка182"/>
    <w:next w:val="a2"/>
    <w:uiPriority w:val="99"/>
    <w:semiHidden/>
    <w:unhideWhenUsed/>
    <w:rsid w:val="00F13E23"/>
  </w:style>
  <w:style w:type="numbering" w:customStyle="1" w:styleId="231">
    <w:name w:val="Нет списка23"/>
    <w:next w:val="a2"/>
    <w:uiPriority w:val="99"/>
    <w:semiHidden/>
    <w:unhideWhenUsed/>
    <w:rsid w:val="00F13E23"/>
  </w:style>
  <w:style w:type="table" w:customStyle="1" w:styleId="183">
    <w:name w:val="Сетка таблицы18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F13E23"/>
  </w:style>
  <w:style w:type="table" w:customStyle="1" w:styleId="191">
    <w:name w:val="Сетка таблицы19"/>
    <w:basedOn w:val="a1"/>
    <w:next w:val="ab"/>
    <w:uiPriority w:val="59"/>
    <w:rsid w:val="00F13E2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F13E23"/>
  </w:style>
  <w:style w:type="table" w:customStyle="1" w:styleId="232">
    <w:name w:val="Сетка таблицы2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F13E23"/>
  </w:style>
  <w:style w:type="table" w:customStyle="1" w:styleId="331">
    <w:name w:val="Сетка таблицы33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F13E23"/>
  </w:style>
  <w:style w:type="table" w:customStyle="1" w:styleId="1131">
    <w:name w:val="Сетка таблицы11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F13E23"/>
  </w:style>
  <w:style w:type="table" w:customStyle="1" w:styleId="431">
    <w:name w:val="Сетка таблицы43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F13E23"/>
  </w:style>
  <w:style w:type="table" w:customStyle="1" w:styleId="1231">
    <w:name w:val="Сетка таблицы12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F13E23"/>
  </w:style>
  <w:style w:type="table" w:customStyle="1" w:styleId="530">
    <w:name w:val="Сетка таблицы53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F13E23"/>
  </w:style>
  <w:style w:type="table" w:customStyle="1" w:styleId="1330">
    <w:name w:val="Сетка таблицы13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F13E23"/>
  </w:style>
  <w:style w:type="table" w:customStyle="1" w:styleId="630">
    <w:name w:val="Сетка таблицы63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F13E23"/>
  </w:style>
  <w:style w:type="table" w:customStyle="1" w:styleId="1430">
    <w:name w:val="Сетка таблицы14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F13E23"/>
  </w:style>
  <w:style w:type="table" w:customStyle="1" w:styleId="730">
    <w:name w:val="Сетка таблицы73"/>
    <w:basedOn w:val="a1"/>
    <w:next w:val="ab"/>
    <w:uiPriority w:val="59"/>
    <w:rsid w:val="00F13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F13E23"/>
  </w:style>
  <w:style w:type="table" w:customStyle="1" w:styleId="1530">
    <w:name w:val="Сетка таблицы15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F13E23"/>
  </w:style>
  <w:style w:type="table" w:customStyle="1" w:styleId="830">
    <w:name w:val="Сетка таблицы83"/>
    <w:basedOn w:val="a1"/>
    <w:next w:val="ab"/>
    <w:uiPriority w:val="59"/>
    <w:rsid w:val="00F13E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F13E23"/>
  </w:style>
  <w:style w:type="numbering" w:customStyle="1" w:styleId="103">
    <w:name w:val="Нет списка103"/>
    <w:next w:val="a2"/>
    <w:uiPriority w:val="99"/>
    <w:semiHidden/>
    <w:unhideWhenUsed/>
    <w:rsid w:val="00F13E23"/>
  </w:style>
  <w:style w:type="numbering" w:customStyle="1" w:styleId="163">
    <w:name w:val="Нет списка163"/>
    <w:next w:val="a2"/>
    <w:uiPriority w:val="99"/>
    <w:semiHidden/>
    <w:unhideWhenUsed/>
    <w:rsid w:val="00F13E23"/>
  </w:style>
  <w:style w:type="numbering" w:customStyle="1" w:styleId="173">
    <w:name w:val="Нет списка173"/>
    <w:next w:val="a2"/>
    <w:uiPriority w:val="99"/>
    <w:semiHidden/>
    <w:unhideWhenUsed/>
    <w:rsid w:val="00F13E23"/>
  </w:style>
  <w:style w:type="numbering" w:customStyle="1" w:styleId="1830">
    <w:name w:val="Нет списка183"/>
    <w:next w:val="a2"/>
    <w:uiPriority w:val="99"/>
    <w:semiHidden/>
    <w:unhideWhenUsed/>
    <w:rsid w:val="00F13E23"/>
  </w:style>
  <w:style w:type="paragraph" w:customStyle="1" w:styleId="xl124">
    <w:name w:val="xl124"/>
    <w:basedOn w:val="a"/>
    <w:rsid w:val="00F1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F13E2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4765</Words>
  <Characters>27164</Characters>
  <Application>Microsoft Office Word</Application>
  <DocSecurity>0</DocSecurity>
  <Lines>226</Lines>
  <Paragraphs>63</Paragraphs>
  <ScaleCrop>false</ScaleCrop>
  <Company/>
  <LinksUpToDate>false</LinksUpToDate>
  <CharactersWithSpaces>31866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2022-08-08T07:41:00Z</dcterms:created>
  <dcterms:modified xsi:type="dcterms:W3CDTF">2022-08-08T07:41:00Z</dcterms:modified>
</cp:coreProperties>
</file>