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A6" w:rsidRPr="00CC29BF" w:rsidRDefault="002D78A6" w:rsidP="002D7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2D78A6" w:rsidRPr="00CC29BF" w:rsidRDefault="002D78A6" w:rsidP="002D7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«Управление имуществом и жилищная политика»</w:t>
      </w:r>
    </w:p>
    <w:p w:rsidR="002D78A6" w:rsidRPr="00CC29BF" w:rsidRDefault="002D78A6" w:rsidP="002D7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на 2018-2024 годы</w:t>
      </w:r>
    </w:p>
    <w:p w:rsidR="002D78A6" w:rsidRPr="00CC29BF" w:rsidRDefault="002D78A6" w:rsidP="002D78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78A6" w:rsidRPr="00CC29BF" w:rsidRDefault="002D78A6" w:rsidP="002D7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2D78A6" w:rsidRPr="00CC29BF" w:rsidRDefault="002D78A6" w:rsidP="002D78A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8A6" w:rsidRPr="00CC29BF" w:rsidRDefault="002D78A6" w:rsidP="002D78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:rsidR="002D78A6" w:rsidRPr="00CC29BF" w:rsidRDefault="002D78A6" w:rsidP="002D7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АВЦП – аналитическая ведомственная целевая программа;</w:t>
      </w:r>
    </w:p>
    <w:p w:rsidR="002D78A6" w:rsidRPr="00CC29BF" w:rsidRDefault="002D78A6" w:rsidP="002D7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ВБ – внебюджетные средства;</w:t>
      </w:r>
      <w:r w:rsidRPr="00CC29BF">
        <w:rPr>
          <w:rFonts w:ascii="Times New Roman" w:hAnsi="Times New Roman"/>
          <w:bCs/>
          <w:sz w:val="28"/>
          <w:szCs w:val="28"/>
        </w:rPr>
        <w:tab/>
      </w:r>
    </w:p>
    <w:p w:rsidR="002D78A6" w:rsidRPr="00CC29BF" w:rsidRDefault="002D78A6" w:rsidP="002D7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 КГТР – комитет градостроительства и территориального развития </w:t>
      </w:r>
      <w:r w:rsidRPr="00CC29BF">
        <w:rPr>
          <w:rFonts w:ascii="Times New Roman" w:hAnsi="Times New Roman"/>
          <w:bCs/>
          <w:sz w:val="28"/>
          <w:szCs w:val="28"/>
        </w:rPr>
        <w:br/>
        <w:t>администрации города Мурманска;</w:t>
      </w:r>
    </w:p>
    <w:p w:rsidR="002D78A6" w:rsidRPr="00CC29BF" w:rsidRDefault="002D78A6" w:rsidP="002D7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КИО – комитет имущественных отношений города Мурманска;</w:t>
      </w:r>
    </w:p>
    <w:p w:rsidR="002D78A6" w:rsidRPr="00CC29BF" w:rsidRDefault="002D78A6" w:rsidP="002D7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КС – комитет по строительству администрации города Мурманска;</w:t>
      </w:r>
    </w:p>
    <w:p w:rsidR="002D78A6" w:rsidRPr="00CC29BF" w:rsidRDefault="002D78A6" w:rsidP="002D7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2D78A6" w:rsidRPr="00CC29BF" w:rsidRDefault="002D78A6" w:rsidP="002D7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КЭР – комитет по экономическому развитию администрации города Мурманска;</w:t>
      </w:r>
    </w:p>
    <w:p w:rsidR="002D78A6" w:rsidRPr="00CC29BF" w:rsidRDefault="002D78A6" w:rsidP="002D7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МБ – средства местного бюджета;</w:t>
      </w:r>
    </w:p>
    <w:p w:rsidR="002D78A6" w:rsidRPr="00CC29BF" w:rsidRDefault="002D78A6" w:rsidP="002D7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ОБ – средства областного бюджета;</w:t>
      </w:r>
    </w:p>
    <w:p w:rsidR="002D78A6" w:rsidRPr="00CC29BF" w:rsidRDefault="002D78A6" w:rsidP="002D7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УКС – Мурманское муниципальное казенное учреждение «Управление капитального строительства»;</w:t>
      </w:r>
    </w:p>
    <w:p w:rsidR="002D78A6" w:rsidRPr="00CC29BF" w:rsidRDefault="002D78A6" w:rsidP="002D78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Pr="00CC29BF">
        <w:rPr>
          <w:rFonts w:ascii="Times New Roman" w:hAnsi="Times New Roman"/>
        </w:rPr>
        <w:t> </w:t>
      </w:r>
      <w:r w:rsidRPr="00CC29BF">
        <w:rPr>
          <w:rFonts w:ascii="Times New Roman" w:hAnsi="Times New Roman"/>
          <w:bCs/>
          <w:sz w:val="28"/>
          <w:szCs w:val="28"/>
        </w:rPr>
        <w:t>УОДОМС – Мурманское муниципальное бюджетное учреждение «Управление по обеспечению деятельности органов местного самоуправления города Мурманска»;</w:t>
      </w:r>
    </w:p>
    <w:p w:rsidR="002D78A6" w:rsidRPr="00CC29BF" w:rsidRDefault="002D78A6" w:rsidP="002D78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ФБ – средства федерального бюджета;</w:t>
      </w:r>
    </w:p>
    <w:p w:rsidR="002D78A6" w:rsidRPr="00CC29BF" w:rsidRDefault="002D78A6" w:rsidP="002D78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ЦКИМИ – Мурманское муниципальное казенное учреждение «Центр по контролю за использованием муниципального имущества».</w:t>
      </w:r>
    </w:p>
    <w:p w:rsidR="002D78A6" w:rsidRPr="00CC29BF" w:rsidRDefault="002D78A6" w:rsidP="002D78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6734"/>
      </w:tblGrid>
      <w:tr w:rsidR="002D78A6" w:rsidRPr="000D7EB2" w:rsidTr="00596263">
        <w:trPr>
          <w:tblCellSpacing w:w="5" w:type="nil"/>
        </w:trPr>
        <w:tc>
          <w:tcPr>
            <w:tcW w:w="1397" w:type="pct"/>
          </w:tcPr>
          <w:p w:rsidR="002D78A6" w:rsidRPr="000D7EB2" w:rsidRDefault="002D78A6" w:rsidP="00596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603" w:type="pct"/>
          </w:tcPr>
          <w:p w:rsidR="002D78A6" w:rsidRPr="000D7EB2" w:rsidRDefault="002D78A6" w:rsidP="005962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имущества, создание благоприятных условий для обеспечения населения комфортным жильем</w:t>
            </w:r>
          </w:p>
        </w:tc>
      </w:tr>
      <w:tr w:rsidR="002D78A6" w:rsidRPr="000D7EB2" w:rsidTr="00596263">
        <w:trPr>
          <w:trHeight w:val="1284"/>
          <w:tblCellSpacing w:w="5" w:type="nil"/>
        </w:trPr>
        <w:tc>
          <w:tcPr>
            <w:tcW w:w="1397" w:type="pct"/>
          </w:tcPr>
          <w:p w:rsidR="002D78A6" w:rsidRPr="000D7EB2" w:rsidRDefault="002D78A6" w:rsidP="00596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2D78A6" w:rsidRPr="000D7EB2" w:rsidRDefault="002D78A6" w:rsidP="00596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1. Переселение граждан из аварийного жилищного фонда.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2.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D7EB2">
              <w:rPr>
                <w:rFonts w:ascii="Times New Roman" w:hAnsi="Times New Roman"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3. Предоставление муниципальной и государственной поддержки в решении жилищной проблемы молодых и многодетных семей города Мурманска.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4. Сокращение количества пустующих муниципальных нежилых помещений и обеспечение населения благоустроенным жильем.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5. 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6. Создание условий для использования имущества в целях решения вопросов местного значения.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7. Регулирование земельных и имущественных отношений.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lastRenderedPageBreak/>
              <w:t>8. 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2D78A6" w:rsidRPr="000D7EB2" w:rsidTr="00596263">
        <w:trPr>
          <w:tblCellSpacing w:w="5" w:type="nil"/>
        </w:trPr>
        <w:tc>
          <w:tcPr>
            <w:tcW w:w="1397" w:type="pct"/>
          </w:tcPr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3603" w:type="pct"/>
            <w:shd w:val="clear" w:color="auto" w:fill="auto"/>
          </w:tcPr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 Количество граждан, переселенных из аварийных многоквартирных домов. 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Количество переселенных граждан, проживающих в многоквартирных домах пониженной капитальности, имеющих не все виды благоустройства.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Доля семей, улучшивших свои жилищные условия, в общем количестве семей, получивших свидетельства в текущем году.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 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 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 Количество многодетных семей, улучшивших свои жилищные условия с использованием единовременной денежной выплаты, к концу 2024 года.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 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 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 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 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 Количество объектов бесхозяйного имущества, принятых в муниципальную собственность.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 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 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 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 Доля муниципальных аварийных нежилых зданий, строений, снос которых осуществлен, от числа запланированных.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 Доля пустующих нежилых отдельно стоящих зданий, в отношении которых проведены мероприятия по обеспечению сохранности, от числа запланированных.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 Доля сформированных земельных участков от общего числа запланированных.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 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 Доля земельных участков, в отношении которых выполнены кадастровые работы по исправлению реестровой ошибки, от общего, запланированного на соответствующий год количества земельных участков.</w:t>
            </w:r>
          </w:p>
          <w:p w:rsidR="002D78A6" w:rsidRPr="000D7EB2" w:rsidRDefault="002D78A6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 Доля площади земельных участков, по которым выполнена кадастровая съемка для исправления реестровой ошибки, от общей запланированной на соответствующий год площади земельных участков</w:t>
            </w:r>
          </w:p>
        </w:tc>
      </w:tr>
      <w:tr w:rsidR="002D78A6" w:rsidRPr="000D7EB2" w:rsidTr="00596263">
        <w:trPr>
          <w:trHeight w:val="1198"/>
          <w:tblCellSpacing w:w="5" w:type="nil"/>
        </w:trPr>
        <w:tc>
          <w:tcPr>
            <w:tcW w:w="1397" w:type="pct"/>
          </w:tcPr>
          <w:p w:rsidR="002D78A6" w:rsidRPr="000D7EB2" w:rsidRDefault="002D78A6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подпрограмм и АВЦП</w:t>
            </w:r>
          </w:p>
          <w:p w:rsidR="002D78A6" w:rsidRPr="000D7EB2" w:rsidRDefault="002D78A6" w:rsidP="00596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I. Подпрограмма «Переселение граждан из многоквартирных домов, признанных аварийными до 01.01.2017» на 2018-2024 годы.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II. 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III. Подпрограмма «Обеспечение жильем молодых и многодетных семей города Мурманска» на 2018-2024 годы.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IV. Подпрограмма «Переустройство и (или) перепланировка пустующих муниципальных нежилых помещений для перевода их в муниципальные жилые помещения» на 2018-2024 годы.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V. 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VI. Подпрограмма «Создание условий для эффективного использования муниципального имущества города Мурманска» на 2018-2024 годы.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VII. Подпрограмма «Реформирование и регулирование земельных и имущественных отношений на территории муниципального образования город Мурманск» на 2018-2024 годы.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VIII. АВЦП «Обеспечение деятельности комитета имущественных отношений города Мурманска» на 2018-2024 годы</w:t>
            </w:r>
          </w:p>
        </w:tc>
      </w:tr>
      <w:tr w:rsidR="002D78A6" w:rsidRPr="000D7EB2" w:rsidTr="00596263">
        <w:trPr>
          <w:tblCellSpacing w:w="5" w:type="nil"/>
        </w:trPr>
        <w:tc>
          <w:tcPr>
            <w:tcW w:w="1397" w:type="pct"/>
          </w:tcPr>
          <w:p w:rsidR="002D78A6" w:rsidRPr="000D7EB2" w:rsidRDefault="002D78A6" w:rsidP="00596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3603" w:type="pct"/>
          </w:tcPr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КИО, КС, КЭР, КСПВООДМ</w:t>
            </w:r>
          </w:p>
        </w:tc>
      </w:tr>
      <w:tr w:rsidR="002D78A6" w:rsidRPr="000D7EB2" w:rsidTr="00596263">
        <w:trPr>
          <w:tblCellSpacing w:w="5" w:type="nil"/>
        </w:trPr>
        <w:tc>
          <w:tcPr>
            <w:tcW w:w="1397" w:type="pct"/>
          </w:tcPr>
          <w:p w:rsidR="002D78A6" w:rsidRPr="000D7EB2" w:rsidRDefault="002D78A6" w:rsidP="00596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3603" w:type="pct"/>
          </w:tcPr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2D78A6" w:rsidRPr="000D7EB2" w:rsidTr="00596263">
        <w:trPr>
          <w:tblCellSpacing w:w="5" w:type="nil"/>
        </w:trPr>
        <w:tc>
          <w:tcPr>
            <w:tcW w:w="1397" w:type="pct"/>
          </w:tcPr>
          <w:p w:rsidR="002D78A6" w:rsidRPr="000D7EB2" w:rsidRDefault="002D78A6" w:rsidP="00596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03" w:type="pct"/>
          </w:tcPr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2D78A6" w:rsidRPr="000D7EB2" w:rsidTr="00596263">
        <w:trPr>
          <w:trHeight w:val="1096"/>
          <w:tblCellSpacing w:w="5" w:type="nil"/>
        </w:trPr>
        <w:tc>
          <w:tcPr>
            <w:tcW w:w="1397" w:type="pct"/>
          </w:tcPr>
          <w:p w:rsidR="002D78A6" w:rsidRPr="000D7EB2" w:rsidRDefault="002D78A6" w:rsidP="00596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603" w:type="pct"/>
          </w:tcPr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программе: 10 280 937,2 тыс. руб., в том числе: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1 163 575,8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1 146 442,7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1 164 193,5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1 306 170,1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3 544 803,3 тыс. руб.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3 795 269,7 тыс. руб., из них: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2018 год – 612 752,2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516 122,1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395 554,8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642 779,0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648 146,5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475 099,3 тыс. руб.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962 982,4 тыс. руб., из них: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190 253,9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175 549,5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237 039,8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168 510,7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99 430,0 тыс. руб.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1 053 406,6 тыс. руб., из них: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300 338,4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19 374,7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224 512,9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4 469 278,5 тыс. руб., из них: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232 824,6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275 000,0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265 000,0 тыс. руб.; </w:t>
            </w:r>
          </w:p>
          <w:p w:rsidR="002D78A6" w:rsidRPr="000D7EB2" w:rsidRDefault="002D78A6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265 000,0 тыс. руб.; </w:t>
            </w:r>
          </w:p>
          <w:p w:rsidR="002D78A6" w:rsidRPr="000D7EB2" w:rsidRDefault="002D78A6" w:rsidP="0059626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 w:cs="Times New Roman"/>
                <w:sz w:val="24"/>
                <w:szCs w:val="24"/>
              </w:rPr>
              <w:t>2024 год – 2 970 274,0 тыс. руб.</w:t>
            </w:r>
          </w:p>
        </w:tc>
      </w:tr>
      <w:tr w:rsidR="002D78A6" w:rsidRPr="00CC29BF" w:rsidTr="00596263">
        <w:trPr>
          <w:trHeight w:val="758"/>
          <w:tblCellSpacing w:w="5" w:type="nil"/>
        </w:trPr>
        <w:tc>
          <w:tcPr>
            <w:tcW w:w="1397" w:type="pct"/>
          </w:tcPr>
          <w:p w:rsidR="002D78A6" w:rsidRPr="000D7EB2" w:rsidRDefault="002D78A6" w:rsidP="00596263">
            <w:pPr>
              <w:pStyle w:val="ConsPlusNormal"/>
              <w:tabs>
                <w:tab w:val="left" w:pos="208"/>
                <w:tab w:val="left" w:pos="350"/>
                <w:tab w:val="left" w:pos="49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603" w:type="pct"/>
          </w:tcPr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 xml:space="preserve">1. Количество граждан, переселенных из аварийных многоквартирных домов, – 3779 чел. 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 xml:space="preserve">2. Количество переселенных граждан, проживающих в многоквартирных домах пониженной капитальности, имеющих не все виды благоустройства, – </w:t>
            </w:r>
            <w:r w:rsidRPr="00A6298B">
              <w:rPr>
                <w:rFonts w:ascii="Times New Roman" w:hAnsi="Times New Roman"/>
                <w:sz w:val="24"/>
                <w:szCs w:val="24"/>
              </w:rPr>
              <w:t>3931</w:t>
            </w:r>
            <w:r w:rsidRPr="000D7EB2">
              <w:rPr>
                <w:rFonts w:ascii="Times New Roman" w:hAnsi="Times New Roman"/>
                <w:sz w:val="24"/>
                <w:szCs w:val="24"/>
              </w:rPr>
              <w:t xml:space="preserve"> чел. к концу 2024 года.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3. Доля семей, улучшивших свои жилищные условия, в общем количестве семей, получивших свидетельства в текущем году, – 100 %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4. 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Мурманску, – в 1,56 раз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5. 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16,7 %.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 xml:space="preserve">6. Количество многодетных семей, улучшивших свои жилищные условия с использованием единовременной денежной </w:t>
            </w:r>
            <w:r w:rsidRPr="000D7EB2">
              <w:rPr>
                <w:rFonts w:ascii="Times New Roman" w:hAnsi="Times New Roman"/>
                <w:sz w:val="24"/>
                <w:szCs w:val="24"/>
              </w:rPr>
              <w:br/>
              <w:t>выплаты, – 160 семьи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 xml:space="preserve">7. Количество помещений, имеющих в результате действий по </w:t>
            </w:r>
            <w:r w:rsidRPr="000D7EB2">
              <w:rPr>
                <w:rFonts w:ascii="Times New Roman" w:hAnsi="Times New Roman"/>
                <w:sz w:val="24"/>
                <w:szCs w:val="24"/>
              </w:rPr>
              <w:lastRenderedPageBreak/>
              <w:t>изменению категории пустующих нежилых помещений возможность для использования в качестве жилых, – 28 ед. к концу 2024 года.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8. Доля объектов, законченных капитальным ремонтом, для использования в качестве жилых от общего числа запланированных на соответствующий год – 100 %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9. 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74 ед. к концу 2024 года.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10. Доля объектов муниципального нежилого фонда, вовлеченных в хозяйственный оборот (проданных, переданных в аренду), от числа запланированных – 91 %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11. Количество объектов бесхозяйного имущества, принятых в муниципальную собственность, – 635 объектов к концу 2024 года.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12. Доля жилых помещений, приобретенных с целью пополнения муниципального специализированного жилищного фонда, от числа запланированных – 94 %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13. Доля заключенных муниципальных контрактов по содержанию муниципальных помещений, находящихся в многоквартирных домах, от числа запланированных – 93 %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14. 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100 %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15. Доля муниципальных аварийных нежилых зданий, строений, снос которых осуществлен, от числа запланированных – 100 %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16. Доля пустующих нежилых отдельно стоящих зданий, в отношении которых проведены мероприятия по обеспечению сохранности, от числа запланированных – 100 %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17. Доля сформированных земельных участков от общего числа запланированных – 100 %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18. Доля площади земельных участков, по которым выполнена кадастровая съемка, от общей запланированной площади земельных участков – 100 % ежегодно.</w:t>
            </w:r>
          </w:p>
          <w:p w:rsidR="002D78A6" w:rsidRPr="000D7EB2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19. Доля земельных участков, в отношении которых выполнены кадастровые работы по исправлению реестровой ошибки, от общего, запланированного на соответствующий год количества земельных участков – 100% ежегодно.</w:t>
            </w:r>
          </w:p>
          <w:p w:rsidR="002D78A6" w:rsidRPr="00CC29BF" w:rsidRDefault="002D78A6" w:rsidP="0059626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20. 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14407F" w:rsidRDefault="002D78A6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36"/>
    <w:rsid w:val="000D2633"/>
    <w:rsid w:val="00130B36"/>
    <w:rsid w:val="002D78A6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9ED14-831D-4FF7-97DA-3AC8F55F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78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D78A6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D78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78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2022-06-07T09:30:00Z</dcterms:created>
  <dcterms:modified xsi:type="dcterms:W3CDTF">2022-06-07T09:30:00Z</dcterms:modified>
</cp:coreProperties>
</file>