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43" w:rsidRDefault="00E37843" w:rsidP="00E37843">
      <w:pPr>
        <w:pStyle w:val="3"/>
        <w:ind w:right="-141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843" w:rsidRDefault="00E37843" w:rsidP="00E37843">
      <w:pPr>
        <w:pStyle w:val="3"/>
        <w:jc w:val="center"/>
        <w:rPr>
          <w:sz w:val="16"/>
        </w:rPr>
      </w:pPr>
    </w:p>
    <w:p w:rsidR="00E37843" w:rsidRDefault="00E37843" w:rsidP="00E37843">
      <w:pPr>
        <w:pStyle w:val="3"/>
        <w:ind w:right="0"/>
        <w:jc w:val="center"/>
        <w:rPr>
          <w:sz w:val="32"/>
        </w:rPr>
      </w:pPr>
      <w:r>
        <w:rPr>
          <w:sz w:val="32"/>
        </w:rPr>
        <w:t>АДМИНИСТРАЦИЯ ГОРОДА МУРМАНСКА</w:t>
      </w:r>
    </w:p>
    <w:p w:rsidR="00E37843" w:rsidRDefault="00E37843" w:rsidP="00E37843">
      <w:pPr>
        <w:ind w:right="-521" w:hanging="567"/>
        <w:jc w:val="center"/>
        <w:rPr>
          <w:b/>
          <w:sz w:val="32"/>
        </w:rPr>
      </w:pPr>
    </w:p>
    <w:p w:rsidR="00E37843" w:rsidRDefault="00E37843" w:rsidP="00E37843">
      <w:pPr>
        <w:pStyle w:val="5"/>
      </w:pPr>
      <w:r>
        <w:t xml:space="preserve">П О С Т А Н О В Л Е Н И Е </w:t>
      </w:r>
    </w:p>
    <w:p w:rsidR="00E37843" w:rsidRDefault="00E37843" w:rsidP="00E37843">
      <w:pPr>
        <w:ind w:right="-521" w:hanging="567"/>
        <w:jc w:val="center"/>
        <w:rPr>
          <w:b/>
          <w:sz w:val="32"/>
        </w:rPr>
      </w:pPr>
    </w:p>
    <w:p w:rsidR="00E37843" w:rsidRDefault="00E37843" w:rsidP="00E37843">
      <w:pPr>
        <w:ind w:right="-521" w:hanging="567"/>
        <w:jc w:val="center"/>
        <w:rPr>
          <w:b/>
          <w:sz w:val="32"/>
        </w:rPr>
      </w:pPr>
    </w:p>
    <w:p w:rsidR="00E37843" w:rsidRDefault="004E3CF9" w:rsidP="00E37843">
      <w:pPr>
        <w:ind w:firstLine="34"/>
        <w:jc w:val="center"/>
        <w:rPr>
          <w:b/>
        </w:rPr>
      </w:pPr>
      <w:r>
        <w:t>12.11.2012</w:t>
      </w:r>
      <w:r w:rsidR="00E37843">
        <w:t xml:space="preserve">     </w:t>
      </w:r>
      <w:r>
        <w:t xml:space="preserve">                                         </w:t>
      </w:r>
      <w:r w:rsidR="00E37843">
        <w:t xml:space="preserve">                                                            </w:t>
      </w:r>
      <w:r w:rsidR="00E37843" w:rsidRPr="002B0ED7">
        <w:rPr>
          <w:szCs w:val="28"/>
        </w:rPr>
        <w:t>№</w:t>
      </w:r>
      <w:r>
        <w:rPr>
          <w:szCs w:val="28"/>
        </w:rPr>
        <w:t xml:space="preserve"> </w:t>
      </w:r>
      <w:r>
        <w:t>2665</w:t>
      </w:r>
    </w:p>
    <w:p w:rsidR="00344879" w:rsidRDefault="00344879"/>
    <w:p w:rsidR="00E37843" w:rsidRDefault="00E37843"/>
    <w:p w:rsidR="00184077" w:rsidRPr="00C31BA3" w:rsidRDefault="00184077" w:rsidP="00184077">
      <w:pPr>
        <w:ind w:right="141"/>
        <w:jc w:val="center"/>
        <w:rPr>
          <w:b/>
          <w:szCs w:val="28"/>
        </w:rPr>
      </w:pPr>
      <w:r w:rsidRPr="00C31BA3">
        <w:rPr>
          <w:b/>
          <w:szCs w:val="28"/>
        </w:rPr>
        <w:t xml:space="preserve">О прогнозе социально-экономического развития </w:t>
      </w:r>
    </w:p>
    <w:p w:rsidR="00184077" w:rsidRPr="00C31BA3" w:rsidRDefault="00184077" w:rsidP="00184077">
      <w:pPr>
        <w:ind w:right="141"/>
        <w:jc w:val="center"/>
        <w:rPr>
          <w:b/>
          <w:szCs w:val="28"/>
        </w:rPr>
      </w:pPr>
      <w:r w:rsidRPr="00C31BA3">
        <w:rPr>
          <w:b/>
          <w:szCs w:val="28"/>
        </w:rPr>
        <w:t>муниципального образования город Мурманск на 201</w:t>
      </w:r>
      <w:r>
        <w:rPr>
          <w:b/>
          <w:szCs w:val="28"/>
        </w:rPr>
        <w:t>3</w:t>
      </w:r>
      <w:r w:rsidRPr="00C31BA3">
        <w:rPr>
          <w:b/>
          <w:szCs w:val="28"/>
        </w:rPr>
        <w:t xml:space="preserve"> год </w:t>
      </w:r>
    </w:p>
    <w:p w:rsidR="006E29B3" w:rsidRPr="00537EB0" w:rsidRDefault="00184077" w:rsidP="00184077">
      <w:pPr>
        <w:ind w:right="-2"/>
        <w:jc w:val="center"/>
        <w:rPr>
          <w:b/>
          <w:szCs w:val="28"/>
        </w:rPr>
      </w:pPr>
      <w:r>
        <w:rPr>
          <w:b/>
          <w:szCs w:val="28"/>
        </w:rPr>
        <w:t>и плановый период 2014</w:t>
      </w:r>
      <w:r w:rsidRPr="00C31BA3">
        <w:rPr>
          <w:b/>
          <w:szCs w:val="28"/>
        </w:rPr>
        <w:t xml:space="preserve"> и 201</w:t>
      </w:r>
      <w:r>
        <w:rPr>
          <w:b/>
          <w:szCs w:val="28"/>
        </w:rPr>
        <w:t>5</w:t>
      </w:r>
      <w:r w:rsidRPr="00C31BA3">
        <w:rPr>
          <w:b/>
          <w:szCs w:val="28"/>
        </w:rPr>
        <w:t xml:space="preserve"> годов</w:t>
      </w:r>
    </w:p>
    <w:p w:rsidR="00E37843" w:rsidRDefault="00E37843" w:rsidP="00E37843">
      <w:pPr>
        <w:ind w:right="141"/>
        <w:jc w:val="center"/>
        <w:rPr>
          <w:b/>
          <w:szCs w:val="28"/>
        </w:rPr>
      </w:pPr>
    </w:p>
    <w:p w:rsidR="00E37843" w:rsidRDefault="00E37843"/>
    <w:p w:rsidR="00E37843" w:rsidRDefault="00E37843"/>
    <w:p w:rsidR="00184077" w:rsidRPr="00C31BA3" w:rsidRDefault="00184077" w:rsidP="00184077">
      <w:pPr>
        <w:ind w:firstLine="709"/>
        <w:jc w:val="both"/>
        <w:rPr>
          <w:b/>
          <w:spacing w:val="20"/>
          <w:szCs w:val="28"/>
        </w:rPr>
      </w:pPr>
      <w:r w:rsidRPr="00C31BA3">
        <w:rPr>
          <w:spacing w:val="4"/>
          <w:szCs w:val="28"/>
        </w:rPr>
        <w:t xml:space="preserve">В соответствии со статьей 173 Бюджетного кодекса Российской Федерации, статьей 17 Федерального закона от 06.10.2003 № 131-ФЗ </w:t>
      </w:r>
      <w:r w:rsidR="00E23588">
        <w:rPr>
          <w:spacing w:val="4"/>
          <w:szCs w:val="28"/>
        </w:rPr>
        <w:t xml:space="preserve">               </w:t>
      </w:r>
      <w:r w:rsidRPr="00C31BA3">
        <w:rPr>
          <w:spacing w:val="4"/>
          <w:szCs w:val="28"/>
        </w:rPr>
        <w:t xml:space="preserve">«Об общих принципах организации местного самоуправления в Российской Федерации», постановлением Правительства Мурманской области от 03.08.2011 № 384-ПП «О порядке разработки прогноза социально-экономического развития Мурманской области на очередной финансовый год и плановый период», статьей 45 Устава муниципального образования город Мурманск, решением Совета депутатов города Мурманска </w:t>
      </w:r>
      <w:r>
        <w:rPr>
          <w:spacing w:val="4"/>
          <w:szCs w:val="28"/>
        </w:rPr>
        <w:t xml:space="preserve">                       </w:t>
      </w:r>
      <w:r w:rsidRPr="00C31BA3">
        <w:rPr>
          <w:spacing w:val="4"/>
          <w:szCs w:val="28"/>
        </w:rPr>
        <w:t xml:space="preserve">от 26.05.2008 № 50-618 «Об утверждении «Положения о бюджетном устройстве и бюджетном процессе в муниципальном образовании город Мурманск», постановлением администрации города Мурманска </w:t>
      </w:r>
      <w:r>
        <w:rPr>
          <w:spacing w:val="4"/>
          <w:szCs w:val="28"/>
        </w:rPr>
        <w:t xml:space="preserve">                           </w:t>
      </w:r>
      <w:r w:rsidRPr="00C31BA3">
        <w:rPr>
          <w:spacing w:val="4"/>
          <w:szCs w:val="28"/>
        </w:rPr>
        <w:t xml:space="preserve">от </w:t>
      </w:r>
      <w:r w:rsidR="00E23588">
        <w:t xml:space="preserve">21.08.2012 </w:t>
      </w:r>
      <w:r w:rsidR="00E23588">
        <w:rPr>
          <w:szCs w:val="28"/>
        </w:rPr>
        <w:t>№ 2054</w:t>
      </w:r>
      <w:r w:rsidR="00E23588" w:rsidRPr="00C31BA3">
        <w:rPr>
          <w:spacing w:val="4"/>
          <w:szCs w:val="28"/>
        </w:rPr>
        <w:t xml:space="preserve"> </w:t>
      </w:r>
      <w:r w:rsidR="00E23588">
        <w:rPr>
          <w:spacing w:val="4"/>
          <w:szCs w:val="28"/>
        </w:rPr>
        <w:t>«О П</w:t>
      </w:r>
      <w:r w:rsidRPr="00C31BA3">
        <w:rPr>
          <w:spacing w:val="4"/>
          <w:szCs w:val="28"/>
        </w:rPr>
        <w:t xml:space="preserve">орядке разработки прогноза социально-экономического развития муниципального образования город Мурманск на очередной финансовый год и плановый период», во исполнение постановления администрации города Мурманска от </w:t>
      </w:r>
      <w:r>
        <w:rPr>
          <w:spacing w:val="4"/>
          <w:szCs w:val="28"/>
        </w:rPr>
        <w:t>13</w:t>
      </w:r>
      <w:r w:rsidRPr="00C31BA3">
        <w:rPr>
          <w:spacing w:val="4"/>
          <w:szCs w:val="28"/>
        </w:rPr>
        <w:t>.0</w:t>
      </w:r>
      <w:r>
        <w:rPr>
          <w:spacing w:val="4"/>
          <w:szCs w:val="28"/>
        </w:rPr>
        <w:t>7</w:t>
      </w:r>
      <w:r w:rsidRPr="00C31BA3">
        <w:rPr>
          <w:spacing w:val="4"/>
          <w:szCs w:val="28"/>
        </w:rPr>
        <w:t>.201</w:t>
      </w:r>
      <w:r>
        <w:rPr>
          <w:spacing w:val="4"/>
          <w:szCs w:val="28"/>
        </w:rPr>
        <w:t>2</w:t>
      </w:r>
      <w:r w:rsidRPr="00C31BA3">
        <w:rPr>
          <w:spacing w:val="4"/>
          <w:szCs w:val="28"/>
        </w:rPr>
        <w:t xml:space="preserve"> № </w:t>
      </w:r>
      <w:r>
        <w:rPr>
          <w:spacing w:val="4"/>
          <w:szCs w:val="28"/>
        </w:rPr>
        <w:t>1623</w:t>
      </w:r>
      <w:r w:rsidRPr="00C31BA3">
        <w:rPr>
          <w:spacing w:val="4"/>
          <w:szCs w:val="28"/>
        </w:rPr>
        <w:t xml:space="preserve"> </w:t>
      </w:r>
      <w:r w:rsidR="00E23588">
        <w:rPr>
          <w:spacing w:val="4"/>
          <w:szCs w:val="28"/>
        </w:rPr>
        <w:t xml:space="preserve">              </w:t>
      </w:r>
      <w:r w:rsidRPr="00C31BA3">
        <w:rPr>
          <w:spacing w:val="4"/>
          <w:szCs w:val="28"/>
        </w:rPr>
        <w:t>«О разработке прогноза социально-экономического развития муниципального образования город Мурманск на 201</w:t>
      </w:r>
      <w:r>
        <w:rPr>
          <w:spacing w:val="4"/>
          <w:szCs w:val="28"/>
        </w:rPr>
        <w:t>3</w:t>
      </w:r>
      <w:r w:rsidRPr="00C31BA3">
        <w:rPr>
          <w:spacing w:val="4"/>
          <w:szCs w:val="28"/>
        </w:rPr>
        <w:t xml:space="preserve"> год и плановый период 201</w:t>
      </w:r>
      <w:r>
        <w:rPr>
          <w:spacing w:val="4"/>
          <w:szCs w:val="28"/>
        </w:rPr>
        <w:t>4</w:t>
      </w:r>
      <w:r w:rsidRPr="00C31BA3">
        <w:rPr>
          <w:spacing w:val="4"/>
          <w:szCs w:val="28"/>
        </w:rPr>
        <w:t xml:space="preserve"> и 201</w:t>
      </w:r>
      <w:r>
        <w:rPr>
          <w:spacing w:val="4"/>
          <w:szCs w:val="28"/>
        </w:rPr>
        <w:t>5</w:t>
      </w:r>
      <w:r w:rsidRPr="00C31BA3">
        <w:rPr>
          <w:spacing w:val="4"/>
          <w:szCs w:val="28"/>
        </w:rPr>
        <w:t xml:space="preserve"> годов, проекта решения Совета депутатов города Мурманска «О бюджете муниципального образования город Мурманск на 201</w:t>
      </w:r>
      <w:r>
        <w:rPr>
          <w:spacing w:val="4"/>
          <w:szCs w:val="28"/>
        </w:rPr>
        <w:t>3</w:t>
      </w:r>
      <w:r w:rsidRPr="00C31BA3">
        <w:rPr>
          <w:spacing w:val="4"/>
          <w:szCs w:val="28"/>
        </w:rPr>
        <w:t xml:space="preserve"> год и плановый период 201</w:t>
      </w:r>
      <w:r>
        <w:rPr>
          <w:spacing w:val="4"/>
          <w:szCs w:val="28"/>
        </w:rPr>
        <w:t>4 и 2015</w:t>
      </w:r>
      <w:r w:rsidRPr="00C31BA3">
        <w:rPr>
          <w:spacing w:val="4"/>
          <w:szCs w:val="28"/>
        </w:rPr>
        <w:t xml:space="preserve"> годов» и в целях осуществления бюджетного процесса в муниципальном образовании город Мурманск</w:t>
      </w:r>
      <w:r w:rsidRPr="00C31BA3">
        <w:rPr>
          <w:color w:val="FF0000"/>
          <w:spacing w:val="4"/>
          <w:szCs w:val="28"/>
        </w:rPr>
        <w:t xml:space="preserve"> </w:t>
      </w:r>
      <w:r w:rsidR="00E23588">
        <w:rPr>
          <w:color w:val="FF0000"/>
          <w:spacing w:val="4"/>
          <w:szCs w:val="28"/>
        </w:rPr>
        <w:t xml:space="preserve">              </w:t>
      </w:r>
      <w:r w:rsidRPr="00C31BA3">
        <w:rPr>
          <w:b/>
          <w:spacing w:val="20"/>
          <w:szCs w:val="28"/>
        </w:rPr>
        <w:t>п о с т а н о в л я ю:</w:t>
      </w:r>
    </w:p>
    <w:p w:rsidR="00184077" w:rsidRPr="00C31BA3" w:rsidRDefault="00184077" w:rsidP="00184077">
      <w:pPr>
        <w:ind w:firstLine="709"/>
        <w:jc w:val="both"/>
        <w:rPr>
          <w:szCs w:val="28"/>
        </w:rPr>
      </w:pPr>
    </w:p>
    <w:p w:rsidR="00184077" w:rsidRPr="00C31BA3" w:rsidRDefault="00184077" w:rsidP="00D7514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31BA3">
        <w:rPr>
          <w:sz w:val="28"/>
          <w:szCs w:val="28"/>
        </w:rPr>
        <w:t xml:space="preserve"> Одобрить прогноз социально-экономического развития муниципального образования город Мурманск на 201</w:t>
      </w:r>
      <w:r w:rsidR="00D7514A">
        <w:rPr>
          <w:sz w:val="28"/>
          <w:szCs w:val="28"/>
        </w:rPr>
        <w:t>3</w:t>
      </w:r>
      <w:r w:rsidRPr="00C31BA3">
        <w:rPr>
          <w:sz w:val="28"/>
          <w:szCs w:val="28"/>
        </w:rPr>
        <w:t xml:space="preserve"> год  и  плановый пер</w:t>
      </w:r>
      <w:r w:rsidR="00D7514A">
        <w:rPr>
          <w:sz w:val="28"/>
          <w:szCs w:val="28"/>
        </w:rPr>
        <w:t>иод 2014 и 2015 годов (далее – П</w:t>
      </w:r>
      <w:r w:rsidRPr="00C31BA3">
        <w:rPr>
          <w:sz w:val="28"/>
          <w:szCs w:val="28"/>
        </w:rPr>
        <w:t>рогноз) согласно приложению</w:t>
      </w:r>
      <w:r>
        <w:rPr>
          <w:sz w:val="28"/>
          <w:szCs w:val="28"/>
        </w:rPr>
        <w:t xml:space="preserve"> к настоящему постановлению</w:t>
      </w:r>
      <w:r w:rsidRPr="00C31BA3">
        <w:rPr>
          <w:sz w:val="28"/>
          <w:szCs w:val="28"/>
        </w:rPr>
        <w:t>.</w:t>
      </w:r>
    </w:p>
    <w:p w:rsidR="00D7514A" w:rsidRPr="00436D94" w:rsidRDefault="00D7514A" w:rsidP="00D7514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6D94">
        <w:rPr>
          <w:sz w:val="28"/>
          <w:szCs w:val="28"/>
        </w:rPr>
        <w:lastRenderedPageBreak/>
        <w:t> Отделу информационно-технического обеспечения и защиты информации администрации города Мурманска (Кузьмин А.Н.)           разместить настоящее постановление на официальном сайте администрации города Мурманска в сети Интернет.</w:t>
      </w:r>
    </w:p>
    <w:p w:rsidR="00D7514A" w:rsidRDefault="00D7514A" w:rsidP="00D7514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Редакции газеты «Вечерний Мурманск» (Червякова Н.Г.) опубликовать настоящее постановление с приложени</w:t>
      </w:r>
      <w:r w:rsidR="007944BA">
        <w:rPr>
          <w:sz w:val="28"/>
          <w:szCs w:val="28"/>
        </w:rPr>
        <w:t>ем</w:t>
      </w:r>
      <w:r>
        <w:rPr>
          <w:sz w:val="28"/>
          <w:szCs w:val="28"/>
        </w:rPr>
        <w:t>.</w:t>
      </w:r>
    </w:p>
    <w:p w:rsidR="00D7514A" w:rsidRPr="0043519E" w:rsidRDefault="00D7514A" w:rsidP="00D7514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подписания.</w:t>
      </w:r>
    </w:p>
    <w:p w:rsidR="00D7514A" w:rsidRPr="0043519E" w:rsidRDefault="00D7514A" w:rsidP="00D7514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города Мурманска Соколова М.Ю.</w:t>
      </w:r>
    </w:p>
    <w:p w:rsidR="00184077" w:rsidRPr="00C31BA3" w:rsidRDefault="00184077" w:rsidP="00184077">
      <w:pPr>
        <w:rPr>
          <w:szCs w:val="28"/>
        </w:rPr>
      </w:pPr>
    </w:p>
    <w:p w:rsidR="00184077" w:rsidRPr="00C31BA3" w:rsidRDefault="00184077" w:rsidP="00184077">
      <w:pPr>
        <w:rPr>
          <w:szCs w:val="28"/>
        </w:rPr>
      </w:pPr>
    </w:p>
    <w:p w:rsidR="00184077" w:rsidRPr="00C31BA3" w:rsidRDefault="00184077" w:rsidP="00184077">
      <w:pPr>
        <w:rPr>
          <w:szCs w:val="28"/>
        </w:rPr>
      </w:pPr>
    </w:p>
    <w:tbl>
      <w:tblPr>
        <w:tblW w:w="9889" w:type="dxa"/>
        <w:tblLayout w:type="fixed"/>
        <w:tblLook w:val="0000"/>
      </w:tblPr>
      <w:tblGrid>
        <w:gridCol w:w="5148"/>
        <w:gridCol w:w="1440"/>
        <w:gridCol w:w="3301"/>
      </w:tblGrid>
      <w:tr w:rsidR="00184077" w:rsidRPr="00C31BA3" w:rsidTr="00FD1798">
        <w:tc>
          <w:tcPr>
            <w:tcW w:w="5148" w:type="dxa"/>
          </w:tcPr>
          <w:p w:rsidR="00184077" w:rsidRPr="00C31BA3" w:rsidRDefault="00184077" w:rsidP="00FD1798">
            <w:pPr>
              <w:jc w:val="both"/>
              <w:rPr>
                <w:b/>
                <w:szCs w:val="28"/>
              </w:rPr>
            </w:pPr>
            <w:r w:rsidRPr="00C31BA3">
              <w:rPr>
                <w:b/>
                <w:szCs w:val="28"/>
              </w:rPr>
              <w:t xml:space="preserve">Глава администрации </w:t>
            </w:r>
          </w:p>
          <w:p w:rsidR="00184077" w:rsidRPr="00C31BA3" w:rsidRDefault="00184077" w:rsidP="00FD1798">
            <w:pPr>
              <w:jc w:val="both"/>
              <w:rPr>
                <w:b/>
                <w:szCs w:val="28"/>
              </w:rPr>
            </w:pPr>
            <w:r w:rsidRPr="00C31BA3">
              <w:rPr>
                <w:b/>
                <w:szCs w:val="28"/>
              </w:rPr>
              <w:t>города Мурманска</w:t>
            </w:r>
          </w:p>
        </w:tc>
        <w:tc>
          <w:tcPr>
            <w:tcW w:w="1440" w:type="dxa"/>
          </w:tcPr>
          <w:p w:rsidR="00184077" w:rsidRPr="00C31BA3" w:rsidRDefault="00184077" w:rsidP="00FD1798">
            <w:pPr>
              <w:jc w:val="both"/>
              <w:rPr>
                <w:b/>
                <w:szCs w:val="28"/>
              </w:rPr>
            </w:pPr>
          </w:p>
        </w:tc>
        <w:tc>
          <w:tcPr>
            <w:tcW w:w="3301" w:type="dxa"/>
          </w:tcPr>
          <w:p w:rsidR="00184077" w:rsidRPr="00C31BA3" w:rsidRDefault="00184077" w:rsidP="00FD1798">
            <w:pPr>
              <w:jc w:val="right"/>
              <w:rPr>
                <w:b/>
                <w:bCs/>
                <w:szCs w:val="28"/>
              </w:rPr>
            </w:pPr>
          </w:p>
          <w:p w:rsidR="00184077" w:rsidRPr="00C31BA3" w:rsidRDefault="00184077" w:rsidP="00FD1798">
            <w:pPr>
              <w:jc w:val="right"/>
              <w:rPr>
                <w:b/>
                <w:szCs w:val="28"/>
              </w:rPr>
            </w:pPr>
            <w:r w:rsidRPr="00C31BA3">
              <w:rPr>
                <w:b/>
                <w:bCs/>
                <w:szCs w:val="28"/>
              </w:rPr>
              <w:t>А.И. Сысоев</w:t>
            </w:r>
          </w:p>
        </w:tc>
      </w:tr>
    </w:tbl>
    <w:p w:rsidR="00B6759B" w:rsidRPr="00170CAA" w:rsidRDefault="00B6759B">
      <w:pPr>
        <w:sectPr w:rsidR="00B6759B" w:rsidRPr="00170CAA" w:rsidSect="004B536A">
          <w:headerReference w:type="default" r:id="rId9"/>
          <w:headerReference w:type="first" r:id="rId10"/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</w:p>
    <w:tbl>
      <w:tblPr>
        <w:tblW w:w="0" w:type="auto"/>
        <w:tblLook w:val="04A0"/>
      </w:tblPr>
      <w:tblGrid>
        <w:gridCol w:w="10287"/>
        <w:gridCol w:w="4501"/>
      </w:tblGrid>
      <w:tr w:rsidR="00E6695E" w:rsidRPr="00A46FF8" w:rsidTr="00063074">
        <w:tc>
          <w:tcPr>
            <w:tcW w:w="10740" w:type="dxa"/>
          </w:tcPr>
          <w:p w:rsidR="00E6695E" w:rsidRPr="00AD49D4" w:rsidRDefault="00E6695E" w:rsidP="00063074">
            <w:pPr>
              <w:jc w:val="center"/>
              <w:rPr>
                <w:b/>
                <w:spacing w:val="-3"/>
                <w:szCs w:val="28"/>
              </w:rPr>
            </w:pPr>
          </w:p>
        </w:tc>
        <w:tc>
          <w:tcPr>
            <w:tcW w:w="4612" w:type="dxa"/>
          </w:tcPr>
          <w:p w:rsidR="00E6695E" w:rsidRPr="00A46FF8" w:rsidRDefault="00E6695E" w:rsidP="00063074">
            <w:pPr>
              <w:jc w:val="center"/>
              <w:rPr>
                <w:spacing w:val="-3"/>
                <w:szCs w:val="28"/>
              </w:rPr>
            </w:pPr>
            <w:r w:rsidRPr="00A46FF8">
              <w:rPr>
                <w:spacing w:val="-3"/>
                <w:szCs w:val="28"/>
              </w:rPr>
              <w:t>Приложение</w:t>
            </w:r>
          </w:p>
          <w:p w:rsidR="00E6695E" w:rsidRPr="00A46FF8" w:rsidRDefault="00E6695E" w:rsidP="00063074">
            <w:pPr>
              <w:jc w:val="center"/>
              <w:rPr>
                <w:spacing w:val="-3"/>
                <w:szCs w:val="28"/>
              </w:rPr>
            </w:pPr>
            <w:r w:rsidRPr="00A46FF8">
              <w:rPr>
                <w:spacing w:val="-3"/>
                <w:szCs w:val="28"/>
              </w:rPr>
              <w:t>к постановлению администрации</w:t>
            </w:r>
          </w:p>
          <w:p w:rsidR="00E6695E" w:rsidRPr="00A46FF8" w:rsidRDefault="00E6695E" w:rsidP="00063074">
            <w:pPr>
              <w:jc w:val="center"/>
              <w:rPr>
                <w:spacing w:val="-3"/>
                <w:szCs w:val="28"/>
              </w:rPr>
            </w:pPr>
            <w:r w:rsidRPr="00A46FF8">
              <w:rPr>
                <w:spacing w:val="-3"/>
                <w:szCs w:val="28"/>
              </w:rPr>
              <w:t>города Мурманска</w:t>
            </w:r>
          </w:p>
          <w:p w:rsidR="00E6695E" w:rsidRPr="00A46FF8" w:rsidRDefault="00E6695E" w:rsidP="00063074">
            <w:pPr>
              <w:jc w:val="center"/>
              <w:rPr>
                <w:b/>
                <w:spacing w:val="-3"/>
                <w:szCs w:val="28"/>
              </w:rPr>
            </w:pPr>
            <w:r w:rsidRPr="00A46FF8">
              <w:rPr>
                <w:spacing w:val="-3"/>
                <w:szCs w:val="28"/>
              </w:rPr>
              <w:t xml:space="preserve">от </w:t>
            </w:r>
            <w:r>
              <w:t xml:space="preserve">12.11.2012 </w:t>
            </w:r>
            <w:r w:rsidRPr="00A46FF8">
              <w:rPr>
                <w:spacing w:val="-3"/>
                <w:szCs w:val="28"/>
              </w:rPr>
              <w:t xml:space="preserve">№ </w:t>
            </w:r>
            <w:r>
              <w:t>2665</w:t>
            </w:r>
          </w:p>
        </w:tc>
      </w:tr>
    </w:tbl>
    <w:p w:rsidR="00E6695E" w:rsidRPr="00BF7F92" w:rsidRDefault="00E6695E" w:rsidP="00E6695E">
      <w:pPr>
        <w:shd w:val="clear" w:color="auto" w:fill="FFFFFF"/>
        <w:ind w:firstLine="709"/>
        <w:jc w:val="center"/>
        <w:outlineLvl w:val="0"/>
        <w:rPr>
          <w:b/>
          <w:spacing w:val="-3"/>
          <w:sz w:val="24"/>
          <w:szCs w:val="24"/>
        </w:rPr>
      </w:pPr>
    </w:p>
    <w:p w:rsidR="00E6695E" w:rsidRPr="00BF7F92" w:rsidRDefault="00E6695E" w:rsidP="00E6695E">
      <w:pPr>
        <w:shd w:val="clear" w:color="auto" w:fill="FFFFFF"/>
        <w:ind w:firstLine="709"/>
        <w:jc w:val="center"/>
        <w:outlineLvl w:val="0"/>
        <w:rPr>
          <w:b/>
          <w:spacing w:val="-3"/>
          <w:sz w:val="24"/>
          <w:szCs w:val="24"/>
        </w:rPr>
      </w:pPr>
    </w:p>
    <w:p w:rsidR="00E6695E" w:rsidRPr="00A46FF8" w:rsidRDefault="00E6695E" w:rsidP="00E6695E">
      <w:pPr>
        <w:shd w:val="clear" w:color="auto" w:fill="FFFFFF"/>
        <w:ind w:firstLine="709"/>
        <w:jc w:val="center"/>
        <w:outlineLvl w:val="0"/>
        <w:rPr>
          <w:b/>
          <w:spacing w:val="-3"/>
          <w:szCs w:val="28"/>
        </w:rPr>
      </w:pPr>
      <w:r w:rsidRPr="00A46FF8">
        <w:rPr>
          <w:b/>
          <w:spacing w:val="-3"/>
          <w:szCs w:val="28"/>
        </w:rPr>
        <w:t xml:space="preserve">Прогноз социально-экономического развития муниципального образования город Мурманск </w:t>
      </w:r>
    </w:p>
    <w:p w:rsidR="00E6695E" w:rsidRPr="00A46FF8" w:rsidRDefault="00E6695E" w:rsidP="00E6695E">
      <w:pPr>
        <w:jc w:val="center"/>
        <w:outlineLvl w:val="0"/>
        <w:rPr>
          <w:b/>
          <w:bCs/>
          <w:color w:val="000000"/>
          <w:szCs w:val="28"/>
        </w:rPr>
      </w:pPr>
      <w:r w:rsidRPr="00A46FF8">
        <w:rPr>
          <w:b/>
          <w:spacing w:val="-3"/>
          <w:szCs w:val="28"/>
        </w:rPr>
        <w:t>на 2013 год и плановый период 2014 и 2015 годов</w:t>
      </w:r>
    </w:p>
    <w:p w:rsidR="00E6695E" w:rsidRPr="00A46FF8" w:rsidRDefault="00E6695E" w:rsidP="00E6695E">
      <w:pPr>
        <w:ind w:firstLine="600"/>
        <w:rPr>
          <w:szCs w:val="28"/>
        </w:rPr>
      </w:pPr>
    </w:p>
    <w:tbl>
      <w:tblPr>
        <w:tblW w:w="15004" w:type="dxa"/>
        <w:tblInd w:w="-105" w:type="dxa"/>
        <w:tblCellMar>
          <w:left w:w="0" w:type="dxa"/>
          <w:right w:w="0" w:type="dxa"/>
        </w:tblCellMar>
        <w:tblLook w:val="0000"/>
      </w:tblPr>
      <w:tblGrid>
        <w:gridCol w:w="4297"/>
        <w:gridCol w:w="1691"/>
        <w:gridCol w:w="1362"/>
        <w:gridCol w:w="1417"/>
        <w:gridCol w:w="1559"/>
        <w:gridCol w:w="1560"/>
        <w:gridCol w:w="1559"/>
        <w:gridCol w:w="1559"/>
      </w:tblGrid>
      <w:tr w:rsidR="00E6695E" w:rsidRPr="00A46FF8" w:rsidTr="00063074">
        <w:trPr>
          <w:trHeight w:val="368"/>
          <w:tblHeader/>
        </w:trPr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Показатели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Оценка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Прогноз</w:t>
            </w:r>
          </w:p>
        </w:tc>
      </w:tr>
      <w:tr w:rsidR="00E6695E" w:rsidRPr="00A46FF8" w:rsidTr="00063074">
        <w:trPr>
          <w:trHeight w:val="228"/>
          <w:tblHeader/>
        </w:trPr>
        <w:tc>
          <w:tcPr>
            <w:tcW w:w="4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2010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2011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2015</w:t>
            </w:r>
          </w:p>
        </w:tc>
      </w:tr>
    </w:tbl>
    <w:p w:rsidR="00E6695E" w:rsidRPr="00F77FDC" w:rsidRDefault="00E6695E" w:rsidP="00E6695E">
      <w:pPr>
        <w:rPr>
          <w:vanish/>
        </w:rPr>
      </w:pPr>
    </w:p>
    <w:tbl>
      <w:tblPr>
        <w:tblW w:w="15004" w:type="dxa"/>
        <w:tblInd w:w="-105" w:type="dxa"/>
        <w:tblCellMar>
          <w:left w:w="0" w:type="dxa"/>
          <w:right w:w="0" w:type="dxa"/>
        </w:tblCellMar>
        <w:tblLook w:val="0000"/>
      </w:tblPr>
      <w:tblGrid>
        <w:gridCol w:w="4297"/>
        <w:gridCol w:w="1691"/>
        <w:gridCol w:w="1362"/>
        <w:gridCol w:w="1417"/>
        <w:gridCol w:w="1559"/>
        <w:gridCol w:w="1560"/>
        <w:gridCol w:w="1559"/>
        <w:gridCol w:w="1559"/>
      </w:tblGrid>
      <w:tr w:rsidR="00E6695E" w:rsidRPr="00F77FDC" w:rsidTr="00063074">
        <w:trPr>
          <w:trHeight w:val="203"/>
          <w:tblHeader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F77FDC" w:rsidRDefault="00E6695E" w:rsidP="00063074">
            <w:pPr>
              <w:jc w:val="center"/>
              <w:rPr>
                <w:bCs/>
                <w:sz w:val="22"/>
              </w:rPr>
            </w:pPr>
            <w:r w:rsidRPr="00F77FDC">
              <w:rPr>
                <w:bCs/>
                <w:sz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F77FDC" w:rsidRDefault="00E6695E" w:rsidP="00063074">
            <w:pPr>
              <w:jc w:val="center"/>
              <w:rPr>
                <w:bCs/>
                <w:sz w:val="22"/>
              </w:rPr>
            </w:pPr>
            <w:r w:rsidRPr="00F77FDC">
              <w:rPr>
                <w:bCs/>
                <w:sz w:val="22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F77FDC" w:rsidRDefault="00E6695E" w:rsidP="00063074">
            <w:pPr>
              <w:jc w:val="center"/>
              <w:rPr>
                <w:bCs/>
                <w:sz w:val="22"/>
              </w:rPr>
            </w:pPr>
            <w:r w:rsidRPr="00F77FDC">
              <w:rPr>
                <w:bCs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F77FDC" w:rsidRDefault="00E6695E" w:rsidP="00063074">
            <w:pPr>
              <w:jc w:val="center"/>
              <w:rPr>
                <w:bCs/>
                <w:sz w:val="22"/>
              </w:rPr>
            </w:pPr>
            <w:r w:rsidRPr="00F77FDC">
              <w:rPr>
                <w:bCs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F77FDC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F77FD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F77FDC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F77FD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F77FDC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F77FD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F77FDC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F77FDC">
              <w:rPr>
                <w:bCs/>
                <w:sz w:val="24"/>
                <w:szCs w:val="24"/>
              </w:rPr>
              <w:t>8</w:t>
            </w:r>
          </w:p>
        </w:tc>
      </w:tr>
      <w:tr w:rsidR="00E6695E" w:rsidRPr="00A46FF8" w:rsidTr="00063074">
        <w:trPr>
          <w:trHeight w:val="203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b/>
                <w:bCs/>
                <w:sz w:val="22"/>
              </w:rPr>
            </w:pPr>
            <w:r w:rsidRPr="00A46FF8">
              <w:rPr>
                <w:b/>
                <w:bCs/>
                <w:sz w:val="22"/>
              </w:rPr>
              <w:t>1. Демографические показатели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FFFFFF"/>
                <w:sz w:val="24"/>
                <w:szCs w:val="24"/>
              </w:rPr>
            </w:pPr>
            <w:r w:rsidRPr="00A46FF8">
              <w:rPr>
                <w:color w:val="FFFFFF"/>
                <w:sz w:val="24"/>
                <w:szCs w:val="24"/>
              </w:rPr>
              <w:t>20ххх05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FFFFFF"/>
                <w:sz w:val="24"/>
                <w:szCs w:val="24"/>
              </w:rPr>
            </w:pPr>
            <w:r w:rsidRPr="00A46FF8">
              <w:rPr>
                <w:color w:val="FFFFFF"/>
                <w:sz w:val="24"/>
                <w:szCs w:val="24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203"/>
        </w:trPr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bCs/>
                <w:sz w:val="22"/>
              </w:rPr>
            </w:pPr>
            <w:r w:rsidRPr="00A46FF8">
              <w:rPr>
                <w:bCs/>
                <w:sz w:val="22"/>
              </w:rPr>
              <w:t>Численность населения (среднегодовая) -всего</w:t>
            </w:r>
            <w:r w:rsidRPr="00A46FF8">
              <w:rPr>
                <w:b/>
                <w:bCs/>
                <w:sz w:val="22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Cs/>
                <w:sz w:val="20"/>
              </w:rPr>
            </w:pPr>
            <w:r w:rsidRPr="00A46FF8">
              <w:rPr>
                <w:bCs/>
                <w:sz w:val="20"/>
              </w:rPr>
              <w:t>тыс. 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308,30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305,97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304,18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302,63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301,45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300,55</w:t>
            </w:r>
          </w:p>
        </w:tc>
      </w:tr>
      <w:tr w:rsidR="00E6695E" w:rsidRPr="00A46FF8" w:rsidTr="00063074">
        <w:trPr>
          <w:trHeight w:val="305"/>
        </w:trPr>
        <w:tc>
          <w:tcPr>
            <w:tcW w:w="4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b/>
                <w:bCs/>
                <w:sz w:val="2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Cs/>
                <w:sz w:val="20"/>
              </w:rPr>
            </w:pPr>
            <w:r w:rsidRPr="00A46FF8">
              <w:rPr>
                <w:bCs/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99,31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99,24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99,42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99,49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99,61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99,70</w:t>
            </w:r>
          </w:p>
        </w:tc>
      </w:tr>
      <w:tr w:rsidR="00E6695E" w:rsidRPr="00A46FF8" w:rsidTr="00063074">
        <w:trPr>
          <w:trHeight w:val="305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Общий коэффициент рождаемости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человек на 1000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11,08</w:t>
            </w:r>
          </w:p>
        </w:tc>
      </w:tr>
      <w:tr w:rsidR="00E6695E" w:rsidRPr="00A46FF8" w:rsidTr="00063074">
        <w:trPr>
          <w:trHeight w:val="305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Общий коэффициент смертности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человек на 1000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11,37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11,18</w:t>
            </w:r>
          </w:p>
        </w:tc>
      </w:tr>
      <w:tr w:rsidR="00E6695E" w:rsidRPr="00A46FF8" w:rsidTr="00063074">
        <w:trPr>
          <w:trHeight w:val="305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Коэффициент естественного прироста                                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человек на 1000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-1,46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-0,87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-0,49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-0,33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-0,22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-0,10</w:t>
            </w:r>
          </w:p>
        </w:tc>
      </w:tr>
      <w:tr w:rsidR="00E6695E" w:rsidRPr="00A46FF8" w:rsidTr="00063074">
        <w:trPr>
          <w:trHeight w:val="305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Коэффициент миграционного прироста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человек на 1000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-4,99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-5,24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-5,10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-4,30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-2,99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-2,66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b/>
                <w:bCs/>
                <w:sz w:val="22"/>
              </w:rPr>
            </w:pPr>
            <w:r w:rsidRPr="00A46FF8">
              <w:rPr>
                <w:rFonts w:eastAsia="Arial Unicode MS"/>
                <w:b/>
                <w:bCs/>
                <w:sz w:val="22"/>
              </w:rPr>
              <w:t>2. Производство товаров и услуг</w:t>
            </w:r>
            <w:r w:rsidRPr="00A46FF8">
              <w:rPr>
                <w:rStyle w:val="af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</w:rPr>
            </w:pPr>
            <w:r w:rsidRPr="00A46FF8">
              <w:rPr>
                <w:sz w:val="22"/>
              </w:rPr>
              <w:t> 2.1 Промышленное производство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</w:rPr>
            </w:pPr>
            <w:r w:rsidRPr="00A46FF8">
              <w:rPr>
                <w:sz w:val="22"/>
              </w:rPr>
              <w:t xml:space="preserve"> Индекс промышленного производства (Раздел С: Добыча полезных ископаемых + Раздел </w:t>
            </w:r>
            <w:r w:rsidRPr="00A46FF8">
              <w:rPr>
                <w:sz w:val="22"/>
                <w:lang w:val="en-US"/>
              </w:rPr>
              <w:t>D</w:t>
            </w:r>
            <w:r w:rsidRPr="00A46FF8">
              <w:rPr>
                <w:sz w:val="22"/>
              </w:rPr>
              <w:t>: Обрабатывающие производства + Раздел Е: Производство и распределение электроэнергии, газа и воды)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104,16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102,33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E6695E" w:rsidRDefault="00E6695E" w:rsidP="00E6695E">
            <w:pPr>
              <w:pStyle w:val="5"/>
              <w:ind w:firstLine="0"/>
              <w:jc w:val="left"/>
              <w:rPr>
                <w:b w:val="0"/>
                <w:sz w:val="22"/>
                <w:szCs w:val="22"/>
              </w:rPr>
            </w:pPr>
            <w:r w:rsidRPr="00E6695E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</w:rPr>
            </w:pPr>
            <w:r w:rsidRPr="00A46FF8">
              <w:rPr>
                <w:rFonts w:eastAsia="Arial Unicode MS"/>
                <w:sz w:val="22"/>
              </w:rPr>
              <w:t xml:space="preserve">Объем отгруженных товаров собственного </w:t>
            </w:r>
            <w:r w:rsidRPr="00A46FF8">
              <w:rPr>
                <w:rFonts w:eastAsia="Arial Unicode MS"/>
                <w:sz w:val="22"/>
              </w:rPr>
              <w:lastRenderedPageBreak/>
              <w:t>производства, выполненных работ и услуг собственными силами – Раздел С: Добыча полезных ископаемых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bCs/>
                <w:sz w:val="20"/>
              </w:rPr>
              <w:lastRenderedPageBreak/>
              <w:t xml:space="preserve">млн.рублей в ценах </w:t>
            </w:r>
            <w:r w:rsidRPr="00A46FF8">
              <w:rPr>
                <w:bCs/>
                <w:sz w:val="20"/>
              </w:rPr>
              <w:lastRenderedPageBreak/>
              <w:t>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lastRenderedPageBreak/>
              <w:t>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10,64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</w:rPr>
            </w:pPr>
            <w:r w:rsidRPr="00A46FF8">
              <w:rPr>
                <w:rFonts w:eastAsia="Arial Unicode MS"/>
                <w:sz w:val="22"/>
              </w:rPr>
              <w:lastRenderedPageBreak/>
              <w:t xml:space="preserve">Индекс производства – Раздел С: Добыча полезных ископаемых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101,47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98,60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</w:rPr>
            </w:pPr>
            <w:r w:rsidRPr="00A46FF8">
              <w:rPr>
                <w:rFonts w:eastAsia="Arial Unicode MS"/>
                <w:sz w:val="22"/>
              </w:rPr>
              <w:t>Индекс – дефлятор – Раздел С: Добыча полезных ископаемых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130,32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106,40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</w:rPr>
            </w:pPr>
            <w:r w:rsidRPr="00A46FF8">
              <w:rPr>
                <w:rFonts w:eastAsia="Arial Unicode MS"/>
                <w:sz w:val="22"/>
              </w:rPr>
              <w:t>Объем отгруженных товаров собственного производства, выполненных работ и услуг собственными силами –Подраздел СВ: Добыча полезных ископаемых, кроме топливно-энергетических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bCs/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10,64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</w:rPr>
            </w:pPr>
            <w:r w:rsidRPr="00A46FF8">
              <w:rPr>
                <w:rFonts w:eastAsia="Arial Unicode MS"/>
                <w:sz w:val="22"/>
              </w:rPr>
              <w:t>Индекс производства –Подраздел СВ: Добыча полезных ископаемых, кроме топливно-энергетических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101,47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98,60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rFonts w:eastAsia="Arial Unicode MS"/>
                <w:sz w:val="22"/>
              </w:rPr>
              <w:t>Индекс - дефлятор– Подраздел СВ: Добыча полезных ископаемых, кроме топливно-энергетических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130,32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106,40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E6695E" w:rsidRDefault="00E6695E" w:rsidP="00E6695E">
            <w:pPr>
              <w:pStyle w:val="5"/>
              <w:ind w:firstLine="0"/>
              <w:jc w:val="left"/>
              <w:rPr>
                <w:b w:val="0"/>
                <w:sz w:val="22"/>
                <w:szCs w:val="22"/>
              </w:rPr>
            </w:pPr>
            <w:r w:rsidRPr="00E6695E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</w:rPr>
            </w:pPr>
            <w:r w:rsidRPr="00A46FF8">
              <w:rPr>
                <w:rFonts w:eastAsia="Arial Unicode MS"/>
                <w:sz w:val="22"/>
              </w:rPr>
              <w:t xml:space="preserve">Объем отгруженных товаров собственного производства, выполненных работ и услуг собственными силами – Раздел </w:t>
            </w:r>
            <w:r w:rsidRPr="00A46FF8">
              <w:rPr>
                <w:rFonts w:eastAsia="Arial Unicode MS"/>
                <w:sz w:val="22"/>
                <w:lang w:val="en-US"/>
              </w:rPr>
              <w:t>D</w:t>
            </w:r>
            <w:r w:rsidRPr="00A46FF8">
              <w:rPr>
                <w:rFonts w:eastAsia="Arial Unicode MS"/>
                <w:sz w:val="22"/>
              </w:rPr>
              <w:t>: Обрабатывающие производства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22030,70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27355,10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31611,20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35123,84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38175,98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41255,15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производства – Раздел </w:t>
            </w:r>
            <w:r w:rsidRPr="00A46FF8">
              <w:rPr>
                <w:sz w:val="22"/>
                <w:lang w:val="en-US"/>
              </w:rPr>
              <w:t>D</w:t>
            </w:r>
            <w:r w:rsidRPr="00A46FF8">
              <w:rPr>
                <w:sz w:val="22"/>
              </w:rPr>
              <w:t>: Обрабатывающие производства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105,01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103,08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– дефлятор – Раздел </w:t>
            </w:r>
            <w:r w:rsidRPr="00A46FF8">
              <w:rPr>
                <w:sz w:val="22"/>
                <w:lang w:val="en-US"/>
              </w:rPr>
              <w:t>D</w:t>
            </w:r>
            <w:r w:rsidRPr="00A46FF8">
              <w:rPr>
                <w:sz w:val="22"/>
              </w:rPr>
              <w:t>: Обрабатывающие производства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116,01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104,83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rFonts w:eastAsia="Arial Unicode MS"/>
                <w:sz w:val="22"/>
              </w:rPr>
              <w:t xml:space="preserve">Объем отгруженных товаров собственного производства, выполненных работ и услуг собственными силами – 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DA</w:t>
            </w:r>
            <w:r w:rsidRPr="00A46FF8">
              <w:rPr>
                <w:rFonts w:eastAsia="Arial Unicode MS"/>
                <w:sz w:val="22"/>
              </w:rPr>
              <w:t>: Производство пищевых продуктов, включая напитки и табак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18006,00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22795,60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26517,55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29580,35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32111,14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34812,56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производства - </w:t>
            </w:r>
            <w:r w:rsidRPr="00A46FF8">
              <w:rPr>
                <w:rFonts w:eastAsia="Arial Unicode MS"/>
                <w:sz w:val="22"/>
              </w:rPr>
              <w:t xml:space="preserve">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DA</w:t>
            </w:r>
            <w:r w:rsidRPr="00A46FF8">
              <w:rPr>
                <w:rFonts w:eastAsia="Arial Unicode MS"/>
                <w:sz w:val="22"/>
              </w:rPr>
              <w:t>: Производство пищевых продуктов, включая напитки и табак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102,75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103,45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- дефлятор - </w:t>
            </w:r>
            <w:r w:rsidRPr="00A46FF8">
              <w:rPr>
                <w:rFonts w:eastAsia="Arial Unicode MS"/>
                <w:sz w:val="22"/>
              </w:rPr>
              <w:t xml:space="preserve">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DA</w:t>
            </w:r>
            <w:r w:rsidRPr="00A46FF8">
              <w:rPr>
                <w:rFonts w:eastAsia="Arial Unicode MS"/>
                <w:sz w:val="22"/>
              </w:rPr>
              <w:t xml:space="preserve">: Производство пищевых продуктов, включая </w:t>
            </w:r>
            <w:r w:rsidRPr="00A46FF8">
              <w:rPr>
                <w:rFonts w:eastAsia="Arial Unicode MS"/>
                <w:sz w:val="22"/>
              </w:rPr>
              <w:lastRenderedPageBreak/>
              <w:t>напитки и табак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lastRenderedPageBreak/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118,74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104,80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rFonts w:eastAsia="Arial Unicode MS"/>
                <w:sz w:val="22"/>
              </w:rPr>
              <w:lastRenderedPageBreak/>
              <w:t xml:space="preserve">Объем отгруженных товаров собственного производства, выполненных работ и услуг собственными силами – 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</w:t>
            </w:r>
            <w:r w:rsidRPr="00A46FF8">
              <w:rPr>
                <w:rFonts w:eastAsia="Arial Unicode MS"/>
                <w:sz w:val="22"/>
              </w:rPr>
              <w:t>В: Текстильное и швейное производство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37,78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29,88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производства - </w:t>
            </w:r>
            <w:r w:rsidRPr="00A46FF8">
              <w:rPr>
                <w:rFonts w:eastAsia="Arial Unicode MS"/>
                <w:sz w:val="22"/>
              </w:rPr>
              <w:t xml:space="preserve">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</w:t>
            </w:r>
            <w:r w:rsidRPr="00A46FF8">
              <w:rPr>
                <w:rFonts w:eastAsia="Arial Unicode MS"/>
                <w:sz w:val="22"/>
              </w:rPr>
              <w:t>В: Текстильное и швейное производство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74,50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65,77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76,20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85,20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86,80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88,10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- дефлятор - </w:t>
            </w:r>
            <w:r w:rsidRPr="00A46FF8">
              <w:rPr>
                <w:rFonts w:eastAsia="Arial Unicode MS"/>
                <w:sz w:val="22"/>
              </w:rPr>
              <w:t xml:space="preserve">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</w:t>
            </w:r>
            <w:r w:rsidRPr="00A46FF8">
              <w:rPr>
                <w:rFonts w:eastAsia="Arial Unicode MS"/>
                <w:sz w:val="22"/>
              </w:rPr>
              <w:t>В: Текстильное и швейное производство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186,42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103,40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rFonts w:eastAsia="Arial Unicode MS"/>
                <w:sz w:val="22"/>
              </w:rPr>
              <w:t xml:space="preserve">Объем отгруженных товаров собственного производства, выполненных работ и услуг собственными силами – 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</w:t>
            </w:r>
            <w:r w:rsidRPr="00A46FF8">
              <w:rPr>
                <w:rFonts w:eastAsia="Arial Unicode MS"/>
                <w:sz w:val="22"/>
              </w:rPr>
              <w:t>Е: Целлюлозно-бумажное производство, издательская и полиграфическая деятельность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314,10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275,41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320,94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438,70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471,96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производства - </w:t>
            </w:r>
            <w:r w:rsidRPr="00A46FF8">
              <w:rPr>
                <w:rFonts w:eastAsia="Arial Unicode MS"/>
                <w:sz w:val="22"/>
              </w:rPr>
              <w:t xml:space="preserve">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</w:t>
            </w:r>
            <w:r w:rsidRPr="00A46FF8">
              <w:rPr>
                <w:rFonts w:eastAsia="Arial Unicode MS"/>
                <w:sz w:val="22"/>
              </w:rPr>
              <w:t>Е: Целлюлозно-бумажное производство, издательская и полиграфическая деятельность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</w:t>
            </w:r>
          </w:p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86,79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104,12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– дефлятор - </w:t>
            </w:r>
            <w:r w:rsidRPr="00A46FF8">
              <w:rPr>
                <w:rFonts w:eastAsia="Arial Unicode MS"/>
                <w:sz w:val="22"/>
              </w:rPr>
              <w:t xml:space="preserve">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</w:t>
            </w:r>
            <w:r w:rsidRPr="00A46FF8">
              <w:rPr>
                <w:rFonts w:eastAsia="Arial Unicode MS"/>
                <w:sz w:val="22"/>
              </w:rPr>
              <w:t>Е: Целлюлозно-бумажное производство, издательская и полиграфическая деятельность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</w:t>
            </w:r>
          </w:p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105,67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103,30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rFonts w:eastAsia="Arial Unicode MS"/>
                <w:sz w:val="22"/>
              </w:rPr>
              <w:t xml:space="preserve">Объем отгруженных товаров собственного производства, выполненных работ и услуг собственными силами – 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DI</w:t>
            </w:r>
            <w:r w:rsidRPr="00A46FF8">
              <w:rPr>
                <w:rFonts w:eastAsia="Arial Unicode MS"/>
                <w:sz w:val="22"/>
              </w:rPr>
              <w:t>: Производство прочих неметаллических минеральных продуктов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162,40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216,64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250,94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285,51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314,53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производства - </w:t>
            </w:r>
            <w:r w:rsidRPr="00A46FF8">
              <w:rPr>
                <w:rFonts w:eastAsia="Arial Unicode MS"/>
                <w:sz w:val="22"/>
              </w:rPr>
              <w:t xml:space="preserve">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DI</w:t>
            </w:r>
            <w:r w:rsidRPr="00A46FF8">
              <w:rPr>
                <w:rFonts w:eastAsia="Arial Unicode MS"/>
                <w:sz w:val="22"/>
              </w:rPr>
              <w:t>: Производство прочих неметаллических минеральных продуктов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68,90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139,91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109,35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103,05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– дефлятор - </w:t>
            </w:r>
            <w:r w:rsidRPr="00A46FF8">
              <w:rPr>
                <w:rFonts w:eastAsia="Arial Unicode MS"/>
                <w:sz w:val="22"/>
              </w:rPr>
              <w:t xml:space="preserve">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DI</w:t>
            </w:r>
            <w:r w:rsidRPr="00A46FF8">
              <w:rPr>
                <w:rFonts w:eastAsia="Arial Unicode MS"/>
                <w:sz w:val="22"/>
              </w:rPr>
              <w:t>: Производство прочих неметаллических минеральных продуктов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106,90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rFonts w:eastAsia="Arial Unicode MS"/>
                <w:sz w:val="22"/>
              </w:rPr>
              <w:t xml:space="preserve">Объем отгруженных товаров собственного производства, выполненных работ и услуг собственными силами - 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DJ</w:t>
            </w:r>
            <w:r w:rsidRPr="00A46FF8">
              <w:rPr>
                <w:rFonts w:eastAsia="Arial Unicode MS"/>
                <w:sz w:val="22"/>
              </w:rPr>
              <w:t xml:space="preserve">: Металлургическое производство и </w:t>
            </w:r>
            <w:r w:rsidRPr="00A46FF8">
              <w:rPr>
                <w:rFonts w:eastAsia="Arial Unicode MS"/>
                <w:sz w:val="22"/>
              </w:rPr>
              <w:lastRenderedPageBreak/>
              <w:t xml:space="preserve">производство готовых металлических изделий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lastRenderedPageBreak/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910,10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785,19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841,78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896,60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955,09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lastRenderedPageBreak/>
              <w:t>Индекс производства -</w:t>
            </w:r>
            <w:r w:rsidRPr="00A46FF8">
              <w:rPr>
                <w:rFonts w:eastAsia="Arial Unicode MS"/>
                <w:sz w:val="22"/>
              </w:rPr>
              <w:t xml:space="preserve"> 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DJ</w:t>
            </w:r>
            <w:r w:rsidRPr="00A46FF8">
              <w:rPr>
                <w:rFonts w:eastAsia="Arial Unicode MS"/>
                <w:sz w:val="22"/>
              </w:rPr>
              <w:t>: Металлургическое производство и производство готовых металлических изделий</w:t>
            </w:r>
            <w:r w:rsidRPr="00A46FF8">
              <w:rPr>
                <w:sz w:val="22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84,78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100,40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– дефлятор - </w:t>
            </w:r>
            <w:r w:rsidRPr="00A46FF8">
              <w:rPr>
                <w:rFonts w:eastAsia="Arial Unicode MS"/>
                <w:sz w:val="22"/>
              </w:rPr>
              <w:t xml:space="preserve">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DJ</w:t>
            </w:r>
            <w:r w:rsidRPr="00A46FF8">
              <w:rPr>
                <w:rFonts w:eastAsia="Arial Unicode MS"/>
                <w:sz w:val="22"/>
              </w:rPr>
              <w:t>: Металлургическое производство и производство готовых металлических изделий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104,56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208,30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106,10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rFonts w:eastAsia="Arial Unicode MS"/>
                <w:sz w:val="22"/>
              </w:rPr>
              <w:t>Объем отгруженных товаров собственного производства, выполненных работ и услуг собственными силами: Производство машин и оборудования без производства оружия и боеприпасов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215,80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169,10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97,75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110,41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производства: </w:t>
            </w:r>
            <w:r w:rsidRPr="00A46FF8">
              <w:rPr>
                <w:rFonts w:eastAsia="Arial Unicode MS"/>
                <w:sz w:val="22"/>
              </w:rPr>
              <w:t>Производство машин и оборудования без производства оружия и боеприпасов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66,13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50,96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100,20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Индекс – дефлятор:</w:t>
            </w:r>
            <w:r w:rsidRPr="00A46FF8">
              <w:rPr>
                <w:rFonts w:eastAsia="Arial Unicode MS"/>
                <w:sz w:val="22"/>
              </w:rPr>
              <w:t xml:space="preserve"> Производство машин и оборудования без производства оружия и боеприпасов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105,10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rFonts w:eastAsia="Arial Unicode MS"/>
                <w:sz w:val="22"/>
              </w:rPr>
              <w:t xml:space="preserve">Объем отгруженных товаров собственного производства, выполненных работ и услуг собственными силами – 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DL</w:t>
            </w:r>
            <w:r w:rsidRPr="00A46FF8">
              <w:rPr>
                <w:rFonts w:eastAsia="Arial Unicode MS"/>
                <w:sz w:val="22"/>
              </w:rPr>
              <w:t xml:space="preserve">:  Производство  электрооборудования, электронного и оптического оборудования 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182,60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419,71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451,27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489,06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486,62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производства - </w:t>
            </w:r>
            <w:r w:rsidRPr="00A46FF8">
              <w:rPr>
                <w:rFonts w:eastAsia="Arial Unicode MS"/>
                <w:sz w:val="22"/>
              </w:rPr>
              <w:t xml:space="preserve">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DL</w:t>
            </w:r>
            <w:r w:rsidRPr="00A46FF8">
              <w:rPr>
                <w:rFonts w:eastAsia="Arial Unicode MS"/>
                <w:sz w:val="22"/>
              </w:rPr>
              <w:t xml:space="preserve">:  Производство  электрооборудования, электронного и оптического оборудования 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259,57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101,95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102,60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– дефлятор - </w:t>
            </w:r>
            <w:r w:rsidRPr="00A46FF8">
              <w:rPr>
                <w:rFonts w:eastAsia="Arial Unicode MS"/>
                <w:sz w:val="22"/>
              </w:rPr>
              <w:t xml:space="preserve">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DL</w:t>
            </w:r>
            <w:r w:rsidRPr="00A46FF8">
              <w:rPr>
                <w:rFonts w:eastAsia="Arial Unicode MS"/>
                <w:sz w:val="22"/>
              </w:rPr>
              <w:t xml:space="preserve">:  Производство  электрооборудования, электронного и оптического оборудования 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208,80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91,04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105,10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rFonts w:eastAsia="Arial Unicode MS"/>
                <w:sz w:val="22"/>
              </w:rPr>
              <w:t xml:space="preserve">Объем отгруженных товаров собственного производства, выполненных работ и услуг собственными силами – 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DM</w:t>
            </w:r>
            <w:r w:rsidRPr="00A46FF8">
              <w:rPr>
                <w:rFonts w:eastAsia="Arial Unicode MS"/>
                <w:sz w:val="22"/>
              </w:rPr>
              <w:t xml:space="preserve">: Производство транспортных средств и оборудования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1561,80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1436,80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1178,94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1263,99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1350,34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1423,46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lastRenderedPageBreak/>
              <w:t xml:space="preserve">Индекс производства - </w:t>
            </w:r>
            <w:r w:rsidRPr="00A46FF8">
              <w:rPr>
                <w:rFonts w:eastAsia="Arial Unicode MS"/>
                <w:sz w:val="22"/>
              </w:rPr>
              <w:t xml:space="preserve">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DM</w:t>
            </w:r>
            <w:r w:rsidRPr="00A46FF8">
              <w:rPr>
                <w:rFonts w:eastAsia="Arial Unicode MS"/>
                <w:sz w:val="22"/>
              </w:rPr>
              <w:t>: Производство транспортных средств и оборудования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76,69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57,88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100,30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– дефлятор - </w:t>
            </w:r>
            <w:r w:rsidRPr="00A46FF8">
              <w:rPr>
                <w:rFonts w:eastAsia="Arial Unicode MS"/>
                <w:sz w:val="22"/>
              </w:rPr>
              <w:t xml:space="preserve">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DM</w:t>
            </w:r>
            <w:r w:rsidRPr="00A46FF8">
              <w:rPr>
                <w:rFonts w:eastAsia="Arial Unicode MS"/>
                <w:sz w:val="22"/>
              </w:rPr>
              <w:t>: Производство транспортных средств и оборудования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105,10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rFonts w:eastAsia="Arial Unicode MS"/>
                <w:sz w:val="22"/>
              </w:rPr>
              <w:t xml:space="preserve">Объем отгруженных товаров собственного производства, выполненных работ и услуг собственными силами – 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DN</w:t>
            </w:r>
            <w:r w:rsidRPr="00A46FF8">
              <w:rPr>
                <w:rFonts w:eastAsia="Arial Unicode MS"/>
                <w:sz w:val="22"/>
              </w:rPr>
              <w:t>: Прочие производства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152,80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629,00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1168,00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1260,03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1358,22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1449,04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производства - </w:t>
            </w:r>
            <w:r w:rsidRPr="00A46FF8">
              <w:rPr>
                <w:rFonts w:eastAsia="Arial Unicode MS"/>
                <w:sz w:val="22"/>
              </w:rPr>
              <w:t xml:space="preserve">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DN</w:t>
            </w:r>
            <w:r w:rsidRPr="00A46FF8">
              <w:rPr>
                <w:rFonts w:eastAsia="Arial Unicode MS"/>
                <w:sz w:val="22"/>
              </w:rPr>
              <w:t>: Прочие производства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155,90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371,01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250,90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101,80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– дефлятор -  </w:t>
            </w:r>
            <w:r w:rsidRPr="00A46FF8">
              <w:rPr>
                <w:rFonts w:eastAsia="Arial Unicode MS"/>
                <w:sz w:val="22"/>
              </w:rPr>
              <w:t xml:space="preserve">Подраздел </w:t>
            </w:r>
            <w:r w:rsidRPr="00A46FF8">
              <w:rPr>
                <w:rFonts w:eastAsia="Arial Unicode MS"/>
                <w:sz w:val="22"/>
                <w:lang w:val="en-US"/>
              </w:rPr>
              <w:t>DN</w:t>
            </w:r>
            <w:r w:rsidRPr="00A46FF8">
              <w:rPr>
                <w:rFonts w:eastAsia="Arial Unicode MS"/>
                <w:sz w:val="22"/>
              </w:rPr>
              <w:t>: Прочие производства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74,01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104,80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b/>
                <w:bCs/>
                <w:sz w:val="22"/>
              </w:rPr>
            </w:pPr>
            <w:r w:rsidRPr="00A46FF8">
              <w:rPr>
                <w:b/>
                <w:bCs/>
                <w:sz w:val="22"/>
              </w:rPr>
              <w:t>Производство и распределение электроэнергии, газа и воды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/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rFonts w:eastAsia="Arial Unicode MS"/>
                <w:sz w:val="22"/>
              </w:rPr>
              <w:t>Объем отгруженных товаров собственного производства, выполненных работ и услуг собственными силами – Раздел Е: Производство и распределение электроэнергии, газа и воды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7172,80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8434,90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9978,79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11207,40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12452,66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13948,46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производства - </w:t>
            </w:r>
            <w:r w:rsidRPr="00A46FF8">
              <w:rPr>
                <w:rFonts w:eastAsia="Arial Unicode MS"/>
                <w:sz w:val="22"/>
              </w:rPr>
              <w:t>Раздел Е: Производство и распределение электроэнергии, газа и воды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101,51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100,10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Индекс – дефлятор - </w:t>
            </w:r>
            <w:r w:rsidRPr="00A46FF8">
              <w:rPr>
                <w:rFonts w:eastAsia="Arial Unicode MS"/>
                <w:sz w:val="22"/>
              </w:rPr>
              <w:t>Раздел Е: Производство и распределение электроэнергии, газа и воды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116,54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111,90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b/>
                <w:sz w:val="22"/>
              </w:rPr>
              <w:t>Рыболовство</w:t>
            </w:r>
            <w:r w:rsidRPr="00A46FF8">
              <w:rPr>
                <w:rStyle w:val="af"/>
                <w:sz w:val="22"/>
              </w:rPr>
              <w:footnoteReference w:id="2"/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Объем отгруженных товаров собственного производства, выполненных работ и услуг </w:t>
            </w:r>
            <w:r w:rsidRPr="00A46FF8">
              <w:rPr>
                <w:sz w:val="22"/>
              </w:rPr>
              <w:lastRenderedPageBreak/>
              <w:t xml:space="preserve">собственными силами - РАЗДЕЛ B: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lastRenderedPageBreak/>
              <w:t xml:space="preserve">млн.рублей в ценах соответствующих </w:t>
            </w:r>
            <w:r w:rsidRPr="00A46FF8">
              <w:rPr>
                <w:sz w:val="20"/>
              </w:rPr>
              <w:lastRenderedPageBreak/>
              <w:t>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lastRenderedPageBreak/>
              <w:t>98,80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26,40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32,46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35,24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lastRenderedPageBreak/>
              <w:t>Индекс производства -  РАЗДЕЛ B: Рыболовство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183,35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102,60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Индекс – дефлятор -  РАЗДЕЛ B: Рыболовство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218,07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105,80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b/>
                <w:bCs/>
                <w:sz w:val="22"/>
              </w:rPr>
            </w:pPr>
            <w:r w:rsidRPr="00A46FF8">
              <w:rPr>
                <w:b/>
                <w:bCs/>
                <w:sz w:val="22"/>
              </w:rPr>
              <w:t>2.2 Сельское хозяйство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Объем продукции сельского хозяйства в хозяйствах всех категорий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397,40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452,26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467,10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549,33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586,86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629,97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82,50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103,21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101,65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Индекс – дефлятор - продукции сельского хозяйства в хозяйствах всех категорий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99,43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105,95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105,60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в том числе: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b/>
                <w:sz w:val="22"/>
              </w:rPr>
            </w:pPr>
            <w:r w:rsidRPr="00A46FF8">
              <w:rPr>
                <w:b/>
                <w:sz w:val="22"/>
              </w:rPr>
              <w:t>3. Рынок товаров и услуг</w:t>
            </w:r>
            <w:r w:rsidRPr="00A46FF8">
              <w:rPr>
                <w:rStyle w:val="af"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Оборот розничной торговли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81559,0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89396,8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98237,11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111105,2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124013,4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136724,8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Индекс физического объема оборота розничной торговли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105,0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Индекс-дефлятор оборота розничной торговли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105,0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Оборот общественного питания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3487,5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3878,2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4275,0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4575,0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4930,0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5200,0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Индекс физического объема оборота общественного питания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103,7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Индекс цен на продукцию общественного питания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110,8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101,7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Объем платных услуг населению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bCs/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23073,9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25056,0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27247,2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29774,3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32364,9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36361,9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Индекс физического объема платных услуг населению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105,0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Индекс-дефлятор по платным услугам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107,0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lastRenderedPageBreak/>
              <w:t>в том числе: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бытовые услуги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bCs/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2813,4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3319,7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3453,4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3773,7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4102,0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4608,6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индекс физического объема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/>
                <w:bCs/>
                <w:sz w:val="20"/>
              </w:rPr>
            </w:pPr>
            <w:r w:rsidRPr="00A46FF8">
              <w:rPr>
                <w:sz w:val="20"/>
              </w:rPr>
              <w:t>% к предыдущему году в сопоставимых ценах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104,0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b/>
                <w:bCs/>
                <w:sz w:val="22"/>
              </w:rPr>
            </w:pPr>
            <w:r w:rsidRPr="00A46FF8">
              <w:rPr>
                <w:b/>
                <w:bCs/>
                <w:sz w:val="22"/>
              </w:rPr>
              <w:t>4. Малое и среднее предпринимательство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Количество малых предприятий – всего по состоянию на конец года</w:t>
            </w:r>
            <w:r w:rsidRPr="00A46FF8">
              <w:rPr>
                <w:rStyle w:val="af"/>
                <w:sz w:val="22"/>
              </w:rPr>
              <w:footnoteReference w:id="4"/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единиц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8456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9427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9479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9524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  <w:szCs w:val="16"/>
              </w:rPr>
            </w:pPr>
            <w:r w:rsidRPr="00A46FF8">
              <w:rPr>
                <w:sz w:val="22"/>
                <w:szCs w:val="16"/>
              </w:rPr>
              <w:t>Среднесписочная численность работников (без внешних совместителей) по малым предприятиям - всего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37831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42411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43047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41775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42835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43259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  <w:szCs w:val="16"/>
              </w:rPr>
            </w:pPr>
            <w:r w:rsidRPr="00A46FF8">
              <w:rPr>
                <w:sz w:val="22"/>
                <w:szCs w:val="16"/>
              </w:rPr>
              <w:t>Оборот малых предприятий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Cs/>
                <w:sz w:val="20"/>
              </w:rPr>
            </w:pPr>
            <w:r w:rsidRPr="00A46FF8">
              <w:rPr>
                <w:bCs/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65180,3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71020,3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73435,0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74957,3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81475,3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91252,3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  <w:szCs w:val="16"/>
              </w:rPr>
            </w:pPr>
            <w:r w:rsidRPr="00A46FF8">
              <w:rPr>
                <w:sz w:val="22"/>
                <w:szCs w:val="16"/>
              </w:rPr>
              <w:t> Индекс производства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102,06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104,2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  <w:szCs w:val="16"/>
              </w:rPr>
            </w:pPr>
            <w:r w:rsidRPr="00A46FF8">
              <w:rPr>
                <w:sz w:val="22"/>
                <w:szCs w:val="16"/>
              </w:rPr>
              <w:t>Численность индивидуальных предпринимателей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8890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9047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8964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8874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9368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  <w:szCs w:val="16"/>
              </w:rPr>
            </w:pPr>
            <w:r w:rsidRPr="00A46FF8">
              <w:rPr>
                <w:sz w:val="22"/>
                <w:szCs w:val="16"/>
              </w:rPr>
              <w:t xml:space="preserve">Среднесписочная численность работников индивидуальных предпринимателей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11543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-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  <w:szCs w:val="16"/>
              </w:rPr>
            </w:pPr>
            <w:r w:rsidRPr="00A46FF8">
              <w:rPr>
                <w:sz w:val="22"/>
              </w:rPr>
              <w:t>Количество средних предприятий – всего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единиц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69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  <w:szCs w:val="16"/>
              </w:rPr>
            </w:pPr>
            <w:r w:rsidRPr="00A46FF8">
              <w:rPr>
                <w:sz w:val="22"/>
                <w:szCs w:val="16"/>
              </w:rPr>
              <w:t>Среднесписочная численность работников (без внешних совместителей) по средним предприятиям - всего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6316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6696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6898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6659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6928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7635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b/>
                <w:bCs/>
                <w:sz w:val="22"/>
                <w:szCs w:val="16"/>
              </w:rPr>
            </w:pPr>
            <w:r w:rsidRPr="00A46FF8">
              <w:rPr>
                <w:b/>
                <w:bCs/>
                <w:sz w:val="22"/>
                <w:szCs w:val="16"/>
              </w:rPr>
              <w:t>5. Инвестиции и строительство</w:t>
            </w:r>
            <w:r w:rsidRPr="00A46FF8">
              <w:rPr>
                <w:rStyle w:val="af"/>
                <w:color w:val="000000"/>
                <w:sz w:val="22"/>
                <w:szCs w:val="22"/>
              </w:rPr>
              <w:footnoteReference w:id="5"/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bCs/>
                <w:sz w:val="22"/>
              </w:rPr>
            </w:pPr>
            <w:r w:rsidRPr="00A46FF8">
              <w:rPr>
                <w:bCs/>
                <w:sz w:val="22"/>
              </w:rPr>
              <w:t>Объем инвестиций (в основной капитал) за счет всех источников финансирования - всего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Cs/>
                <w:sz w:val="20"/>
              </w:rPr>
            </w:pPr>
            <w:r w:rsidRPr="00A46FF8">
              <w:rPr>
                <w:bCs/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7487,10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19387,20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27575,03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36717,16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45505,64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41636,49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</w:rPr>
            </w:pPr>
            <w:r w:rsidRPr="00A46FF8">
              <w:rPr>
                <w:sz w:val="22"/>
              </w:rPr>
              <w:t> Индекс физического объема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% к предыдущему году в сопоставимых ценах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247,30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131,33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85,51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</w:rPr>
            </w:pPr>
            <w:r w:rsidRPr="00A46FF8">
              <w:rPr>
                <w:sz w:val="22"/>
              </w:rPr>
              <w:lastRenderedPageBreak/>
              <w:t>Индекс-дефлятор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107,43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107,00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</w:rPr>
            </w:pPr>
            <w:r w:rsidRPr="00A46FF8">
              <w:rPr>
                <w:sz w:val="22"/>
              </w:rPr>
              <w:t>Инвестиции в основной капитал  по источникам финансирования: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     бюджетные средства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2779,07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5202,40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10947,54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12233,97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14784,76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13917,74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в % к предыдущему году в сопоставимых ценах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82,20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155,07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194,31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87,98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             из них: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</w:rPr>
            </w:pPr>
            <w:r w:rsidRPr="00A46FF8">
              <w:rPr>
                <w:sz w:val="22"/>
              </w:rPr>
              <w:t xml:space="preserve">   средства федерального бюджета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1425,30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3942,97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9211,01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8324,98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10803,26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12051,06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</w:rPr>
            </w:pPr>
            <w:r w:rsidRPr="00A46FF8">
              <w:rPr>
                <w:sz w:val="22"/>
              </w:rPr>
              <w:t xml:space="preserve">   средства бюджета субъекта Федерации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1183,00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1040,78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1135,65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3434,70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3507,84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989,75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</w:rPr>
            </w:pPr>
            <w:r w:rsidRPr="00A46FF8">
              <w:rPr>
                <w:sz w:val="22"/>
              </w:rPr>
              <w:t xml:space="preserve">   средства муниципального бюджета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170,77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218,65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600,88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474,28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473,66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876,93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   собственные средства предприятий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3096,00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9046,82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12674,94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16708,38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20500,55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18569,90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Объем выполненных работ по виду деятельности «Строительство»</w:t>
            </w:r>
            <w:r w:rsidRPr="00A46FF8">
              <w:rPr>
                <w:rStyle w:val="af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2223,70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1720,70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3761,33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6665,57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7845,85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58440,46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Индекс физического объема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175,10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72,40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201,47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164,24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695,48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b/>
                <w:bCs/>
              </w:rPr>
            </w:pPr>
            <w:r w:rsidRPr="00A46FF8">
              <w:rPr>
                <w:sz w:val="22"/>
              </w:rPr>
              <w:t>Индекс-дефлятор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291,22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107,10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pStyle w:val="a8"/>
              <w:tabs>
                <w:tab w:val="clear" w:pos="4677"/>
                <w:tab w:val="clear" w:pos="9355"/>
              </w:tabs>
              <w:rPr>
                <w:b/>
                <w:bCs/>
                <w:sz w:val="22"/>
              </w:rPr>
            </w:pPr>
            <w:r w:rsidRPr="00A46FF8">
              <w:rPr>
                <w:b/>
                <w:bCs/>
                <w:sz w:val="22"/>
              </w:rPr>
              <w:t>6. Сальдированный финансовый результат (прибыль, убыток) деятельности крупных и средних предприятий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0"/>
              </w:rPr>
            </w:pPr>
            <w:r w:rsidRPr="00A46FF8">
              <w:rPr>
                <w:bCs/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5301,1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3597,0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3674,0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3678,4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3758,5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3857,7</w:t>
            </w: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pStyle w:val="a8"/>
              <w:tabs>
                <w:tab w:val="clear" w:pos="4677"/>
                <w:tab w:val="clear" w:pos="9355"/>
              </w:tabs>
              <w:rPr>
                <w:b/>
                <w:bCs/>
                <w:sz w:val="22"/>
              </w:rPr>
            </w:pPr>
            <w:r w:rsidRPr="00A46FF8">
              <w:rPr>
                <w:b/>
                <w:bCs/>
                <w:sz w:val="22"/>
              </w:rPr>
              <w:t>7. Труд и занятость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6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pStyle w:val="a8"/>
              <w:tabs>
                <w:tab w:val="clear" w:pos="4677"/>
                <w:tab w:val="clear" w:pos="9355"/>
              </w:tabs>
              <w:rPr>
                <w:bCs/>
                <w:sz w:val="22"/>
              </w:rPr>
            </w:pPr>
            <w:r w:rsidRPr="00A46FF8">
              <w:rPr>
                <w:bCs/>
                <w:sz w:val="22"/>
              </w:rPr>
              <w:t xml:space="preserve">Численность населения в трудоспособном возрасте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0"/>
              </w:rPr>
            </w:pPr>
            <w:r w:rsidRPr="00A46FF8">
              <w:rPr>
                <w:bCs/>
                <w:sz w:val="20"/>
              </w:rPr>
              <w:t>тыс. 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201,87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196,98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193,26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189,65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186,14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182,71</w:t>
            </w:r>
          </w:p>
        </w:tc>
      </w:tr>
      <w:tr w:rsidR="00E6695E" w:rsidRPr="00A46FF8" w:rsidTr="00063074">
        <w:trPr>
          <w:trHeight w:val="614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bCs/>
                <w:sz w:val="22"/>
              </w:rPr>
            </w:pPr>
            <w:r w:rsidRPr="00A46FF8">
              <w:rPr>
                <w:bCs/>
                <w:sz w:val="22"/>
              </w:rPr>
              <w:lastRenderedPageBreak/>
              <w:t>Численность безработных, зарегистрированных в службах занятости, в среднем за год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Cs/>
                <w:sz w:val="20"/>
              </w:rPr>
            </w:pPr>
            <w:r w:rsidRPr="00A46FF8">
              <w:rPr>
                <w:bCs/>
                <w:sz w:val="20"/>
              </w:rPr>
              <w:t>тыс. 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1,92</w:t>
            </w:r>
          </w:p>
        </w:tc>
      </w:tr>
      <w:tr w:rsidR="00E6695E" w:rsidRPr="00A46FF8" w:rsidTr="00063074">
        <w:trPr>
          <w:trHeight w:val="501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Уровень безработицы (к трудоспособному населению)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0"/>
              </w:rPr>
            </w:pPr>
            <w:r w:rsidRPr="00A46FF8">
              <w:rPr>
                <w:bCs/>
                <w:sz w:val="20"/>
              </w:rPr>
              <w:t>%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1,05</w:t>
            </w:r>
          </w:p>
        </w:tc>
      </w:tr>
      <w:tr w:rsidR="00E6695E" w:rsidRPr="00A46FF8" w:rsidTr="00063074">
        <w:trPr>
          <w:trHeight w:val="209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b/>
                <w:bCs/>
                <w:sz w:val="22"/>
              </w:rPr>
            </w:pPr>
            <w:r w:rsidRPr="00A46FF8">
              <w:rPr>
                <w:sz w:val="22"/>
              </w:rPr>
              <w:t>Среднесписочная численность работников организаций</w:t>
            </w:r>
            <w:r w:rsidRPr="00A46FF8">
              <w:rPr>
                <w:rStyle w:val="af"/>
                <w:sz w:val="22"/>
              </w:rPr>
              <w:footnoteReference w:id="6"/>
            </w:r>
            <w:r w:rsidRPr="00A46FF8">
              <w:rPr>
                <w:sz w:val="22"/>
              </w:rPr>
              <w:t xml:space="preserve">  - всего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тыс. 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100,45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99,56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97,75</w:t>
            </w:r>
          </w:p>
        </w:tc>
      </w:tr>
      <w:tr w:rsidR="00E6695E" w:rsidRPr="00A46FF8" w:rsidTr="00063074">
        <w:trPr>
          <w:trHeight w:val="209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b/>
                <w:bCs/>
                <w:sz w:val="22"/>
                <w:szCs w:val="22"/>
              </w:rPr>
            </w:pPr>
            <w:r w:rsidRPr="00A46FF8">
              <w:rPr>
                <w:sz w:val="22"/>
                <w:szCs w:val="22"/>
              </w:rPr>
              <w:t>Среднемесячная номинальная заработная плата</w:t>
            </w:r>
            <w:r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0"/>
              </w:rPr>
            </w:pPr>
            <w:r w:rsidRPr="00A46FF8">
              <w:rPr>
                <w:bCs/>
                <w:sz w:val="20"/>
              </w:rPr>
              <w:t>рублей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33592,30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36984,80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41792,82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46523,77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51604,17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57280,63</w:t>
            </w:r>
          </w:p>
        </w:tc>
      </w:tr>
      <w:tr w:rsidR="00E6695E" w:rsidRPr="00A46FF8" w:rsidTr="00063074">
        <w:trPr>
          <w:trHeight w:val="338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outlineLvl w:val="0"/>
              <w:rPr>
                <w:sz w:val="20"/>
              </w:rPr>
            </w:pPr>
            <w:r w:rsidRPr="00002F7F">
              <w:rPr>
                <w:sz w:val="22"/>
              </w:rPr>
              <w:t>Фонд заработной платы</w:t>
            </w:r>
            <w:r>
              <w:rPr>
                <w:sz w:val="20"/>
                <w:vertAlign w:val="superscript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outlineLvl w:val="0"/>
              <w:rPr>
                <w:sz w:val="20"/>
              </w:rPr>
            </w:pPr>
            <w:r w:rsidRPr="00A46FF8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outlineLvl w:val="0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42925,7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outlineLvl w:val="0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46290,6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50382,81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55589,38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61095,35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67196,03</w:t>
            </w:r>
          </w:p>
        </w:tc>
      </w:tr>
      <w:tr w:rsidR="00E6695E" w:rsidRPr="00E6695E" w:rsidTr="00063074">
        <w:trPr>
          <w:trHeight w:val="338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E6695E" w:rsidRDefault="00E6695E" w:rsidP="00E6695E">
            <w:pPr>
              <w:pStyle w:val="5"/>
              <w:ind w:firstLine="0"/>
              <w:jc w:val="left"/>
              <w:rPr>
                <w:sz w:val="22"/>
                <w:szCs w:val="22"/>
              </w:rPr>
            </w:pPr>
            <w:r w:rsidRPr="00E6695E">
              <w:rPr>
                <w:sz w:val="22"/>
                <w:szCs w:val="22"/>
              </w:rPr>
              <w:t>8. Развитие социальной сферы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E6695E" w:rsidRDefault="00E6695E" w:rsidP="00063074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E6695E" w:rsidRDefault="00E6695E" w:rsidP="00063074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E6695E" w:rsidRDefault="00E6695E" w:rsidP="00063074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E6695E" w:rsidRDefault="00E6695E" w:rsidP="00063074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E6695E" w:rsidRDefault="00E6695E" w:rsidP="00063074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E6695E" w:rsidRDefault="00E6695E" w:rsidP="00063074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E6695E" w:rsidRDefault="00E6695E" w:rsidP="00063074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</w:tr>
      <w:tr w:rsidR="00E6695E" w:rsidRPr="00A46FF8" w:rsidTr="00063074">
        <w:trPr>
          <w:trHeight w:val="354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</w:rPr>
            </w:pPr>
            <w:r w:rsidRPr="00A46FF8">
              <w:rPr>
                <w:sz w:val="22"/>
              </w:rPr>
              <w:t> </w:t>
            </w:r>
            <w:r w:rsidRPr="00A46FF8">
              <w:rPr>
                <w:bCs/>
                <w:sz w:val="22"/>
              </w:rPr>
              <w:t>Численность детей в дошкольных</w:t>
            </w:r>
            <w:r w:rsidRPr="00A46FF8">
              <w:rPr>
                <w:sz w:val="22"/>
              </w:rPr>
              <w:t xml:space="preserve"> </w:t>
            </w:r>
            <w:r w:rsidRPr="00A46FF8">
              <w:rPr>
                <w:bCs/>
                <w:sz w:val="22"/>
              </w:rPr>
              <w:t>образовательных учреждениях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rFonts w:eastAsia="Arial Unicode MS"/>
                <w:sz w:val="20"/>
              </w:rPr>
              <w:t>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14662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14921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14936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15190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15324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15446</w:t>
            </w:r>
          </w:p>
        </w:tc>
      </w:tr>
      <w:tr w:rsidR="00E6695E" w:rsidRPr="00A46FF8" w:rsidTr="00063074">
        <w:trPr>
          <w:trHeight w:val="358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bCs/>
                <w:sz w:val="22"/>
              </w:rPr>
            </w:pPr>
            <w:r w:rsidRPr="00A46FF8">
              <w:rPr>
                <w:bCs/>
                <w:sz w:val="22"/>
              </w:rPr>
              <w:t>Численность учащихся в учреждениях: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358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общеобразовательных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46FF8">
              <w:rPr>
                <w:rFonts w:eastAsia="Arial Unicode MS"/>
                <w:sz w:val="20"/>
              </w:rPr>
              <w:t>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27679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27571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27469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27373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27283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27201</w:t>
            </w:r>
          </w:p>
        </w:tc>
      </w:tr>
      <w:tr w:rsidR="00E6695E" w:rsidRPr="00A46FF8" w:rsidTr="00063074">
        <w:trPr>
          <w:trHeight w:val="358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начального профессионального образования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rFonts w:eastAsia="Arial Unicode MS"/>
                <w:sz w:val="20"/>
              </w:rPr>
              <w:t>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2189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A46FF8">
              <w:rPr>
                <w:rFonts w:eastAsia="Arial Unicode MS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A46FF8">
              <w:rPr>
                <w:rFonts w:eastAsia="Arial Unicode MS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1896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1795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1701</w:t>
            </w:r>
          </w:p>
        </w:tc>
      </w:tr>
      <w:tr w:rsidR="00E6695E" w:rsidRPr="00A46FF8" w:rsidTr="00063074">
        <w:trPr>
          <w:trHeight w:val="358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среднего профессионального образования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0"/>
              </w:rPr>
            </w:pPr>
            <w:r w:rsidRPr="00A46FF8">
              <w:rPr>
                <w:rFonts w:eastAsia="Arial Unicode MS"/>
                <w:sz w:val="20"/>
              </w:rPr>
              <w:t>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6698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6699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6438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6142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5862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5598</w:t>
            </w:r>
          </w:p>
        </w:tc>
      </w:tr>
      <w:tr w:rsidR="00E6695E" w:rsidRPr="00A46FF8" w:rsidTr="00063074">
        <w:trPr>
          <w:trHeight w:val="55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rFonts w:eastAsia="Arial Unicode MS"/>
                <w:sz w:val="22"/>
              </w:rPr>
            </w:pPr>
            <w:r w:rsidRPr="00A46FF8">
              <w:rPr>
                <w:sz w:val="22"/>
              </w:rPr>
              <w:t>высшего профессионального образования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46FF8">
              <w:rPr>
                <w:rFonts w:eastAsia="Arial Unicode MS"/>
                <w:sz w:val="20"/>
              </w:rPr>
              <w:t>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26130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22786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22611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22378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22150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46FF8">
              <w:rPr>
                <w:rFonts w:eastAsia="Arial Unicode MS"/>
                <w:sz w:val="24"/>
                <w:szCs w:val="24"/>
              </w:rPr>
              <w:t>21925</w:t>
            </w:r>
          </w:p>
        </w:tc>
      </w:tr>
      <w:tr w:rsidR="00E6695E" w:rsidRPr="00A46FF8" w:rsidTr="00063074">
        <w:trPr>
          <w:trHeight w:val="321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Численность медицинских работников</w:t>
            </w:r>
            <w:r w:rsidRPr="00A46FF8">
              <w:rPr>
                <w:rStyle w:val="af"/>
                <w:sz w:val="22"/>
              </w:rPr>
              <w:footnoteReference w:id="7"/>
            </w:r>
            <w:r w:rsidRPr="00A46FF8">
              <w:rPr>
                <w:sz w:val="22"/>
              </w:rPr>
              <w:t>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321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 врачей-терапевтов участковых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46FF8">
              <w:rPr>
                <w:rFonts w:eastAsia="Arial Unicode MS"/>
                <w:sz w:val="20"/>
              </w:rPr>
              <w:t>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252</w:t>
            </w:r>
          </w:p>
        </w:tc>
      </w:tr>
      <w:tr w:rsidR="00E6695E" w:rsidRPr="00A46FF8" w:rsidTr="00063074">
        <w:trPr>
          <w:trHeight w:val="321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 врачей-педиатров участковых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46FF8">
              <w:rPr>
                <w:rFonts w:eastAsia="Arial Unicode MS"/>
                <w:sz w:val="20"/>
              </w:rPr>
              <w:t>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221</w:t>
            </w:r>
          </w:p>
        </w:tc>
      </w:tr>
      <w:tr w:rsidR="00E6695E" w:rsidRPr="00A46FF8" w:rsidTr="00063074">
        <w:trPr>
          <w:trHeight w:val="321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 врачей общей практики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46FF8">
              <w:rPr>
                <w:rFonts w:eastAsia="Arial Unicode MS"/>
                <w:sz w:val="20"/>
              </w:rPr>
              <w:t>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69</w:t>
            </w:r>
          </w:p>
        </w:tc>
      </w:tr>
      <w:tr w:rsidR="00E6695E" w:rsidRPr="00A46FF8" w:rsidTr="00063074">
        <w:trPr>
          <w:trHeight w:val="321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bCs/>
                <w:sz w:val="22"/>
              </w:rPr>
              <w:t>Обеспеченность: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321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больничными койками</w:t>
            </w:r>
            <w:r w:rsidRPr="00A46FF8">
              <w:rPr>
                <w:rStyle w:val="af"/>
                <w:sz w:val="22"/>
              </w:rPr>
              <w:footnoteReference w:id="8"/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46FF8">
              <w:rPr>
                <w:sz w:val="20"/>
              </w:rPr>
              <w:t>коек на 10 тыс.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127,04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123,63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122,27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124,46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124,86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125,21</w:t>
            </w:r>
          </w:p>
        </w:tc>
      </w:tr>
      <w:tr w:rsidR="00E6695E" w:rsidRPr="00A46FF8" w:rsidTr="00063074">
        <w:trPr>
          <w:trHeight w:val="321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амбулаторно-поликлиническими учреждениями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46FF8">
              <w:rPr>
                <w:sz w:val="20"/>
              </w:rPr>
              <w:t>посещений в смену на 10 тыс.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294,13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292,98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294,63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295,99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296,94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297,76</w:t>
            </w:r>
          </w:p>
        </w:tc>
      </w:tr>
      <w:tr w:rsidR="00E6695E" w:rsidRPr="00A46FF8" w:rsidTr="00063074">
        <w:trPr>
          <w:trHeight w:val="321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lastRenderedPageBreak/>
              <w:t>врачами</w:t>
            </w:r>
            <w:r>
              <w:rPr>
                <w:rStyle w:val="af"/>
                <w:sz w:val="22"/>
              </w:rPr>
              <w:footnoteReference w:id="9"/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46FF8">
              <w:rPr>
                <w:sz w:val="20"/>
              </w:rPr>
              <w:t>человек на 10 тыс.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75,14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75,56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75,91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76,15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76,36</w:t>
            </w:r>
          </w:p>
        </w:tc>
      </w:tr>
      <w:tr w:rsidR="00E6695E" w:rsidRPr="00A46FF8" w:rsidTr="00063074">
        <w:trPr>
          <w:trHeight w:val="321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средним медицинским персоналом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46FF8">
              <w:rPr>
                <w:sz w:val="20"/>
              </w:rPr>
              <w:t>человек на 10 тыс.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150,80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149,92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150,76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151,46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151,94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bCs/>
                <w:sz w:val="24"/>
                <w:szCs w:val="24"/>
              </w:rPr>
            </w:pPr>
            <w:r w:rsidRPr="00A46FF8">
              <w:rPr>
                <w:bCs/>
                <w:sz w:val="24"/>
                <w:szCs w:val="24"/>
              </w:rPr>
              <w:t>152,36</w:t>
            </w:r>
          </w:p>
        </w:tc>
      </w:tr>
      <w:tr w:rsidR="00E6695E" w:rsidRPr="00A46FF8" w:rsidTr="00063074">
        <w:trPr>
          <w:trHeight w:val="321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общедоступными  библиотеками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учреждений на</w:t>
            </w:r>
          </w:p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100 тыс.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12,06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11,87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11,63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11,66</w:t>
            </w:r>
          </w:p>
        </w:tc>
      </w:tr>
      <w:tr w:rsidR="00E6695E" w:rsidRPr="00A46FF8" w:rsidTr="00063074">
        <w:trPr>
          <w:trHeight w:val="321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учреждениями культурно-досугового типа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учреждений на</w:t>
            </w:r>
          </w:p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46FF8">
              <w:rPr>
                <w:sz w:val="20"/>
              </w:rPr>
              <w:t>100 тыс.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3,28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3,31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3,33</w:t>
            </w:r>
          </w:p>
        </w:tc>
      </w:tr>
      <w:tr w:rsidR="00E6695E" w:rsidRPr="00A46FF8" w:rsidTr="00063074">
        <w:trPr>
          <w:trHeight w:val="203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дошкольными образовательными учреждениями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46FF8">
              <w:rPr>
                <w:sz w:val="20"/>
              </w:rPr>
              <w:t xml:space="preserve">мест на 100 детей в возрасте 1-6 лет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78,75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80,15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80,83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80,30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80,11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80,21</w:t>
            </w:r>
          </w:p>
        </w:tc>
      </w:tr>
      <w:tr w:rsidR="00E6695E" w:rsidRPr="00A46FF8" w:rsidTr="00063074">
        <w:trPr>
          <w:trHeight w:val="2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bCs/>
                <w:sz w:val="22"/>
              </w:rPr>
            </w:pPr>
            <w:r w:rsidRPr="00A46FF8">
              <w:rPr>
                <w:bCs/>
                <w:sz w:val="22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 кв.м</w:t>
            </w:r>
            <w:r w:rsidRPr="00A46FF8">
              <w:rPr>
                <w:sz w:val="20"/>
              </w:rPr>
              <w:t xml:space="preserve"> общей площади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36,07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63,63</w:t>
            </w:r>
          </w:p>
        </w:tc>
      </w:tr>
      <w:tr w:rsidR="00E6695E" w:rsidRPr="00A46FF8" w:rsidTr="00063074">
        <w:trPr>
          <w:trHeight w:val="2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Средняя обеспеченность населения площадью жилых квартир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кв.м на человека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23,16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E6695E" w:rsidRPr="00A46FF8" w:rsidTr="00063074">
        <w:trPr>
          <w:trHeight w:val="2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Площадь ветхого и аварийного фонда в % к общей площади жилого фонда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%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2,43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1,95</w:t>
            </w:r>
          </w:p>
        </w:tc>
      </w:tr>
      <w:tr w:rsidR="00E6695E" w:rsidRPr="00A46FF8" w:rsidTr="00063074">
        <w:trPr>
          <w:trHeight w:val="2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Стоимость предоставляемых населению жилищно-коммунальных услуг по экономически обоснованным тарифам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млн. рублей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7893,58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8130,42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8531,76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9357,06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10250,03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11228,23</w:t>
            </w:r>
          </w:p>
        </w:tc>
      </w:tr>
      <w:tr w:rsidR="00E6695E" w:rsidRPr="00A46FF8" w:rsidTr="00063074">
        <w:trPr>
          <w:trHeight w:val="2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Фактический уровень платежей населения за жилье и коммунальные услуги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%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94,00</w:t>
            </w:r>
          </w:p>
        </w:tc>
      </w:tr>
      <w:tr w:rsidR="00E6695E" w:rsidRPr="00A46FF8" w:rsidTr="00063074">
        <w:trPr>
          <w:trHeight w:val="2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 xml:space="preserve">Общее число семей, получивших субсидии на оплату жилого помещения и коммунальных услуг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единиц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18991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19095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19280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18951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18771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18600</w:t>
            </w:r>
          </w:p>
        </w:tc>
      </w:tr>
      <w:tr w:rsidR="00E6695E" w:rsidRPr="00A46FF8" w:rsidTr="00063074">
        <w:trPr>
          <w:trHeight w:val="2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sz w:val="22"/>
              </w:rPr>
            </w:pPr>
            <w:r w:rsidRPr="00A46FF8">
              <w:rPr>
                <w:sz w:val="22"/>
              </w:rPr>
              <w:t>Численность пенсионеров, состоящих на учете в Пенсионном фонде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sz w:val="20"/>
              </w:rPr>
            </w:pPr>
            <w:r w:rsidRPr="00A46FF8">
              <w:rPr>
                <w:sz w:val="20"/>
              </w:rPr>
              <w:t>тыс. 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102,85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  <w:r w:rsidRPr="00A46FF8">
              <w:rPr>
                <w:sz w:val="24"/>
                <w:szCs w:val="24"/>
              </w:rPr>
              <w:t>103,65</w:t>
            </w:r>
          </w:p>
        </w:tc>
      </w:tr>
      <w:tr w:rsidR="00E6695E" w:rsidRPr="00A46FF8" w:rsidTr="00063074">
        <w:trPr>
          <w:trHeight w:val="2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46FF8">
              <w:rPr>
                <w:b/>
                <w:bCs/>
                <w:color w:val="000000"/>
                <w:sz w:val="22"/>
                <w:szCs w:val="22"/>
              </w:rPr>
              <w:t>9. Охрана окружающей среды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46FF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2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color w:val="000000"/>
                <w:sz w:val="22"/>
                <w:szCs w:val="22"/>
              </w:rPr>
            </w:pPr>
            <w:r w:rsidRPr="00A46FF8">
              <w:rPr>
                <w:color w:val="000000"/>
                <w:sz w:val="22"/>
                <w:szCs w:val="22"/>
              </w:rPr>
              <w:t>Инвестиции в основной капитал, направляемые на охрану окружающей среды и рациональное использование природных ресурсов за счет всех источников финансирования</w:t>
            </w:r>
            <w:r w:rsidRPr="00A46FF8">
              <w:rPr>
                <w:rStyle w:val="af"/>
                <w:color w:val="000000"/>
                <w:sz w:val="22"/>
                <w:szCs w:val="22"/>
              </w:rPr>
              <w:footnoteReference w:id="10"/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color w:val="000000"/>
                <w:sz w:val="20"/>
              </w:rPr>
            </w:pPr>
            <w:r w:rsidRPr="00A46FF8">
              <w:rPr>
                <w:color w:val="000000"/>
                <w:sz w:val="20"/>
              </w:rPr>
              <w:t>млн. руб. в ценах соответствующих лет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28,59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276,44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349,72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769,14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1937,24</w:t>
            </w:r>
          </w:p>
        </w:tc>
      </w:tr>
      <w:tr w:rsidR="00E6695E" w:rsidRPr="00A46FF8" w:rsidTr="00063074">
        <w:trPr>
          <w:trHeight w:val="2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color w:val="000000"/>
                <w:sz w:val="22"/>
                <w:szCs w:val="22"/>
              </w:rPr>
            </w:pPr>
            <w:r w:rsidRPr="00A46FF8">
              <w:rPr>
                <w:color w:val="000000"/>
                <w:sz w:val="22"/>
                <w:szCs w:val="22"/>
              </w:rPr>
              <w:t>Объем сброса загрязненных сточных вод</w:t>
            </w:r>
            <w:r w:rsidRPr="00A46FF8">
              <w:rPr>
                <w:rStyle w:val="af"/>
                <w:color w:val="000000"/>
                <w:sz w:val="22"/>
                <w:szCs w:val="22"/>
              </w:rPr>
              <w:footnoteReference w:id="11"/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color w:val="000000"/>
                <w:sz w:val="20"/>
              </w:rPr>
            </w:pPr>
            <w:r w:rsidRPr="00A46FF8">
              <w:rPr>
                <w:color w:val="000000"/>
                <w:sz w:val="20"/>
              </w:rPr>
              <w:t>млн. куб.м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31,16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29,75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19,83</w:t>
            </w:r>
          </w:p>
        </w:tc>
      </w:tr>
      <w:tr w:rsidR="00E6695E" w:rsidRPr="00A46FF8" w:rsidTr="00063074">
        <w:trPr>
          <w:trHeight w:val="2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color w:val="000000"/>
                <w:sz w:val="22"/>
                <w:szCs w:val="22"/>
              </w:rPr>
            </w:pPr>
            <w:r w:rsidRPr="00A46FF8">
              <w:rPr>
                <w:color w:val="000000"/>
                <w:sz w:val="22"/>
                <w:szCs w:val="22"/>
              </w:rPr>
              <w:lastRenderedPageBreak/>
              <w:t>Объем вредных веществ, выбрасываемых в атмосферный воздух стационарными источниками загрязнения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color w:val="000000"/>
                <w:sz w:val="20"/>
              </w:rPr>
            </w:pPr>
            <w:r w:rsidRPr="00A46FF8">
              <w:rPr>
                <w:color w:val="000000"/>
                <w:sz w:val="20"/>
              </w:rPr>
              <w:t>тыс. тонн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29,70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29,21</w:t>
            </w:r>
          </w:p>
        </w:tc>
      </w:tr>
      <w:tr w:rsidR="00E6695E" w:rsidRPr="00A46FF8" w:rsidTr="00063074">
        <w:trPr>
          <w:trHeight w:val="2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46FF8">
              <w:rPr>
                <w:b/>
                <w:bCs/>
                <w:color w:val="000000"/>
                <w:sz w:val="22"/>
                <w:szCs w:val="22"/>
              </w:rPr>
              <w:t>10. Туризм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color w:val="000000"/>
                <w:sz w:val="20"/>
              </w:rPr>
            </w:pPr>
            <w:r w:rsidRPr="00A46FF8">
              <w:rPr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695E" w:rsidRPr="00A46FF8" w:rsidTr="00063074">
        <w:trPr>
          <w:trHeight w:val="2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color w:val="000000"/>
                <w:sz w:val="22"/>
                <w:szCs w:val="22"/>
              </w:rPr>
            </w:pPr>
            <w:r w:rsidRPr="00A46FF8">
              <w:rPr>
                <w:color w:val="000000"/>
                <w:sz w:val="22"/>
                <w:szCs w:val="22"/>
              </w:rPr>
              <w:t>Количество иностранных посетителей (нерезидентов)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color w:val="000000"/>
                <w:sz w:val="20"/>
              </w:rPr>
            </w:pPr>
            <w:r w:rsidRPr="00A46FF8">
              <w:rPr>
                <w:color w:val="000000"/>
                <w:sz w:val="20"/>
              </w:rPr>
              <w:t>тыс.человек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14,29</w:t>
            </w:r>
          </w:p>
        </w:tc>
      </w:tr>
      <w:tr w:rsidR="00E6695E" w:rsidRPr="00A46FF8" w:rsidTr="00063074">
        <w:trPr>
          <w:trHeight w:val="2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color w:val="000000"/>
                <w:sz w:val="22"/>
                <w:szCs w:val="22"/>
              </w:rPr>
            </w:pPr>
            <w:r w:rsidRPr="00A46F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color w:val="000000"/>
                <w:sz w:val="20"/>
              </w:rPr>
            </w:pPr>
            <w:r w:rsidRPr="00A46FF8">
              <w:rPr>
                <w:color w:val="000000"/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101,93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106,65</w:t>
            </w:r>
          </w:p>
        </w:tc>
      </w:tr>
      <w:tr w:rsidR="00E6695E" w:rsidRPr="00A46FF8" w:rsidTr="00063074">
        <w:trPr>
          <w:trHeight w:val="2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color w:val="000000"/>
                <w:sz w:val="22"/>
                <w:szCs w:val="22"/>
              </w:rPr>
            </w:pPr>
            <w:r w:rsidRPr="00A46FF8">
              <w:rPr>
                <w:color w:val="000000"/>
                <w:sz w:val="22"/>
                <w:szCs w:val="22"/>
              </w:rPr>
              <w:t>Количество российских посетителей из других регионов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color w:val="000000"/>
                <w:sz w:val="20"/>
              </w:rPr>
            </w:pPr>
            <w:r w:rsidRPr="00A46FF8">
              <w:rPr>
                <w:color w:val="000000"/>
                <w:sz w:val="20"/>
              </w:rPr>
              <w:t>тыс.человек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75,08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71,24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74,64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76,83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82,19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87,78</w:t>
            </w:r>
          </w:p>
        </w:tc>
      </w:tr>
      <w:tr w:rsidR="00E6695E" w:rsidRPr="00A46FF8" w:rsidTr="00063074">
        <w:trPr>
          <w:trHeight w:val="2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695E" w:rsidRPr="00A46FF8" w:rsidRDefault="00E6695E" w:rsidP="00063074">
            <w:pPr>
              <w:rPr>
                <w:color w:val="000000"/>
                <w:sz w:val="22"/>
                <w:szCs w:val="22"/>
              </w:rPr>
            </w:pPr>
            <w:r w:rsidRPr="00A46F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5E" w:rsidRPr="00A46FF8" w:rsidRDefault="00E6695E" w:rsidP="00063074">
            <w:pPr>
              <w:jc w:val="center"/>
              <w:rPr>
                <w:color w:val="000000"/>
                <w:sz w:val="20"/>
              </w:rPr>
            </w:pPr>
            <w:r w:rsidRPr="00A46FF8">
              <w:rPr>
                <w:color w:val="000000"/>
                <w:sz w:val="20"/>
              </w:rPr>
              <w:t>в % к предыдущему году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104,20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94,88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104,77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5E" w:rsidRPr="00A46FF8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A46FF8">
              <w:rPr>
                <w:color w:val="000000"/>
                <w:sz w:val="24"/>
                <w:szCs w:val="24"/>
              </w:rPr>
              <w:t>106,80</w:t>
            </w:r>
          </w:p>
        </w:tc>
      </w:tr>
    </w:tbl>
    <w:p w:rsidR="00E6695E" w:rsidRDefault="00E6695E" w:rsidP="00E6695E">
      <w:pPr>
        <w:rPr>
          <w:sz w:val="22"/>
        </w:rPr>
      </w:pPr>
    </w:p>
    <w:p w:rsidR="00E6695E" w:rsidRDefault="00E6695E" w:rsidP="00E6695E">
      <w:pPr>
        <w:ind w:firstLine="709"/>
        <w:jc w:val="both"/>
        <w:rPr>
          <w:szCs w:val="28"/>
        </w:rPr>
      </w:pPr>
      <w:r w:rsidRPr="00F77FDC">
        <w:rPr>
          <w:szCs w:val="28"/>
        </w:rPr>
        <w:t>Пояснения к показателям прогноза социально-экономического развития муниципального образования город Мурманск на 2013 год и плановый период 2014 и 2015 годов приведены в приложении № 1. Оценка показателей за 2012 год проведена на основании предварительных итогов социально-экономического развития муниципального образования город Мурманск за первое полугодие 2012 года и ожидаемых итогов социально-экономического развития за 2012 год, представленных в приложении № 2.</w:t>
      </w:r>
    </w:p>
    <w:p w:rsidR="00E6695E" w:rsidRDefault="00E6695E" w:rsidP="00E6695E">
      <w:pPr>
        <w:ind w:firstLine="709"/>
        <w:jc w:val="both"/>
        <w:rPr>
          <w:szCs w:val="28"/>
        </w:rPr>
      </w:pPr>
    </w:p>
    <w:p w:rsidR="00E6695E" w:rsidRDefault="00E6695E" w:rsidP="00E6695E">
      <w:pPr>
        <w:ind w:firstLine="709"/>
        <w:jc w:val="both"/>
        <w:rPr>
          <w:szCs w:val="28"/>
        </w:rPr>
      </w:pPr>
    </w:p>
    <w:p w:rsidR="00E6695E" w:rsidRDefault="00E6695E" w:rsidP="00E6695E">
      <w:pPr>
        <w:ind w:firstLine="709"/>
        <w:jc w:val="both"/>
        <w:rPr>
          <w:szCs w:val="28"/>
        </w:rPr>
      </w:pPr>
    </w:p>
    <w:tbl>
      <w:tblPr>
        <w:tblW w:w="15026" w:type="dxa"/>
        <w:tblInd w:w="-34" w:type="dxa"/>
        <w:tblLook w:val="04A0"/>
      </w:tblPr>
      <w:tblGrid>
        <w:gridCol w:w="6805"/>
        <w:gridCol w:w="8221"/>
      </w:tblGrid>
      <w:tr w:rsidR="00E6695E" w:rsidRPr="00FC7951" w:rsidTr="00063074">
        <w:tc>
          <w:tcPr>
            <w:tcW w:w="6805" w:type="dxa"/>
          </w:tcPr>
          <w:p w:rsidR="00E6695E" w:rsidRPr="00FC7951" w:rsidRDefault="00E6695E" w:rsidP="00063074">
            <w:pPr>
              <w:ind w:left="34"/>
              <w:rPr>
                <w:b/>
                <w:szCs w:val="28"/>
              </w:rPr>
            </w:pPr>
            <w:r w:rsidRPr="00FC7951">
              <w:rPr>
                <w:b/>
                <w:szCs w:val="28"/>
              </w:rPr>
              <w:t>Заместитель главы</w:t>
            </w:r>
          </w:p>
          <w:p w:rsidR="00E6695E" w:rsidRPr="00FC7951" w:rsidRDefault="00E6695E" w:rsidP="00063074">
            <w:pPr>
              <w:ind w:left="34"/>
              <w:rPr>
                <w:b/>
                <w:szCs w:val="28"/>
              </w:rPr>
            </w:pPr>
            <w:r w:rsidRPr="00FC7951">
              <w:rPr>
                <w:b/>
                <w:szCs w:val="28"/>
              </w:rPr>
              <w:t>администрации города Мурманска</w:t>
            </w:r>
          </w:p>
        </w:tc>
        <w:tc>
          <w:tcPr>
            <w:tcW w:w="8221" w:type="dxa"/>
          </w:tcPr>
          <w:p w:rsidR="00E6695E" w:rsidRPr="00FC7951" w:rsidRDefault="00E6695E" w:rsidP="00063074">
            <w:pPr>
              <w:jc w:val="right"/>
              <w:rPr>
                <w:b/>
                <w:szCs w:val="28"/>
              </w:rPr>
            </w:pPr>
          </w:p>
          <w:p w:rsidR="00E6695E" w:rsidRPr="00FC7951" w:rsidRDefault="00E6695E" w:rsidP="00063074">
            <w:pPr>
              <w:jc w:val="right"/>
              <w:rPr>
                <w:b/>
                <w:szCs w:val="28"/>
              </w:rPr>
            </w:pPr>
            <w:r w:rsidRPr="00FC7951">
              <w:rPr>
                <w:b/>
                <w:szCs w:val="28"/>
              </w:rPr>
              <w:t xml:space="preserve">    М.Ю. Соколов</w:t>
            </w:r>
          </w:p>
        </w:tc>
      </w:tr>
    </w:tbl>
    <w:p w:rsidR="00E6695E" w:rsidRDefault="00E6695E" w:rsidP="00E6695E">
      <w:pPr>
        <w:ind w:firstLine="709"/>
        <w:jc w:val="both"/>
        <w:rPr>
          <w:szCs w:val="28"/>
        </w:rPr>
      </w:pPr>
    </w:p>
    <w:p w:rsidR="00E6695E" w:rsidRPr="00F77FDC" w:rsidRDefault="00E6695E" w:rsidP="00E6695E">
      <w:pPr>
        <w:ind w:firstLine="709"/>
        <w:jc w:val="both"/>
        <w:rPr>
          <w:szCs w:val="28"/>
        </w:rPr>
        <w:sectPr w:rsidR="00E6695E" w:rsidRPr="00F77FDC" w:rsidSect="000F4FDD">
          <w:headerReference w:type="even" r:id="rId11"/>
          <w:headerReference w:type="default" r:id="rId12"/>
          <w:footerReference w:type="even" r:id="rId13"/>
          <w:headerReference w:type="first" r:id="rId14"/>
          <w:pgSz w:w="16840" w:h="11907" w:orient="landscape" w:code="9"/>
          <w:pgMar w:top="1134" w:right="1134" w:bottom="567" w:left="1134" w:header="567" w:footer="397" w:gutter="0"/>
          <w:cols w:space="720"/>
          <w:titlePg/>
          <w:docGrid w:linePitch="381"/>
        </w:sectPr>
      </w:pPr>
    </w:p>
    <w:tbl>
      <w:tblPr>
        <w:tblW w:w="0" w:type="auto"/>
        <w:tblLook w:val="04A0"/>
      </w:tblPr>
      <w:tblGrid>
        <w:gridCol w:w="4768"/>
        <w:gridCol w:w="5419"/>
      </w:tblGrid>
      <w:tr w:rsidR="00E6695E" w:rsidRPr="00C4001B" w:rsidTr="00063074">
        <w:tc>
          <w:tcPr>
            <w:tcW w:w="4926" w:type="dxa"/>
          </w:tcPr>
          <w:p w:rsidR="00E6695E" w:rsidRPr="00C4001B" w:rsidRDefault="00E6695E" w:rsidP="00063074">
            <w:pPr>
              <w:jc w:val="right"/>
              <w:rPr>
                <w:szCs w:val="28"/>
              </w:rPr>
            </w:pPr>
            <w:r w:rsidRPr="00C4001B">
              <w:rPr>
                <w:szCs w:val="28"/>
              </w:rPr>
              <w:lastRenderedPageBreak/>
              <w:br w:type="page"/>
            </w:r>
          </w:p>
        </w:tc>
        <w:tc>
          <w:tcPr>
            <w:tcW w:w="5530" w:type="dxa"/>
          </w:tcPr>
          <w:p w:rsidR="00E6695E" w:rsidRPr="00C4001B" w:rsidRDefault="00E6695E" w:rsidP="00063074">
            <w:pPr>
              <w:jc w:val="center"/>
              <w:rPr>
                <w:szCs w:val="28"/>
              </w:rPr>
            </w:pPr>
            <w:r w:rsidRPr="00C4001B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1</w:t>
            </w:r>
          </w:p>
          <w:p w:rsidR="00E6695E" w:rsidRPr="00C4001B" w:rsidRDefault="00E6695E" w:rsidP="00063074">
            <w:pPr>
              <w:jc w:val="center"/>
              <w:rPr>
                <w:szCs w:val="28"/>
              </w:rPr>
            </w:pPr>
            <w:r w:rsidRPr="00C4001B">
              <w:rPr>
                <w:szCs w:val="28"/>
              </w:rPr>
              <w:t>к прогнозу социально-экономического развития муниципального образования город Мурманск на 201</w:t>
            </w:r>
            <w:r>
              <w:rPr>
                <w:szCs w:val="28"/>
              </w:rPr>
              <w:t>3</w:t>
            </w:r>
            <w:r w:rsidRPr="00C4001B">
              <w:rPr>
                <w:szCs w:val="28"/>
              </w:rPr>
              <w:t xml:space="preserve"> год и плановый период 201</w:t>
            </w:r>
            <w:r>
              <w:rPr>
                <w:szCs w:val="28"/>
              </w:rPr>
              <w:t>4</w:t>
            </w:r>
            <w:r w:rsidRPr="00C4001B">
              <w:rPr>
                <w:szCs w:val="28"/>
              </w:rPr>
              <w:t xml:space="preserve"> и 201</w:t>
            </w:r>
            <w:r>
              <w:rPr>
                <w:szCs w:val="28"/>
              </w:rPr>
              <w:t>5</w:t>
            </w:r>
            <w:r w:rsidRPr="00C4001B">
              <w:rPr>
                <w:szCs w:val="28"/>
              </w:rPr>
              <w:t xml:space="preserve"> годов</w:t>
            </w:r>
          </w:p>
        </w:tc>
      </w:tr>
    </w:tbl>
    <w:p w:rsidR="00E6695E" w:rsidRDefault="00E6695E" w:rsidP="00E6695E">
      <w:pPr>
        <w:tabs>
          <w:tab w:val="left" w:pos="6900"/>
        </w:tabs>
        <w:jc w:val="center"/>
        <w:rPr>
          <w:b/>
          <w:bCs/>
          <w:szCs w:val="28"/>
        </w:rPr>
      </w:pPr>
    </w:p>
    <w:p w:rsidR="00E6695E" w:rsidRDefault="00E6695E" w:rsidP="00E6695E">
      <w:pPr>
        <w:tabs>
          <w:tab w:val="left" w:pos="6900"/>
        </w:tabs>
        <w:jc w:val="center"/>
        <w:rPr>
          <w:b/>
          <w:bCs/>
          <w:szCs w:val="28"/>
        </w:rPr>
      </w:pPr>
    </w:p>
    <w:p w:rsidR="00E6695E" w:rsidRPr="00F30CFD" w:rsidRDefault="00E6695E" w:rsidP="00E6695E">
      <w:pPr>
        <w:tabs>
          <w:tab w:val="left" w:pos="6900"/>
        </w:tabs>
        <w:jc w:val="center"/>
        <w:rPr>
          <w:b/>
          <w:bCs/>
          <w:szCs w:val="28"/>
        </w:rPr>
      </w:pPr>
      <w:r w:rsidRPr="00F30CFD">
        <w:rPr>
          <w:b/>
          <w:bCs/>
          <w:szCs w:val="28"/>
        </w:rPr>
        <w:t>Пояснительная записка</w:t>
      </w:r>
    </w:p>
    <w:p w:rsidR="00E6695E" w:rsidRPr="00F30CFD" w:rsidRDefault="00E6695E" w:rsidP="00E6695E">
      <w:pPr>
        <w:jc w:val="center"/>
        <w:rPr>
          <w:b/>
          <w:bCs/>
          <w:szCs w:val="28"/>
        </w:rPr>
      </w:pPr>
      <w:r w:rsidRPr="00F30CFD">
        <w:rPr>
          <w:b/>
          <w:bCs/>
          <w:szCs w:val="28"/>
        </w:rPr>
        <w:t xml:space="preserve">к прогнозу социально-экономического развития </w:t>
      </w:r>
    </w:p>
    <w:p w:rsidR="00E6695E" w:rsidRPr="00F30CFD" w:rsidRDefault="00E6695E" w:rsidP="00E6695E">
      <w:pPr>
        <w:jc w:val="center"/>
        <w:rPr>
          <w:b/>
          <w:bCs/>
          <w:szCs w:val="28"/>
        </w:rPr>
      </w:pPr>
      <w:r w:rsidRPr="00F30CFD">
        <w:rPr>
          <w:b/>
          <w:bCs/>
          <w:szCs w:val="28"/>
        </w:rPr>
        <w:t xml:space="preserve">муниципального образования город Мурманск на 2013 год </w:t>
      </w:r>
    </w:p>
    <w:p w:rsidR="00E6695E" w:rsidRPr="00F30CFD" w:rsidRDefault="00E6695E" w:rsidP="00E6695E">
      <w:pPr>
        <w:jc w:val="center"/>
        <w:rPr>
          <w:b/>
          <w:bCs/>
          <w:szCs w:val="28"/>
        </w:rPr>
      </w:pPr>
      <w:r w:rsidRPr="00F30CFD">
        <w:rPr>
          <w:b/>
          <w:bCs/>
          <w:szCs w:val="28"/>
        </w:rPr>
        <w:t>и плановый период 2014 и 2015 годов</w:t>
      </w:r>
    </w:p>
    <w:p w:rsidR="00E6695E" w:rsidRPr="00F30CFD" w:rsidRDefault="00E6695E" w:rsidP="00E6695E">
      <w:pPr>
        <w:pStyle w:val="1"/>
        <w:rPr>
          <w:b w:val="0"/>
          <w:bCs w:val="0"/>
          <w:kern w:val="32"/>
          <w:sz w:val="28"/>
          <w:szCs w:val="28"/>
        </w:rPr>
      </w:pPr>
      <w:r w:rsidRPr="00F30CFD">
        <w:rPr>
          <w:caps w:val="0"/>
          <w:kern w:val="32"/>
          <w:sz w:val="28"/>
          <w:szCs w:val="28"/>
        </w:rPr>
        <w:t>Демографические показатели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>Одним из приоритетных направлений социально-экономического развития города Мурманска является стабилизация демографической ситуации, т.к. значения показателей естественного движения населения города продолжают уступать не только среднероссийским, но и региональным.</w:t>
      </w:r>
    </w:p>
    <w:p w:rsidR="00E6695E" w:rsidRPr="00F30CFD" w:rsidRDefault="00E6695E" w:rsidP="00E6695E">
      <w:pPr>
        <w:ind w:firstLine="709"/>
        <w:jc w:val="both"/>
        <w:rPr>
          <w:color w:val="FF0000"/>
          <w:szCs w:val="28"/>
        </w:rPr>
      </w:pPr>
      <w:r w:rsidRPr="00F30CFD">
        <w:rPr>
          <w:szCs w:val="28"/>
        </w:rPr>
        <w:t>Так, среднегодовая численность населения города Мурманска в 2011 году составила 305,97 тыс. человек, сократившись к  уровню предыдущего года на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>2331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>человека или на 0,76%, при этом темп сокращения показателя по области составил 0,8%. Уровень рождаемости  в городе увеличился с 10,66 человек на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>1000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>населения в 2010 году до 10,77 человек на 1000 человек населения в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>2011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 xml:space="preserve">году (родилось 3295 человек), однако не достиг значения показателя по области – 11,5 человек на 1000 населения. В прогнозном периоде ожидается увеличение уровня рождаемости, в то же время темпы ежегодного прироста количества родившихся будут сдерживаться продолжающимся вступлением в фертильный возраст малочисленного поколения 1990-х годов. Таким образом, общий коэффициент рождаемости увеличится в 2015 году до 11,08 человек на 1000 населения, число родившихся – до 3330 человек. 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>Общий коэффициент смертности в 2011 году составил 11,64 человека на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>1000 населения, что выше значения показателя по области – 11,5 человек на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>1000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>населения. Более половины смертей по-прежнему вызваны болезнями системы кровообращения, около 16% – новообразованиями. В прогнозном периоде за счет мер по совершенствованию системы здравоохранения ожидается сокращение уровня смертности до 11,18 человек на 1000 населения. В то же время существенного сокращения показателя не ожидается в связи с увеличением доли населения старше трудоспособного возраста.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>Таким образом, уровень естественной убыли населения города Мурманска предположительно сократится с -0,87 человек на 1000 населения в 2011 году до              -0,1 человека на 1000 населения к концу прогнозного периода.</w:t>
      </w:r>
    </w:p>
    <w:p w:rsidR="00E6695E" w:rsidRPr="00F30CFD" w:rsidRDefault="00E6695E" w:rsidP="00E6695E">
      <w:pPr>
        <w:ind w:firstLine="540"/>
        <w:jc w:val="both"/>
        <w:rPr>
          <w:szCs w:val="28"/>
        </w:rPr>
      </w:pPr>
      <w:r w:rsidRPr="00F30CFD">
        <w:rPr>
          <w:szCs w:val="28"/>
        </w:rPr>
        <w:lastRenderedPageBreak/>
        <w:t>Уровень миграционного оттока увеличился с 4,99 человек на 1000 населения в 2010 году до 5,24 человек на 1000 населения в 2011 году (при этом следует отметить, что изменена методика статистического учета миграционной убыли населения: помимо постоянной регистрации пребывания граждан с 2011 года учитывается временная регистрация). В рамках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2011-2015 годы продолжается предоставление государственных жилищных сертификатов на переселение из районов Крайнего Севера и приравненных к ним местностей. В прогнозном периоде ожидается замедление темпов миграционной убыли за счет привлечения рабочей силы в связи с реализацией крупных инвестиционных проектов, связанных с развитием Мурманского транспортного узла, созданием портовой особой экономической зоны, а также в связи с сокращением бюджетных ассигнований Мурманской области из федерального бюджета на осуществление социальных выплат для приобретения жилья гражданами, выезжающими из районов Крайнего Севера и приравненных к ним местностей (2012 год – на 54% к предыдущему году, 2013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>год – на 31%). В целях регулирования притока иностранной рабочей си</w:t>
      </w:r>
      <w:r>
        <w:rPr>
          <w:szCs w:val="28"/>
        </w:rPr>
        <w:t xml:space="preserve">лы в прогнозном периоде будут продолжены </w:t>
      </w:r>
      <w:r w:rsidRPr="00F30CFD">
        <w:rPr>
          <w:szCs w:val="28"/>
        </w:rPr>
        <w:t xml:space="preserve">мероприятия </w:t>
      </w:r>
      <w:r w:rsidRPr="00A214BA">
        <w:rPr>
          <w:szCs w:val="28"/>
        </w:rPr>
        <w:t xml:space="preserve">государственного областного бюджетного учреждения </w:t>
      </w:r>
      <w:r w:rsidRPr="00F30CFD">
        <w:rPr>
          <w:szCs w:val="28"/>
        </w:rPr>
        <w:t>Центр</w:t>
      </w:r>
      <w:r>
        <w:rPr>
          <w:szCs w:val="28"/>
        </w:rPr>
        <w:t>а</w:t>
      </w:r>
      <w:r w:rsidRPr="00F30CFD">
        <w:rPr>
          <w:szCs w:val="28"/>
        </w:rPr>
        <w:t xml:space="preserve"> занятости населения г</w:t>
      </w:r>
      <w:r>
        <w:rPr>
          <w:szCs w:val="28"/>
        </w:rPr>
        <w:t>орода</w:t>
      </w:r>
      <w:r w:rsidRPr="00F30CFD">
        <w:rPr>
          <w:szCs w:val="28"/>
        </w:rPr>
        <w:t xml:space="preserve"> Мурманска </w:t>
      </w:r>
      <w:r>
        <w:rPr>
          <w:szCs w:val="28"/>
        </w:rPr>
        <w:t xml:space="preserve">(далее - </w:t>
      </w:r>
      <w:r w:rsidRPr="00F30CFD">
        <w:rPr>
          <w:szCs w:val="28"/>
        </w:rPr>
        <w:t>Центр занятости</w:t>
      </w:r>
      <w:r>
        <w:rPr>
          <w:szCs w:val="28"/>
        </w:rPr>
        <w:t xml:space="preserve"> населения)</w:t>
      </w:r>
      <w:r w:rsidRPr="00F30CFD">
        <w:rPr>
          <w:szCs w:val="28"/>
        </w:rPr>
        <w:t xml:space="preserve"> по анализу спроса на рынке труда и предложения иностранной рабочей силы, разработке заключений, предложений о целесообразности привлечения работников из других городов.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 xml:space="preserve">В прогнозном периоде в связи с планируемым улучшением значений показателей естественного и механического движения населения, темпы убыли мурманчан будут замедляться. Тем не менее, к 2015 году среднегодовая численность населения города Мурманска предположительно сократится до 300,55 тыс. человек – на 5,4 тыс. человек к уровню 2011 года. 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 xml:space="preserve">На улучшение демографических условий, сохранение и развитие человеческого потенциала направлены целевые программы в области здравоохранения, образования, социальной поддержки и т.д., в т.ч. по улучшению жилищных условий молодых семей в рамках ДЦП «Обеспечение жильем молодых </w:t>
      </w:r>
      <w:r>
        <w:rPr>
          <w:szCs w:val="28"/>
        </w:rPr>
        <w:t xml:space="preserve">и многодетных </w:t>
      </w:r>
      <w:r w:rsidRPr="00F30CFD">
        <w:rPr>
          <w:szCs w:val="28"/>
        </w:rPr>
        <w:t>семей города Мурманска» на 2011-201</w:t>
      </w:r>
      <w:r>
        <w:rPr>
          <w:szCs w:val="28"/>
        </w:rPr>
        <w:t>5</w:t>
      </w:r>
      <w:r w:rsidRPr="00F30CFD">
        <w:rPr>
          <w:szCs w:val="28"/>
        </w:rPr>
        <w:t xml:space="preserve"> годы, мероприятия в рамках региональной целевой программы «Дети Кольского Заполярья» на 2012-2014 годы, в частности выплата пособий при рождении (усыновлении) третьего и последующих детей, при поступлении в первый класс и др. 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>Кроме того, в соответствии с программой социально-экономического развития города Мурманска на период до 2016 года планируется разработка ВЦП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 xml:space="preserve">«Содействие росту рождаемости в городе Мурманске» на 2014-2016 годы, в соответствии с которой будет производится вручение матерям новорожденных единовременного пособия в размере прожиточного минимума в форме </w:t>
      </w:r>
      <w:r w:rsidRPr="00F30CFD">
        <w:rPr>
          <w:szCs w:val="28"/>
        </w:rPr>
        <w:lastRenderedPageBreak/>
        <w:t>подарочной карты, которая может быть использована на приобретение детских товаров в течение первого года жизни ребенка.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 xml:space="preserve">Отклонение прогнозных значений демографических показателей от значений, определенных в Стратегии социально-экономического развития города Мурманска до 2020 года, обусловлено увеличением по итогам первого полугодия 2012 года уровня рождаемости и миграционного оттока, а также сокращением уровня смертности. </w:t>
      </w:r>
    </w:p>
    <w:p w:rsidR="00E6695E" w:rsidRPr="00F30CFD" w:rsidRDefault="00E6695E" w:rsidP="00E6695E">
      <w:pPr>
        <w:pStyle w:val="1"/>
        <w:rPr>
          <w:b w:val="0"/>
          <w:bCs w:val="0"/>
          <w:kern w:val="32"/>
          <w:sz w:val="28"/>
          <w:szCs w:val="28"/>
        </w:rPr>
      </w:pPr>
      <w:r w:rsidRPr="00F30CFD">
        <w:rPr>
          <w:caps w:val="0"/>
          <w:kern w:val="32"/>
          <w:sz w:val="28"/>
          <w:szCs w:val="28"/>
        </w:rPr>
        <w:t>Производство товаров и услуг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>Рост промышленного производства продуктов питания в прогнозном периоде сохранится. Реализация инвестиционного проекта по расширению производственных мощностей мурманского свинокомплекса, поддержка сельхозпредприятий на областном уровне в рамках ведомственной целевой программы «Развитие сельского хозяйства Мурманской области                                 на 2011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>–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>2013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 xml:space="preserve">годы» обеспечат дальнейшее развитие мясной промышленности города. Комплексное развитие рыбохозяйственного комплекса города Мурманска, предусмотренное в ходе реализации Стратегического плана социально-экономического развития города </w:t>
      </w:r>
      <w:r>
        <w:rPr>
          <w:szCs w:val="28"/>
        </w:rPr>
        <w:t>М</w:t>
      </w:r>
      <w:r w:rsidRPr="00F30CFD">
        <w:rPr>
          <w:szCs w:val="28"/>
        </w:rPr>
        <w:t>урманска, открытие новых рыбоперерабатывающих предприятий</w:t>
      </w:r>
      <w:r w:rsidRPr="00F30CFD">
        <w:rPr>
          <w:rStyle w:val="af"/>
          <w:szCs w:val="28"/>
        </w:rPr>
        <w:footnoteReference w:id="12"/>
      </w:r>
      <w:r w:rsidRPr="00F30CFD">
        <w:rPr>
          <w:szCs w:val="28"/>
        </w:rPr>
        <w:t xml:space="preserve"> и реализация инвестиционных проектов рыбохозяйственных организаций, достаточно благоприятная промысловая обстановка и субсидирование из областного бюджета береговых рыбоперерабатывающих предприятий на компенсацию затрат по приобретению сырья в рамках ведомственной целевой программы «Развитие прибрежного рыбохозяйственного комплекса Мурманской области на 2012-2014 годы» позволят сохранить рост производственных показателей ведущей отрасли экономики города в последующие годы, обеспечив рост обрабатывающих производств. 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>Развитая конкуренция на рынке хлебопекарной продукции обеспечивает большое предложение широкого ассортимента хлебопекарной и кондитерской продукции, которое должно сохранится в перспективе, однако, с ростом цены на продукцию ее структура может поменяться в пользу ржаного и ржано-пшеничного хлеба в результате снижения производства кондитерских изделий и хлеба и хлебобулочных изделий из муки высшего сорта. Развитие сельского хозяйства Мурманской области будет обуславливать рост производства предприятий комбикормовой промышленности. Объем промышленного производства муки и круп в перспективе будет зависеть от природно-климатических факторов.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 xml:space="preserve">В условиях кризисного состояния текстильного и швейного производства, в  том числе в целом по стране, которое по ожиданиям экспертов усугубиться в </w:t>
      </w:r>
      <w:r w:rsidRPr="00F30CFD">
        <w:rPr>
          <w:szCs w:val="28"/>
        </w:rPr>
        <w:lastRenderedPageBreak/>
        <w:t>результате вступления России в августе 2012 года в ВТО, не позволяет прогнозировать роста производства по данному виду деятельности - ожидается дальнейшее снижение показателей в прогнозном периоде на уровне 85-88%.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>Рост в сфере целлюлозно-бумажного производства и издательской и полиграфической деятельности по-прежнему будет определяться развитием целлюлозно-бумажной промышленности. С начала 2004-го года на ОАО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>«Мурманский тарный комбинат» реализуется программа модернизации гофропроизводства. В результате модернизации картонажного производства и ввода новой линии гофротары в 2011 году (объем инвестиций в 2011 году увеличился в 2,3 раза к 2010 году, в том числе за счет роста привлеченных средств в 5,1 раза, из которых 28,7% составили кредиты банков) была произведена замена линии по производству продукции из трехслойного гофрокартона с возможностью нанесения двухцветной флексопечати, что позволит существенно повысить производительность и качество выпускаемой продукции. Ожидается, что благодаря введению нового оборудования, предприятие выйдет на проектную мощность в 2013 году, обеспечив рост производства к 2012 году, и сохранит достигнутые объемы выпуска продукции в прогнозном периоде. Также предполагается сохранение динамичного развития издательской и полиграфической промышленности в прогнозном периоде (индекс производства по-прежнему будет превышать 110%). Таким образом, к 2015 году объем производства в сопоставимых ценах увеличится на 18,2% к 2012 году, а доля отгруженной продукции по виду деятельности «Целлюлозно-бумажное производство, издательская и полиграфическая деятельность» в общем объеме обрабатывающих производств превысит 1%.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>Производство прочих неметаллических минеральных продуктов как в области и стране в целом, так и в городе имеет устойчивую тенденцию к росту в условиях увеличения объема добычи строительных нерудных материалов на территории области. Возобновление строительных работ на крупных объектах города, строительство и реконструкция социально-значимых объектов, развитие рынка нового жилья, в том числе малоэтажного, в рамках реализации долгосрочных целевых программ «Поддержка и стимулирование жилищного строительства на территории муниципального образования город Мурманск» на 2012-2015 годы и «Поддержка и стимулирование жилищного строительства в Мурманской области» на 2011-2015 годы требуют увеличения загрузки производственных мощностей местных производителей по выпуску доступных строительных материалов, позволяющих снизить долю привозных импортных материалов в строительстве и, следовательно, стоимость строительства. Приоритетное решение проблемы приведения в порядок городских дорог и дворовых территорий требует все большего объема работ по ремонту дорожного полотна, что обеспечит рост производства асфальто-бетонной смеси.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 xml:space="preserve">Несмотря на тяжелое финансовое положение предприятий промышленности строительных материалов, в результате значительных инвестиций в 2011 году </w:t>
      </w:r>
      <w:r w:rsidRPr="00F30CFD">
        <w:rPr>
          <w:szCs w:val="28"/>
        </w:rPr>
        <w:lastRenderedPageBreak/>
        <w:t>производители планируют дальнейшее увеличение объемов производства строительной продукции. Повышение качества производимой строительной продукции в соответствии с современными требованиями энергоэффективности, экономичности и экологичности, а также расширение ее номенклатуры невозможно без значительных капиталовложений в модернизацию существующих производств. Укреплению материально-технической базы предприятий по производству стройматериалов в прогнозном периоде будет способствовать реализация ведомственной целевой программы «Развитие строительной индустрии Мурманской области» на 2012 - 2014 годы.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>Отложенный на неопределенный срок проект по освоению Штокмановского месторождения исключает возможность в ближайшей перспективе создания в пределах портовой особой экономической зоны (ПОЭЗ) в Мурманской области производства по сборке верхних строений буровых платформ для шельфовых месторождений Арктики, где могли бы быть востребованы мощности судоремонтных предприятий и компании «Рейнертсен НВР», обладающей необходимыми ресурсами и технологиями и способной обеспечить рост производственных показателей по виду деятельности «Металлургическое производство», представленного производством металлоконструкций. В отсутствие спроса на металлоконструкции в прогнозном периоде учитывается сохранение достигнутых объемов выпуска упаковки из легких металлов ОАО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 xml:space="preserve">«Мурманский тарный комбинат» в условиях дальнейшего ежегодного роста цен на белую жесть и металлоконструкций ООО «Рейнертсен НВР» и других компаний, некоторые из которых находятся в тяжелой финансовой ситуации или на грани банкротства. 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>На фоне значительного роста производства электронных компонентов, аппаратуры для радио, телевидения и связи в 2012 году (почти в 3 раза) в 2013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>году ожидается стабилизация производственных показателей на достигнутом уровне. Рост объема инвестиций в производство электрооборудования, электронного и оптического оборудования (в первом полугодии 2012 года в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>4,9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>раза) позволяет прогнозировать дальнейший рост производственных показателей в прогнозном периоде.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>Строительство и ремонт отечественных судов на зарубежных верфях, а  ледоколов за пределами Мурманской области, требующее значительных капиталовложений исключает развитие судостроения на территории города Мурманска. В 2011 году судоремонтные предприятия выполняли работы по достройке и балластировке буровых платформ, вводу в эксплуатацию комплекса бурового оборудования (летом 2011 года - морская ледостойкая платформа «Приразломная», в ноябре 2011 года - самоподъемная плавучая буровая установка «Арктическая»), однако не смогли выполнить объем работ предыдущего года. В</w:t>
      </w:r>
      <w:r>
        <w:rPr>
          <w:szCs w:val="28"/>
        </w:rPr>
        <w:t> </w:t>
      </w:r>
      <w:r w:rsidRPr="00F30CFD">
        <w:rPr>
          <w:szCs w:val="28"/>
        </w:rPr>
        <w:t xml:space="preserve">результате убыточной деятельности и банкротства ОАО «Мурманский судоремонтный завод Морского Флота» объемы производства по данному виду деятельности снизились, уменьшив долю в общем объеме обрабатывающих </w:t>
      </w:r>
      <w:r w:rsidRPr="00F30CFD">
        <w:rPr>
          <w:szCs w:val="28"/>
        </w:rPr>
        <w:lastRenderedPageBreak/>
        <w:t>производств. Дальнейшее развитие отрасли будет поддерживаться за счет заказов предприятий прибрежного рыболовства и может быть связано с развитием портовой зоны и мурманского транспортного узла. В отсутствие программ по развитию судостроения в городе Мурманске роста объемов промышленного производства по данному виду деятельности в прогнозном периоде не ожидается.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>Обработка отходов и лома цветных металлов в результате успешного инвестирования в 2008, 2010 годах получила динамичное развитие в 2009-2012 годах. ОАО «Мурмансквтормет», осуществлявшее деятельность на территории города Мурманска по обработке вторсырья (лома и цветных металлов)</w:t>
      </w:r>
      <w:r>
        <w:rPr>
          <w:szCs w:val="28"/>
        </w:rPr>
        <w:t>,</w:t>
      </w:r>
      <w:r w:rsidRPr="00F30CFD">
        <w:rPr>
          <w:szCs w:val="28"/>
        </w:rPr>
        <w:t xml:space="preserve"> находится на стадии ликвидации, вместо него дальнейшая ломозаготовительная и ломоперерабатывающая деятельность в Мурманской области в сфере прочих производств будет осуществляться Мурманским областным филиалом ООО «Северсталь-Вторчермет», планирующи</w:t>
      </w:r>
      <w:r>
        <w:rPr>
          <w:szCs w:val="28"/>
        </w:rPr>
        <w:t>м</w:t>
      </w:r>
      <w:r w:rsidRPr="00F30CFD">
        <w:rPr>
          <w:szCs w:val="28"/>
        </w:rPr>
        <w:t xml:space="preserve"> расширение деятельности за счет переоформления лицензии на дополнительный адрес в Ковдоре. Участие ОАО «Северсталь» на мурманском рынке обработки отходов и лома цветных металлов, кроме драгоценных</w:t>
      </w:r>
      <w:r>
        <w:rPr>
          <w:szCs w:val="28"/>
        </w:rPr>
        <w:t>,</w:t>
      </w:r>
      <w:r w:rsidRPr="00F30CFD">
        <w:rPr>
          <w:szCs w:val="28"/>
        </w:rPr>
        <w:t xml:space="preserve"> позволяет прогнозировать дальнейшее динамичное развитие отрасли и рост производственных показателей, что со временем будет оказывать все большее влияние на индекс обрабатывающего производства.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>Таким образом, за счет роста производства продуктов питания, стройматериалов, картонной тары и упаковки и полиграфической продукции и обработки вторсырья в прогнозном периоде индекс промышленного производства обрабатывающих производств в 2013 году превысит 104%, почти достигнув уровня 2012 года, в 2014-2</w:t>
      </w:r>
      <w:r>
        <w:rPr>
          <w:szCs w:val="28"/>
        </w:rPr>
        <w:t>015 годах</w:t>
      </w:r>
      <w:r w:rsidRPr="00F30CFD">
        <w:rPr>
          <w:szCs w:val="28"/>
        </w:rPr>
        <w:t xml:space="preserve"> составит около 102%.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 xml:space="preserve">Потребление водных, газовых, и теплоресурсов в городе на протяжении ряда лет сохраняется на относительно постоянном уровне. Удельная величина потребления отдельных ресурсов (тепловая энергия и горячая вода) в многоквартирных домах сокращается (в 2011 году соответственно с 0,28 до 0,25 Гкал на 1 </w:t>
      </w:r>
      <w:r>
        <w:rPr>
          <w:szCs w:val="28"/>
        </w:rPr>
        <w:t>кв.м</w:t>
      </w:r>
      <w:r w:rsidRPr="00F30CFD">
        <w:rPr>
          <w:szCs w:val="28"/>
        </w:rPr>
        <w:t xml:space="preserve"> площади жилья и с 27,09 до 19,14 </w:t>
      </w:r>
      <w:r>
        <w:rPr>
          <w:szCs w:val="28"/>
        </w:rPr>
        <w:t>куб.м</w:t>
      </w:r>
      <w:r w:rsidRPr="00F30CFD">
        <w:rPr>
          <w:szCs w:val="28"/>
        </w:rPr>
        <w:t xml:space="preserve"> на 1 проживающего), по сжиженному газу – сохранилась на уровне 2010 года (7,56 </w:t>
      </w:r>
      <w:r>
        <w:rPr>
          <w:szCs w:val="28"/>
        </w:rPr>
        <w:t>куб.м</w:t>
      </w:r>
      <w:r w:rsidRPr="00F30CFD">
        <w:rPr>
          <w:szCs w:val="28"/>
        </w:rPr>
        <w:t xml:space="preserve"> на 1 проживающего). По электрической энергии и холодной воде показатели увеличиваются (в 2011 году с 873,45 до 955,29 кВт/ч и с 67,72 до 75,3 </w:t>
      </w:r>
      <w:r>
        <w:rPr>
          <w:szCs w:val="28"/>
        </w:rPr>
        <w:t>куб.м на 1 </w:t>
      </w:r>
      <w:r w:rsidRPr="00F30CFD">
        <w:rPr>
          <w:szCs w:val="28"/>
        </w:rPr>
        <w:t xml:space="preserve">проживающего), что связано с высокими тарифами на тепловую энергию и переходом от централизованного горячего водоснабжения к индивидуальному с использованием водонагревателей. Удельная величина потребления энергоресурсов муниципальными бюджетными учреждениями сокращается по электрической энергии (в 2011 году с 86,4 до 71,27 кВт/ч на 1 человека населения) и увеличивается по тепловой энергии и холодной воде (соответственно с 0,21 до 0,22 Гкал на 1 </w:t>
      </w:r>
      <w:r>
        <w:rPr>
          <w:szCs w:val="28"/>
        </w:rPr>
        <w:t>кв.м</w:t>
      </w:r>
      <w:r w:rsidRPr="00F30CFD">
        <w:rPr>
          <w:szCs w:val="28"/>
        </w:rPr>
        <w:t xml:space="preserve"> площади жилья и с 3,85 до 4,52 </w:t>
      </w:r>
      <w:r>
        <w:rPr>
          <w:szCs w:val="28"/>
        </w:rPr>
        <w:t>куб.м</w:t>
      </w:r>
      <w:r w:rsidRPr="00F30CFD">
        <w:rPr>
          <w:szCs w:val="28"/>
        </w:rPr>
        <w:t xml:space="preserve"> на 1 человека населения), оставаясь постоянной по горячей воде (1,54 </w:t>
      </w:r>
      <w:r>
        <w:rPr>
          <w:szCs w:val="28"/>
        </w:rPr>
        <w:t>куб.м</w:t>
      </w:r>
      <w:r w:rsidRPr="00F30CFD">
        <w:rPr>
          <w:szCs w:val="28"/>
        </w:rPr>
        <w:t xml:space="preserve"> на 1 человека населения). 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 xml:space="preserve">По итогам реализации долгосрочной целевой программы «Энергосбережение и повышение энергетической эффективности на территории муниципального образования город Мурманск», направленной на повышение </w:t>
      </w:r>
      <w:r w:rsidRPr="00F30CFD">
        <w:rPr>
          <w:szCs w:val="28"/>
        </w:rPr>
        <w:lastRenderedPageBreak/>
        <w:t>энергетической эффективности при производстве, передаче и потреблении энергетических ресурсов в муниципальном образовании город Мурманск, к 2014 году планируется снижение удельных показателей энергоемкости и энергопотребления муниципальными учреждениями на 15%, что дополнительно позволит увеличить показатели экономии бюджетных средств. С целью эффективного использования энергетических ресурсов с 2009 года действует долгосрочная целевая программа «Адресная программа по поэтапному переходу на отпуск ресурсов (тепловой энергии, горячей и холодной воды, электрической энергии) потребителям в соответствии с показаниями коллективных (общедомовых) приборов учета потребления таких ресурсов на территории муниципального образования город Мурманск на 2009-2014 годы», в соответствии с которой предусмотрено оснащение к 2015 году всего жилищного фонда общедомовыми приборами учета коммунальных ресурсов.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 xml:space="preserve">В связи с кризисным состоянием котельной </w:t>
      </w:r>
      <w:r w:rsidRPr="006244FC">
        <w:rPr>
          <w:szCs w:val="28"/>
        </w:rPr>
        <w:t xml:space="preserve">ОАО «Мурманский морской рыбный порт» </w:t>
      </w:r>
      <w:r w:rsidRPr="00F30CFD">
        <w:rPr>
          <w:szCs w:val="28"/>
        </w:rPr>
        <w:t xml:space="preserve">в результате неэффективной и убыточной деятельности, дефицитом мощностей Центральной котельной </w:t>
      </w:r>
      <w:r>
        <w:rPr>
          <w:szCs w:val="28"/>
        </w:rPr>
        <w:t>ОАО «</w:t>
      </w:r>
      <w:r w:rsidRPr="00F30CFD">
        <w:rPr>
          <w:szCs w:val="28"/>
        </w:rPr>
        <w:t>Мурманской ТЭЦ</w:t>
      </w:r>
      <w:r>
        <w:rPr>
          <w:szCs w:val="28"/>
        </w:rPr>
        <w:t>»</w:t>
      </w:r>
      <w:r w:rsidRPr="00F30CFD">
        <w:rPr>
          <w:szCs w:val="28"/>
        </w:rPr>
        <w:t xml:space="preserve"> и отсутствием возможностей для увеличения подачи тепла в условиях строительства нового жилья Мурманской ТЭЦ разрабатывается план модернизации одного из ее котлов в целях увеличения подачи тепла.</w:t>
      </w:r>
    </w:p>
    <w:p w:rsidR="00E6695E" w:rsidRPr="003437E6" w:rsidRDefault="00E6695E" w:rsidP="00E6695E">
      <w:pPr>
        <w:ind w:firstLine="709"/>
        <w:jc w:val="both"/>
        <w:rPr>
          <w:spacing w:val="-10"/>
          <w:szCs w:val="28"/>
        </w:rPr>
      </w:pPr>
      <w:r w:rsidRPr="003437E6">
        <w:rPr>
          <w:spacing w:val="-10"/>
          <w:szCs w:val="28"/>
        </w:rPr>
        <w:t xml:space="preserve">Рост числа объектов энергопотребления, переход потребителей на альтернативные системы отопления способствуют дальнейшему росту энергопотребления в городе Мурманске. Неизбежный рост цен на электроэнергию в результате перехода на условия ВТО будет способствовать повышению энергоемкости экономики и коммунального хозяйства города, оказывая влияние на индекс промышленного производства и распределения электроэнергии, газа и воды и, следовательно, промышленности города в целом. В этой связи приоритетной задачей остается реализация мероприятий по внедрению энергосберегающих технологий, требующих значительных инвестиций. </w:t>
      </w:r>
    </w:p>
    <w:p w:rsidR="00E6695E" w:rsidRPr="003437E6" w:rsidRDefault="00E6695E" w:rsidP="00E6695E">
      <w:pPr>
        <w:widowControl w:val="0"/>
        <w:ind w:firstLine="709"/>
        <w:jc w:val="both"/>
        <w:rPr>
          <w:spacing w:val="-10"/>
          <w:szCs w:val="28"/>
        </w:rPr>
      </w:pPr>
      <w:r w:rsidRPr="003437E6">
        <w:rPr>
          <w:spacing w:val="-10"/>
          <w:szCs w:val="28"/>
        </w:rPr>
        <w:t>Таким образом, в результате реализации мероприятий по экономии электроэнергии и повышению энергоэффективности экономики и коммунального хозяйства города, с учетом ожидаемого сохранения объемов  производства производителями теплоэнергии в натуральном выражении ожидается сохранение ресурсоснабжения потребителей в прогнозном периоде на постоянном уровне при ежегодном росте цен более чем на 10%. Главными рисками недостижения прогнозных показателей остаются неплатежи населения и организаций за предоставленные коммунальные услуги и ухудшение финансового положения ресурсоснабжающих организаций.</w:t>
      </w:r>
    </w:p>
    <w:p w:rsidR="00E6695E" w:rsidRPr="00F30CFD" w:rsidRDefault="00E6695E" w:rsidP="00E6695E">
      <w:pPr>
        <w:pStyle w:val="1"/>
        <w:rPr>
          <w:b w:val="0"/>
          <w:bCs w:val="0"/>
          <w:kern w:val="32"/>
          <w:sz w:val="28"/>
          <w:szCs w:val="28"/>
        </w:rPr>
      </w:pPr>
      <w:r w:rsidRPr="00F30CFD">
        <w:rPr>
          <w:caps w:val="0"/>
          <w:kern w:val="32"/>
          <w:sz w:val="28"/>
          <w:szCs w:val="28"/>
        </w:rPr>
        <w:t>Рыболовство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 xml:space="preserve">Развитие рыбохозяйственного комплекса города Мурманска в прогнозируемом периоде планируется в соответствии с принятыми в 2012 году Стратегическим  планом социально-экономического развития города Мурманска до 2020 года и Программой социально-экономического развития города </w:t>
      </w:r>
      <w:r w:rsidRPr="00F30CFD">
        <w:rPr>
          <w:szCs w:val="28"/>
        </w:rPr>
        <w:lastRenderedPageBreak/>
        <w:t>Мурманска на период до 2016 года, согласно которым, по данным экспертов рыбной промышленности, дальнейший рост производственных показателей в условиях ограниченного промысла возможен за счет внедрения новых технологий и более глубокой переработки водного биологического сырья с вовлечением в производство малоиспользуемых гидробионтов. Уже в 2012 году на фоне значительного роста в 2010-2011 годах отмечен резкий спад объема экспортируемой свеже-охлажденной рыбопродукции, что связано с изменением структуры экспорта в пользу увеличения доли продукции повышенной степени переработки с  более высокой стоимостью – за 2010-2011 годы доля филе увеличилась в 2 раза в тоннах и в стоимостном выражении. Тепловое состояние Баренцева моря во многом определяет урожайность поколений ВБР и создает фон для появления мощных поколений всех баренцевоморских видов рыб и объектов в Норвежском море. В ближайшие 5 лет специалистами ПИНРО ожидается снижение промыслового запаса пикши, путассу и сельди из-за отсутствия урожайных поколений. Сохраняются хорошие нерестовый и промысловый запасы трески, палтуса, мойвы, сайки, скумбрии.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>Мурманские предприятия начали строительство новых суперсовременных траулеров - одного крупнотоннажного и нескольких среднетоннажных на иностранных верфях. Значительные инвестиции предприятий рыболовства, рыбоводства в обновление рыбопромыслового флота (в 2011 году объем инвестиций увеличился в 4,8 раза и составил 1,5 млрд. рублей, в том числе 1,25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>млрд. рублей – собственные средства предприятий) обеспечат рост показателей деятельности в прогнозном периоде. Прогноз показателей рыболовства, рыбоводства приведен с учетом уточненных оценок ПИНРО по вылову на 2013 год, ограничивающий индекс промышленного производства в пределах 105%, и экспертных оценок развития рыбохозяйственного комплекса до 2016 года с ежегодным ростом до 102%-103%.</w:t>
      </w:r>
    </w:p>
    <w:p w:rsidR="00E6695E" w:rsidRPr="00F30CFD" w:rsidRDefault="00E6695E" w:rsidP="00E6695E">
      <w:pPr>
        <w:pStyle w:val="1"/>
        <w:rPr>
          <w:b w:val="0"/>
          <w:bCs w:val="0"/>
          <w:kern w:val="32"/>
          <w:sz w:val="28"/>
          <w:szCs w:val="28"/>
        </w:rPr>
      </w:pPr>
      <w:r w:rsidRPr="00F30CFD">
        <w:rPr>
          <w:caps w:val="0"/>
          <w:kern w:val="32"/>
          <w:sz w:val="28"/>
          <w:szCs w:val="28"/>
        </w:rPr>
        <w:t>Сельское хозяйство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szCs w:val="28"/>
        </w:rPr>
        <w:t xml:space="preserve">Успешная реализация крупного инвестиционного проекта по модернизации производства мурманского свинокомплекса позволила предприятию увеличить объем производимой продукции и с 2011 года выйти на мощность более 5 тыс. тонн свиней в живой массе в год (5,5 тыс. тонн в 2012 году). В 2013 году планируется выход на полную проектную мощность 6 тыс. тонн и сохранение </w:t>
      </w:r>
      <w:r>
        <w:rPr>
          <w:szCs w:val="28"/>
        </w:rPr>
        <w:t>стопроцент</w:t>
      </w:r>
      <w:r w:rsidRPr="00F30CFD">
        <w:rPr>
          <w:szCs w:val="28"/>
        </w:rPr>
        <w:t>ной загрузки предприятия в прогнозном периоде. Увеличение объемов промышленного свиноводства в свою очередь обеспечит дальнейший рост промышленного производства мясной продукции. Основными рисками недостижения производственных планов предприятия помимо прекращения финансирования и ухудшения финансового состояния остаются инфекционные болезни сельскохозяйственных животных, а в условиях ВТО и конкуренция со стороны поставщиков более дешевой продукции.</w:t>
      </w:r>
    </w:p>
    <w:p w:rsidR="00E6695E" w:rsidRPr="00F30CFD" w:rsidRDefault="00E6695E" w:rsidP="00E6695E">
      <w:pPr>
        <w:pStyle w:val="1"/>
        <w:rPr>
          <w:b w:val="0"/>
          <w:bCs w:val="0"/>
          <w:kern w:val="32"/>
          <w:sz w:val="28"/>
          <w:szCs w:val="28"/>
        </w:rPr>
      </w:pPr>
      <w:r w:rsidRPr="00F30CFD">
        <w:rPr>
          <w:caps w:val="0"/>
          <w:kern w:val="32"/>
          <w:sz w:val="28"/>
          <w:szCs w:val="28"/>
        </w:rPr>
        <w:lastRenderedPageBreak/>
        <w:t>Малое и среднее предпринимательство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Финансово-экономический кризис прошлых лет не оказал сильного влияния на рынок малого и среднего предпринимательства. Это подтверждается ростом показателей в отрасли малого и среднего бизнеса. В 2011 увеличилось общее количество малых и средних предприятий на 11,5% или на 971 предприятие, в т.ч. количество микропредприятий составило 9902</w:t>
      </w:r>
      <w:r>
        <w:rPr>
          <w:rFonts w:ascii="Times New Roman" w:hAnsi="Times New Roman"/>
          <w:sz w:val="28"/>
          <w:szCs w:val="28"/>
        </w:rPr>
        <w:t xml:space="preserve"> единиц</w:t>
      </w:r>
      <w:r w:rsidRPr="00F30CFD">
        <w:rPr>
          <w:rFonts w:ascii="Times New Roman" w:hAnsi="Times New Roman"/>
          <w:sz w:val="28"/>
          <w:szCs w:val="28"/>
        </w:rPr>
        <w:t xml:space="preserve">, что меньше показателя предыдущего года на 6,1%. Несколько сократился объем средних предприятий на территории муниципального образования город </w:t>
      </w:r>
      <w:r>
        <w:rPr>
          <w:rFonts w:ascii="Times New Roman" w:hAnsi="Times New Roman"/>
          <w:sz w:val="28"/>
          <w:szCs w:val="28"/>
        </w:rPr>
        <w:t>Мурманск на 16% и составил 63 </w:t>
      </w:r>
      <w:r w:rsidRPr="00F30CFD">
        <w:rPr>
          <w:rFonts w:ascii="Times New Roman" w:hAnsi="Times New Roman"/>
          <w:sz w:val="28"/>
          <w:szCs w:val="28"/>
        </w:rPr>
        <w:t>предприятия.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К июлю 2012 года прослеживаются положительные тенденции в развитии предприятий малого и среднего бизнеса. Произошел рост числа малых и средних предприятий на 0,6% и 1,6% соответственно. Вслед за этим фактором увеличился оборот малых предприятий в сопоставимых ценах на 3,4% и составил 73435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>млн.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лей</w:t>
      </w:r>
      <w:r w:rsidRPr="00F30CFD">
        <w:rPr>
          <w:rFonts w:ascii="Times New Roman" w:hAnsi="Times New Roman"/>
          <w:sz w:val="28"/>
          <w:szCs w:val="28"/>
        </w:rPr>
        <w:t>.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В отчетном году прогнозируется положительная динамика показателей среднесписочной численности работников, занятых на предприятиях малого (1,5%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>или 636 чел</w:t>
      </w:r>
      <w:r>
        <w:rPr>
          <w:rFonts w:ascii="Times New Roman" w:hAnsi="Times New Roman"/>
          <w:sz w:val="28"/>
          <w:szCs w:val="28"/>
        </w:rPr>
        <w:t>овек</w:t>
      </w:r>
      <w:r w:rsidRPr="00F30CFD">
        <w:rPr>
          <w:rFonts w:ascii="Times New Roman" w:hAnsi="Times New Roman"/>
          <w:sz w:val="28"/>
          <w:szCs w:val="28"/>
        </w:rPr>
        <w:t>) и среднего бизнеса (3% или 202 чел</w:t>
      </w:r>
      <w:r>
        <w:rPr>
          <w:rFonts w:ascii="Times New Roman" w:hAnsi="Times New Roman"/>
          <w:sz w:val="28"/>
          <w:szCs w:val="28"/>
        </w:rPr>
        <w:t>овека</w:t>
      </w:r>
      <w:r w:rsidRPr="00F30CFD">
        <w:rPr>
          <w:rFonts w:ascii="Times New Roman" w:hAnsi="Times New Roman"/>
          <w:sz w:val="28"/>
          <w:szCs w:val="28"/>
        </w:rPr>
        <w:t>). Наряду с этим подъемом увеличились обороты малых предприятий в ценах соответствующих лет – по сравнению с 2011 годом в отчетном году этот показат</w:t>
      </w:r>
      <w:r>
        <w:rPr>
          <w:rFonts w:ascii="Times New Roman" w:hAnsi="Times New Roman"/>
          <w:sz w:val="28"/>
          <w:szCs w:val="28"/>
        </w:rPr>
        <w:t>ель вырос на 3,4% и составил 73</w:t>
      </w:r>
      <w:r w:rsidRPr="00F30CFD">
        <w:rPr>
          <w:rFonts w:ascii="Times New Roman" w:hAnsi="Times New Roman"/>
          <w:sz w:val="28"/>
          <w:szCs w:val="28"/>
        </w:rPr>
        <w:t>435 млн. руб</w:t>
      </w:r>
      <w:r>
        <w:rPr>
          <w:rFonts w:ascii="Times New Roman" w:hAnsi="Times New Roman"/>
          <w:sz w:val="28"/>
          <w:szCs w:val="28"/>
        </w:rPr>
        <w:t>лей</w:t>
      </w:r>
      <w:r w:rsidRPr="00F30CFD">
        <w:rPr>
          <w:rFonts w:ascii="Times New Roman" w:hAnsi="Times New Roman"/>
          <w:sz w:val="28"/>
          <w:szCs w:val="28"/>
        </w:rPr>
        <w:t>, что свидетельствует о дополнительных поступлениях в бюджеты города и области.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 xml:space="preserve">В прогнозном 2013 году предполагается снижение уровня развития субъектов малого и среднего предпринимательства на 1,5% в связи с наступающим кризисом. По прогнозам экспертов-аналитиков данная ситуация не так опасна, ввиду того, что многие предприниматели учли положительные и отрицательные моменты экономического упадка прошлых лет. В связи с этим в 2014-2015 </w:t>
      </w:r>
      <w:r>
        <w:rPr>
          <w:rFonts w:ascii="Times New Roman" w:hAnsi="Times New Roman"/>
          <w:sz w:val="28"/>
          <w:szCs w:val="28"/>
        </w:rPr>
        <w:t>годах</w:t>
      </w:r>
      <w:r w:rsidRPr="00F30CFD">
        <w:rPr>
          <w:rFonts w:ascii="Times New Roman" w:hAnsi="Times New Roman"/>
          <w:sz w:val="28"/>
          <w:szCs w:val="28"/>
        </w:rPr>
        <w:t xml:space="preserve"> ожидается менее болезненны</w:t>
      </w:r>
      <w:r>
        <w:rPr>
          <w:rFonts w:ascii="Times New Roman" w:hAnsi="Times New Roman"/>
          <w:sz w:val="28"/>
          <w:szCs w:val="28"/>
        </w:rPr>
        <w:t>й выход из данной ситуации. Это </w:t>
      </w:r>
      <w:r w:rsidRPr="00F30CFD">
        <w:rPr>
          <w:rFonts w:ascii="Times New Roman" w:hAnsi="Times New Roman"/>
          <w:sz w:val="28"/>
          <w:szCs w:val="28"/>
        </w:rPr>
        <w:t>подтверждается прогнозным уровнем инфляции на 2013 год 4,5-5%, а в последующие два прогнозных года она составит 4%. Так индекс производства, который на протяжении последних лет имеет положительную динамику роста, в 2013 году увеличится на 0,2% и соста</w:t>
      </w:r>
      <w:r>
        <w:rPr>
          <w:rFonts w:ascii="Times New Roman" w:hAnsi="Times New Roman"/>
          <w:sz w:val="28"/>
          <w:szCs w:val="28"/>
        </w:rPr>
        <w:t>вит 104,1%, а в 2014 и 2015 годах</w:t>
      </w:r>
      <w:r w:rsidRPr="00F30CFD">
        <w:rPr>
          <w:rFonts w:ascii="Times New Roman" w:hAnsi="Times New Roman"/>
          <w:sz w:val="28"/>
          <w:szCs w:val="28"/>
        </w:rPr>
        <w:t xml:space="preserve"> увеличение показателя произойдет на 0,7 и 0,1% соответственно. Положительная динамика ожидается и в численности субъектов малого и среднего бизнеса, где предполагаемый рост составит от 1,5% до 7%.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Администрацией города Мурманска осуществляются разные виды поддержки субъектов малого и среднего предпринимательства в виде информационных услуг: консультации по различным вопросам организации и развития, проведение семинаров с привлечением представителей малого и среднего предпринимательства, субсидирование различных категорий расходов предпринимателей.</w:t>
      </w:r>
    </w:p>
    <w:p w:rsidR="00E6695E" w:rsidRPr="00F30CFD" w:rsidRDefault="00E6695E" w:rsidP="00E6695E">
      <w:pPr>
        <w:pStyle w:val="1"/>
        <w:rPr>
          <w:b w:val="0"/>
          <w:bCs w:val="0"/>
          <w:kern w:val="32"/>
          <w:sz w:val="28"/>
          <w:szCs w:val="28"/>
        </w:rPr>
      </w:pPr>
      <w:r w:rsidRPr="00F30CFD">
        <w:rPr>
          <w:caps w:val="0"/>
          <w:kern w:val="32"/>
          <w:sz w:val="28"/>
          <w:szCs w:val="28"/>
        </w:rPr>
        <w:lastRenderedPageBreak/>
        <w:t>Рынок товаров и услуг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В прогнозном периоде 2013-2015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Pr="00F30CFD">
        <w:rPr>
          <w:rFonts w:ascii="Times New Roman" w:hAnsi="Times New Roman"/>
          <w:sz w:val="28"/>
          <w:szCs w:val="28"/>
        </w:rPr>
        <w:t xml:space="preserve"> ожидается активное развитие потребительского рынка товаров и услуг на территории города Мурманска: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- строительство торгово-развлекательного комплекса рядом с гипермаркетом «О’кей» в пяти уровн</w:t>
      </w:r>
      <w:r>
        <w:rPr>
          <w:rFonts w:ascii="Times New Roman" w:hAnsi="Times New Roman"/>
          <w:sz w:val="28"/>
          <w:szCs w:val="28"/>
        </w:rPr>
        <w:t>ях общей площадью более 60 тыс. кв.м</w:t>
      </w:r>
      <w:r w:rsidRPr="00F30CFD">
        <w:rPr>
          <w:rFonts w:ascii="Times New Roman" w:hAnsi="Times New Roman"/>
          <w:sz w:val="28"/>
          <w:szCs w:val="28"/>
        </w:rPr>
        <w:t>, включая двухуровневый паркинг</w:t>
      </w:r>
      <w:r w:rsidRPr="00F30CFD">
        <w:rPr>
          <w:rFonts w:ascii="Times New Roman" w:hAnsi="Times New Roman"/>
          <w:color w:val="000000"/>
          <w:sz w:val="28"/>
          <w:szCs w:val="28"/>
        </w:rPr>
        <w:t>. В нем будут располагаться три торговых этажа и один отдельно – развлекательный. Благодаря этому на потребительском рынке Мурманской области смогут появиться новые торговые бренды;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 xml:space="preserve">- ввод новых торговых площадей, в т.ч. залы по продаже продовольственных и непродовольственных товаров общей площадью – 39,3 тыс. </w:t>
      </w:r>
      <w:r>
        <w:rPr>
          <w:rFonts w:ascii="Times New Roman" w:hAnsi="Times New Roman"/>
          <w:sz w:val="28"/>
          <w:szCs w:val="28"/>
        </w:rPr>
        <w:t>кв.м</w:t>
      </w:r>
      <w:r w:rsidRPr="00F30CFD">
        <w:rPr>
          <w:rFonts w:ascii="Times New Roman" w:hAnsi="Times New Roman"/>
          <w:sz w:val="28"/>
          <w:szCs w:val="28"/>
        </w:rPr>
        <w:t>;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- реконструкция Ленинского рынка.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 xml:space="preserve">Тем самым предполагается обеспечить жителей новыми торговыми объектами, общей площадью более 900 </w:t>
      </w:r>
      <w:r>
        <w:rPr>
          <w:rFonts w:ascii="Times New Roman" w:hAnsi="Times New Roman"/>
          <w:sz w:val="28"/>
          <w:szCs w:val="28"/>
        </w:rPr>
        <w:t>кв.м</w:t>
      </w:r>
      <w:r w:rsidRPr="00F30CFD">
        <w:rPr>
          <w:rFonts w:ascii="Times New Roman" w:hAnsi="Times New Roman"/>
          <w:sz w:val="28"/>
          <w:szCs w:val="28"/>
        </w:rPr>
        <w:t xml:space="preserve"> на тысячу человек населения.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Реализация этих условий предполагает рост оборачиваемости розничной торговли в прогнозном периоде 2013-2015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Pr="00F30CFD">
        <w:rPr>
          <w:rFonts w:ascii="Times New Roman" w:hAnsi="Times New Roman"/>
          <w:sz w:val="28"/>
          <w:szCs w:val="28"/>
        </w:rPr>
        <w:t>, при этом данный показатель имеет положительную динамику роста и на конец 2015 года должен увеличиться на 39,2%, по сравнению с аналогичным периодом 2012 года, и составить 136724,76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>млн. руб</w:t>
      </w:r>
      <w:r>
        <w:rPr>
          <w:rFonts w:ascii="Times New Roman" w:hAnsi="Times New Roman"/>
          <w:sz w:val="28"/>
          <w:szCs w:val="28"/>
        </w:rPr>
        <w:t>лей</w:t>
      </w:r>
      <w:r w:rsidRPr="00F30CFD">
        <w:rPr>
          <w:rFonts w:ascii="Times New Roman" w:hAnsi="Times New Roman"/>
          <w:sz w:val="28"/>
          <w:szCs w:val="28"/>
        </w:rPr>
        <w:t xml:space="preserve"> в ценах соответствующих лет.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Темп роста общественного питания набирает обороты. По сравнению с 2012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>годом к концу 2015 года он долж</w:t>
      </w:r>
      <w:r>
        <w:rPr>
          <w:rFonts w:ascii="Times New Roman" w:hAnsi="Times New Roman"/>
          <w:sz w:val="28"/>
          <w:szCs w:val="28"/>
        </w:rPr>
        <w:t>ен составить 5</w:t>
      </w:r>
      <w:r w:rsidRPr="00F30CFD">
        <w:rPr>
          <w:rFonts w:ascii="Times New Roman" w:hAnsi="Times New Roman"/>
          <w:sz w:val="28"/>
          <w:szCs w:val="28"/>
        </w:rPr>
        <w:t>200 тыс. руб</w:t>
      </w:r>
      <w:r>
        <w:rPr>
          <w:rFonts w:ascii="Times New Roman" w:hAnsi="Times New Roman"/>
          <w:sz w:val="28"/>
          <w:szCs w:val="28"/>
        </w:rPr>
        <w:t>лей</w:t>
      </w:r>
      <w:r w:rsidRPr="00F30CFD">
        <w:rPr>
          <w:rFonts w:ascii="Times New Roman" w:hAnsi="Times New Roman"/>
          <w:sz w:val="28"/>
          <w:szCs w:val="28"/>
        </w:rPr>
        <w:t>.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Рынок услуг также имеет положительную динамику на протяжении всего прогнозного периода, прибавляя к своим оборотам 6-10%  ежегодно и в конце прогнозн</w:t>
      </w:r>
      <w:r>
        <w:rPr>
          <w:rFonts w:ascii="Times New Roman" w:hAnsi="Times New Roman"/>
          <w:sz w:val="28"/>
          <w:szCs w:val="28"/>
        </w:rPr>
        <w:t>ого периода достигнет уровня 36</w:t>
      </w:r>
      <w:r w:rsidRPr="00F30CFD">
        <w:rPr>
          <w:rFonts w:ascii="Times New Roman" w:hAnsi="Times New Roman"/>
          <w:sz w:val="28"/>
          <w:szCs w:val="28"/>
        </w:rPr>
        <w:t>361,9 млн. руб</w:t>
      </w:r>
      <w:r>
        <w:rPr>
          <w:rFonts w:ascii="Times New Roman" w:hAnsi="Times New Roman"/>
          <w:sz w:val="28"/>
          <w:szCs w:val="28"/>
        </w:rPr>
        <w:t>лей</w:t>
      </w:r>
      <w:r w:rsidRPr="00F30CFD">
        <w:rPr>
          <w:rFonts w:ascii="Times New Roman" w:hAnsi="Times New Roman"/>
          <w:sz w:val="28"/>
          <w:szCs w:val="28"/>
        </w:rPr>
        <w:t>, в т.ч. объем бытовых усл</w:t>
      </w:r>
      <w:r>
        <w:rPr>
          <w:rFonts w:ascii="Times New Roman" w:hAnsi="Times New Roman"/>
          <w:sz w:val="28"/>
          <w:szCs w:val="28"/>
        </w:rPr>
        <w:t>уг составит 12,7% или 4</w:t>
      </w:r>
      <w:r w:rsidRPr="00F30CFD">
        <w:rPr>
          <w:rFonts w:ascii="Times New Roman" w:hAnsi="Times New Roman"/>
          <w:sz w:val="28"/>
          <w:szCs w:val="28"/>
        </w:rPr>
        <w:t>608,6 млн. руб</w:t>
      </w:r>
      <w:r>
        <w:rPr>
          <w:rFonts w:ascii="Times New Roman" w:hAnsi="Times New Roman"/>
          <w:sz w:val="28"/>
          <w:szCs w:val="28"/>
        </w:rPr>
        <w:t>лей</w:t>
      </w:r>
      <w:r w:rsidRPr="00F30CFD">
        <w:rPr>
          <w:rFonts w:ascii="Times New Roman" w:hAnsi="Times New Roman"/>
          <w:sz w:val="28"/>
          <w:szCs w:val="28"/>
        </w:rPr>
        <w:t>.</w:t>
      </w:r>
    </w:p>
    <w:p w:rsidR="00E6695E" w:rsidRPr="00F30CFD" w:rsidRDefault="00E6695E" w:rsidP="00E6695E">
      <w:pPr>
        <w:pStyle w:val="1"/>
        <w:rPr>
          <w:b w:val="0"/>
          <w:bCs w:val="0"/>
          <w:kern w:val="32"/>
          <w:sz w:val="28"/>
          <w:szCs w:val="28"/>
        </w:rPr>
      </w:pPr>
      <w:r w:rsidRPr="00F30CFD">
        <w:rPr>
          <w:caps w:val="0"/>
          <w:kern w:val="32"/>
          <w:sz w:val="28"/>
          <w:szCs w:val="28"/>
        </w:rPr>
        <w:t>Инвестиции и строительство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В рамках реализации инвестиционных проектов стратегического плана и подготовки к празднованию 100-летия города Мурманска ожидается дальнейший рост финансирования инвестиций, в том числе за счет бюджетных средств, главным образом, из федерального бюджета в рамках долгосрочных целевых программ:</w:t>
      </w:r>
    </w:p>
    <w:p w:rsidR="00E6695E" w:rsidRPr="00F30CFD" w:rsidRDefault="00E6695E" w:rsidP="00E6695E">
      <w:pPr>
        <w:pStyle w:val="af8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«Развитие материально-технической базы спорта города Мурманска» на 2012-2014 годы;</w:t>
      </w:r>
    </w:p>
    <w:p w:rsidR="00E6695E" w:rsidRPr="00F30CFD" w:rsidRDefault="00E6695E" w:rsidP="00E6695E">
      <w:pPr>
        <w:pStyle w:val="af8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«Реконструкция дворовых территорий и проездов к дворовым территориям города Мурманска» на 2012-2016 годы;</w:t>
      </w:r>
    </w:p>
    <w:p w:rsidR="00E6695E" w:rsidRPr="00F30CFD" w:rsidRDefault="00E6695E" w:rsidP="00E6695E">
      <w:pPr>
        <w:pStyle w:val="af8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«Развитие спортивной инфраструктуры в Мурманской области» на 2012 - 2014 годы»;</w:t>
      </w:r>
    </w:p>
    <w:p w:rsidR="00E6695E" w:rsidRPr="00F30CFD" w:rsidRDefault="00E6695E" w:rsidP="00E6695E">
      <w:pPr>
        <w:pStyle w:val="af8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 xml:space="preserve"> «Предупреждение и борьба с социально значимыми заболеваниями» на 2009 - 2014 годы»;</w:t>
      </w:r>
    </w:p>
    <w:p w:rsidR="00E6695E" w:rsidRPr="00F30CFD" w:rsidRDefault="00E6695E" w:rsidP="00E6695E">
      <w:pPr>
        <w:pStyle w:val="af8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 xml:space="preserve"> «Развитие образования Мурманской области» на 2012 - 2015 годы»;</w:t>
      </w:r>
    </w:p>
    <w:p w:rsidR="00E6695E" w:rsidRPr="00F30CFD" w:rsidRDefault="00E6695E" w:rsidP="00E6695E">
      <w:pPr>
        <w:pStyle w:val="af8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lastRenderedPageBreak/>
        <w:t>«Развитие уголовно-исполнительной системы (2007 - 2016 годы)»;</w:t>
      </w:r>
    </w:p>
    <w:p w:rsidR="00E6695E" w:rsidRPr="00F30CFD" w:rsidRDefault="00E6695E" w:rsidP="00E6695E">
      <w:pPr>
        <w:pStyle w:val="af8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«Развитие судебной системы России» на 2007 - 2012 годы».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На реализацию инвестиционных проектов предприятий в 2013-2015 годах планируется потратить 38,3 млрд. инвестиций, в том числе за счет средств федерального бюдже</w:t>
      </w:r>
      <w:r>
        <w:rPr>
          <w:rFonts w:ascii="Times New Roman" w:hAnsi="Times New Roman"/>
          <w:sz w:val="28"/>
          <w:szCs w:val="28"/>
        </w:rPr>
        <w:t>та 34,2 млрд. рублей (развитие М</w:t>
      </w:r>
      <w:r w:rsidRPr="00F30CFD">
        <w:rPr>
          <w:rFonts w:ascii="Times New Roman" w:hAnsi="Times New Roman"/>
          <w:sz w:val="28"/>
          <w:szCs w:val="28"/>
        </w:rPr>
        <w:t>урманского транспортного узла), областного - 714,8 млн. рублей (расширение и реконструкция канализации, строительство южных очистных сооружений). Ежегодный объем финансирования инвестиционных проектов составляет более 10 млрд. рублей и к 2015 году увеличивается до 14,3 млрд. рублей. На реализацию целевых программ в 2013-2015 годах предусмотрены бюджетные средства в размере 13,1 млрд. рублей, в том числе из федерального бюджета – 3,8 млрд. ру</w:t>
      </w:r>
      <w:r>
        <w:rPr>
          <w:rFonts w:ascii="Times New Roman" w:hAnsi="Times New Roman"/>
          <w:sz w:val="28"/>
          <w:szCs w:val="28"/>
        </w:rPr>
        <w:t>блей, из областного - 7,4 млрд. </w:t>
      </w:r>
      <w:r w:rsidRPr="00F30CFD">
        <w:rPr>
          <w:rFonts w:ascii="Times New Roman" w:hAnsi="Times New Roman"/>
          <w:sz w:val="28"/>
          <w:szCs w:val="28"/>
        </w:rPr>
        <w:t xml:space="preserve">рублей, из местного - 1,8 млрд. рублей. За счет средств федерального бюджета планируется строительство целого ряда объектов федеральной собственности в городе Мурманске (строительство аварийно-спасательного центра, реконструкция морского порта в рамках проекта возведения морского фасада города в районе морского вокзала, учреждений культуры к 100-летию города Мурманска). 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Основной объем инвестиций, большей частью из регионального бюджета, приходится на период 2013-2014 годов. В этот период планируется модернизировать систему учета коммунальных услуг за счет установки коллективных (общедомовых) приборов учета ресурсов (тепловой энергии, горячей и холодной воды, электрической энергии), завершить реконструкцию спортивных объектов (физкультурно-оздоровите</w:t>
      </w:r>
      <w:r>
        <w:rPr>
          <w:rFonts w:ascii="Times New Roman" w:hAnsi="Times New Roman"/>
          <w:sz w:val="28"/>
          <w:szCs w:val="28"/>
        </w:rPr>
        <w:t>льного комплекса на ул. Седова, </w:t>
      </w:r>
      <w:r w:rsidRPr="00F30CFD">
        <w:rPr>
          <w:rFonts w:ascii="Times New Roman" w:hAnsi="Times New Roman"/>
          <w:sz w:val="28"/>
          <w:szCs w:val="28"/>
        </w:rPr>
        <w:t>8, спорткомплексов «Снежин</w:t>
      </w:r>
      <w:r>
        <w:rPr>
          <w:rFonts w:ascii="Times New Roman" w:hAnsi="Times New Roman"/>
          <w:sz w:val="28"/>
          <w:szCs w:val="28"/>
        </w:rPr>
        <w:t>ка» и Долина Уюта, а также Дома </w:t>
      </w:r>
      <w:r w:rsidRPr="00F30CFD">
        <w:rPr>
          <w:rFonts w:ascii="Times New Roman" w:hAnsi="Times New Roman"/>
          <w:sz w:val="28"/>
          <w:szCs w:val="28"/>
        </w:rPr>
        <w:t xml:space="preserve">лыжника. В рамках долгосрочной целевой программы «Предупреждение и борьба с социально значимыми заболеваниями» на 2009 - 2014 годы запланировано финансирование в размере 428,9 млн. рублей на капремонт и модернизацию в 2013-2014 годах </w:t>
      </w:r>
      <w:r>
        <w:rPr>
          <w:rFonts w:ascii="Times New Roman" w:hAnsi="Times New Roman"/>
          <w:sz w:val="28"/>
          <w:szCs w:val="28"/>
        </w:rPr>
        <w:t>медицинского оборудования ГОАУЗ   </w:t>
      </w:r>
      <w:r w:rsidRPr="00F30CFD">
        <w:rPr>
          <w:rFonts w:ascii="Times New Roman" w:hAnsi="Times New Roman"/>
          <w:sz w:val="28"/>
          <w:szCs w:val="28"/>
        </w:rPr>
        <w:t>«Мурманский областной консультативно-диагностический центр»</w:t>
      </w:r>
      <w:r>
        <w:rPr>
          <w:rFonts w:ascii="Times New Roman" w:hAnsi="Times New Roman"/>
          <w:sz w:val="28"/>
          <w:szCs w:val="28"/>
        </w:rPr>
        <w:t>, ГОБУЗ   </w:t>
      </w:r>
      <w:r w:rsidRPr="00F30CFD">
        <w:rPr>
          <w:rFonts w:ascii="Times New Roman" w:hAnsi="Times New Roman"/>
          <w:sz w:val="28"/>
          <w:szCs w:val="28"/>
        </w:rPr>
        <w:t>«Мурманская областная клиническая больн</w:t>
      </w:r>
      <w:r>
        <w:rPr>
          <w:rFonts w:ascii="Times New Roman" w:hAnsi="Times New Roman"/>
          <w:sz w:val="28"/>
          <w:szCs w:val="28"/>
        </w:rPr>
        <w:t>ица имени П.А. Баяндина», ГОБУЗ   </w:t>
      </w:r>
      <w:r w:rsidRPr="00F30CFD">
        <w:rPr>
          <w:rFonts w:ascii="Times New Roman" w:hAnsi="Times New Roman"/>
          <w:sz w:val="28"/>
          <w:szCs w:val="28"/>
        </w:rPr>
        <w:t>«Мурманский областной противо</w:t>
      </w:r>
      <w:r>
        <w:rPr>
          <w:rFonts w:ascii="Times New Roman" w:hAnsi="Times New Roman"/>
          <w:sz w:val="28"/>
          <w:szCs w:val="28"/>
        </w:rPr>
        <w:t>туберкулезный диспансер», ГОБУЗ   </w:t>
      </w:r>
      <w:r w:rsidRPr="00F30CFD">
        <w:rPr>
          <w:rFonts w:ascii="Times New Roman" w:hAnsi="Times New Roman"/>
          <w:sz w:val="28"/>
          <w:szCs w:val="28"/>
        </w:rPr>
        <w:t>«Мурманский областной онкологический диспансер», ГОБУЗ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  </w:t>
      </w:r>
      <w:r w:rsidRPr="00F30CFD">
        <w:rPr>
          <w:rFonts w:ascii="Times New Roman" w:hAnsi="Times New Roman"/>
          <w:sz w:val="28"/>
          <w:szCs w:val="28"/>
        </w:rPr>
        <w:t>«Мурманский областной психоневрологический диспансер» и ГОБУЗ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  </w:t>
      </w:r>
      <w:r w:rsidRPr="00F30CFD">
        <w:rPr>
          <w:rFonts w:ascii="Times New Roman" w:hAnsi="Times New Roman"/>
          <w:sz w:val="28"/>
          <w:szCs w:val="28"/>
        </w:rPr>
        <w:t>«Мурманская областная психиатрическая больница»</w:t>
      </w:r>
      <w:r>
        <w:rPr>
          <w:rFonts w:ascii="Times New Roman" w:hAnsi="Times New Roman"/>
          <w:sz w:val="28"/>
          <w:szCs w:val="28"/>
        </w:rPr>
        <w:t>, ГОБУЗ   </w:t>
      </w:r>
      <w:r w:rsidRPr="00F30CFD">
        <w:rPr>
          <w:rFonts w:ascii="Times New Roman" w:hAnsi="Times New Roman"/>
          <w:sz w:val="28"/>
          <w:szCs w:val="28"/>
        </w:rPr>
        <w:t>«Мурманский областной наркологический диспансер»</w:t>
      </w:r>
      <w:r>
        <w:rPr>
          <w:rFonts w:ascii="Times New Roman" w:hAnsi="Times New Roman"/>
          <w:sz w:val="28"/>
          <w:szCs w:val="28"/>
        </w:rPr>
        <w:t>, МБУЗ   </w:t>
      </w:r>
      <w:r w:rsidRPr="00F30CFD">
        <w:rPr>
          <w:rFonts w:ascii="Times New Roman" w:hAnsi="Times New Roman"/>
          <w:sz w:val="28"/>
          <w:szCs w:val="28"/>
        </w:rPr>
        <w:t>«Мурманская городская клиническая больница скорой медицинской помощи». На модернизацию и реконструкцию об</w:t>
      </w:r>
      <w:r>
        <w:rPr>
          <w:rFonts w:ascii="Times New Roman" w:hAnsi="Times New Roman"/>
          <w:sz w:val="28"/>
          <w:szCs w:val="28"/>
        </w:rPr>
        <w:t>ъектов культуры в период с 2013 </w:t>
      </w:r>
      <w:r w:rsidRPr="00F30CFD">
        <w:rPr>
          <w:rFonts w:ascii="Times New Roman" w:hAnsi="Times New Roman"/>
          <w:sz w:val="28"/>
          <w:szCs w:val="28"/>
        </w:rPr>
        <w:t>по 2014 год заложено 834,1 млн. рублей, объектов социального обслуживания населения – 36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 xml:space="preserve">млн. рублей, автодорог – 220 млн. рублей. 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На фоне динамичного роста инвестиционн</w:t>
      </w:r>
      <w:r>
        <w:rPr>
          <w:rFonts w:ascii="Times New Roman" w:hAnsi="Times New Roman"/>
          <w:sz w:val="28"/>
          <w:szCs w:val="28"/>
        </w:rPr>
        <w:t xml:space="preserve">ых потоков в 2013-2014 годах, </w:t>
      </w:r>
      <w:r w:rsidRPr="008C6C22">
        <w:rPr>
          <w:rFonts w:ascii="Times New Roman" w:hAnsi="Times New Roman"/>
          <w:sz w:val="28"/>
          <w:szCs w:val="28"/>
        </w:rPr>
        <w:t>в </w:t>
      </w:r>
      <w:r>
        <w:rPr>
          <w:rFonts w:ascii="Times New Roman" w:hAnsi="Times New Roman"/>
          <w:sz w:val="28"/>
          <w:szCs w:val="28"/>
        </w:rPr>
        <w:t>  </w:t>
      </w:r>
      <w:r w:rsidRPr="008C6C22">
        <w:rPr>
          <w:rFonts w:ascii="Times New Roman" w:hAnsi="Times New Roman"/>
          <w:sz w:val="28"/>
          <w:szCs w:val="28"/>
        </w:rPr>
        <w:t>2015</w:t>
      </w:r>
      <w:r w:rsidRPr="00F30CFD">
        <w:rPr>
          <w:rFonts w:ascii="Times New Roman" w:hAnsi="Times New Roman"/>
          <w:sz w:val="28"/>
          <w:szCs w:val="28"/>
        </w:rPr>
        <w:t xml:space="preserve"> году ожидается снижение инвест</w:t>
      </w:r>
      <w:r>
        <w:rPr>
          <w:rFonts w:ascii="Times New Roman" w:hAnsi="Times New Roman"/>
          <w:sz w:val="28"/>
          <w:szCs w:val="28"/>
        </w:rPr>
        <w:t xml:space="preserve">иционной деятельности в связи </w:t>
      </w:r>
      <w:r>
        <w:rPr>
          <w:rFonts w:ascii="Times New Roman" w:hAnsi="Times New Roman"/>
          <w:sz w:val="28"/>
          <w:szCs w:val="28"/>
        </w:rPr>
        <w:lastRenderedPageBreak/>
        <w:t>с </w:t>
      </w:r>
      <w:r w:rsidRPr="00F30CFD">
        <w:rPr>
          <w:rFonts w:ascii="Times New Roman" w:hAnsi="Times New Roman"/>
          <w:sz w:val="28"/>
          <w:szCs w:val="28"/>
        </w:rPr>
        <w:t>приближающимся завершением подгот</w:t>
      </w:r>
      <w:r>
        <w:rPr>
          <w:rFonts w:ascii="Times New Roman" w:hAnsi="Times New Roman"/>
          <w:sz w:val="28"/>
          <w:szCs w:val="28"/>
        </w:rPr>
        <w:t>овки объектов к юбилею города в </w:t>
      </w:r>
      <w:r w:rsidRPr="00F30CFD">
        <w:rPr>
          <w:rFonts w:ascii="Times New Roman" w:hAnsi="Times New Roman"/>
          <w:sz w:val="28"/>
          <w:szCs w:val="28"/>
        </w:rPr>
        <w:t>2016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 xml:space="preserve">году и окончанием реализации большей части целевых программ. 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В случае начала реализации в конце 2012</w:t>
      </w:r>
      <w:r>
        <w:rPr>
          <w:rFonts w:ascii="Times New Roman" w:hAnsi="Times New Roman"/>
          <w:sz w:val="28"/>
          <w:szCs w:val="28"/>
        </w:rPr>
        <w:t xml:space="preserve"> - начале 2013 года проекта ЗАО </w:t>
      </w:r>
      <w:r w:rsidRPr="00F30CFD">
        <w:rPr>
          <w:rFonts w:ascii="Times New Roman" w:hAnsi="Times New Roman"/>
          <w:sz w:val="28"/>
          <w:szCs w:val="28"/>
        </w:rPr>
        <w:t xml:space="preserve">ХК «Сибирский деловой союз» (СДС), крупного российского добытчика угля, по строительству в Мурманске угольного порта мощностью перевалки 18 млн. тонн в год с общим объемом инвестиций более 200 млн. долларов, дальнейший рост объема инвестиций превысит прогнозируемые показатели. 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Ожидается, что в результате реализации мероприятий, направленных на повышение инвестиционной привлекательности экономики города Мурманска, собственные средства предприятий в составе источников финансирования инвестиций в перспективе приобретут тенденцию к сокращению в пользу привлеченных средств инвесторов.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 xml:space="preserve">Низкая техническая оснащенность строительных компаний, старение кадрового состава и дефицит квалифицированных проектировщиков, длительность процедуры согласования проектов, высокая стоимость импортируемых стройматериалов и подключения к инженерным сетям, а также отсутствие частных инвестиций в строительную отрасль остаются главными ограничивающими факторами развития строительной деятельности в городе Мурманске  и области в целом. Реализация крупных инвестиционных проектов по строительству новых объектов, капитальный и текущий ремонт, реконструкция и модернизация зданий, сооружений и инженерных сетей, в том числе в рамках выполнения плана мероприятий по подготовке к празднованию 100-летия основания города Мурманска, позволяют прогнозировать рост объема строительных работ в планируемом периоде. 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В рамках реализации Стратегического плана социально-экономического развития города Мурманска до 2020 года на реализацию инвестиционных проектов предприятий города Мурман</w:t>
      </w:r>
      <w:r>
        <w:rPr>
          <w:rFonts w:ascii="Times New Roman" w:hAnsi="Times New Roman"/>
          <w:sz w:val="28"/>
          <w:szCs w:val="28"/>
        </w:rPr>
        <w:t>ска по строительству объектов                    в </w:t>
      </w:r>
      <w:r w:rsidRPr="00F30CFD">
        <w:rPr>
          <w:rFonts w:ascii="Times New Roman" w:hAnsi="Times New Roman"/>
          <w:sz w:val="28"/>
          <w:szCs w:val="28"/>
        </w:rPr>
        <w:t>2013-2015</w:t>
      </w:r>
      <w:r>
        <w:rPr>
          <w:rFonts w:ascii="Times New Roman" w:hAnsi="Times New Roman"/>
          <w:sz w:val="28"/>
          <w:szCs w:val="28"/>
        </w:rPr>
        <w:t> </w:t>
      </w:r>
      <w:r w:rsidRPr="00F30CFD">
        <w:rPr>
          <w:rFonts w:ascii="Times New Roman" w:hAnsi="Times New Roman"/>
          <w:sz w:val="28"/>
          <w:szCs w:val="28"/>
        </w:rPr>
        <w:t>годах предусмотрено 10,4 млрд. рублей за счет всех источников финансирования, из них 5 млрд. рублей пред</w:t>
      </w:r>
      <w:r>
        <w:rPr>
          <w:rFonts w:ascii="Times New Roman" w:hAnsi="Times New Roman"/>
          <w:sz w:val="28"/>
          <w:szCs w:val="28"/>
        </w:rPr>
        <w:t>полагается инвестировать в 2013 </w:t>
      </w:r>
      <w:r w:rsidRPr="00F30CFD">
        <w:rPr>
          <w:rFonts w:ascii="Times New Roman" w:hAnsi="Times New Roman"/>
          <w:sz w:val="28"/>
          <w:szCs w:val="28"/>
        </w:rPr>
        <w:t>году, 4,6 млрд. рублей – в 2014 году. Дополнительно к этому в рамках городских, областных и федеральных целевых программ заложены средства на финансирование строительства, реконструкции и ремонта различных объектов на общую сумму (с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>учетом развития Мурманского транспортного узла - 130,5</w:t>
      </w:r>
      <w:r>
        <w:rPr>
          <w:rFonts w:ascii="Times New Roman" w:hAnsi="Times New Roman"/>
          <w:sz w:val="28"/>
          <w:szCs w:val="28"/>
        </w:rPr>
        <w:t> </w:t>
      </w:r>
      <w:r w:rsidRPr="00F30CFD">
        <w:rPr>
          <w:rFonts w:ascii="Times New Roman" w:hAnsi="Times New Roman"/>
          <w:sz w:val="28"/>
          <w:szCs w:val="28"/>
        </w:rPr>
        <w:t>млрд.</w:t>
      </w:r>
      <w:r>
        <w:rPr>
          <w:rFonts w:ascii="Times New Roman" w:hAnsi="Times New Roman"/>
          <w:sz w:val="28"/>
          <w:szCs w:val="28"/>
        </w:rPr>
        <w:t> </w:t>
      </w:r>
      <w:r w:rsidRPr="00F30CFD">
        <w:rPr>
          <w:rFonts w:ascii="Times New Roman" w:hAnsi="Times New Roman"/>
          <w:sz w:val="28"/>
          <w:szCs w:val="28"/>
        </w:rPr>
        <w:t>рублей, из которых 94,1% приходится на 2015 год) 149,8 млрд. рублей. Реализация областной и городской долгосрочных целевых программ по поддержке и стимулированию жилищного строительства, в рамках которых на 2013-2015 годы заложены средства в размере 776</w:t>
      </w:r>
      <w:r>
        <w:rPr>
          <w:rFonts w:ascii="Times New Roman" w:hAnsi="Times New Roman"/>
          <w:sz w:val="28"/>
          <w:szCs w:val="28"/>
        </w:rPr>
        <w:t>,5 млн. рублей (в том числе 583 </w:t>
      </w:r>
      <w:r w:rsidRPr="00F30CFD">
        <w:rPr>
          <w:rFonts w:ascii="Times New Roman" w:hAnsi="Times New Roman"/>
          <w:sz w:val="28"/>
          <w:szCs w:val="28"/>
        </w:rPr>
        <w:t>млн. рублей из областного бюджета), обеспечат в планируемом периоде рост работ строительного подряда и объем вводимого жилья. Прогноз объема выполненных работ по виду деятельности «Строительство» крупными и средними организациями города Мурманска отражает</w:t>
      </w:r>
      <w:r w:rsidRPr="00F30C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30CFD">
        <w:rPr>
          <w:rFonts w:ascii="Times New Roman" w:hAnsi="Times New Roman"/>
          <w:sz w:val="28"/>
          <w:szCs w:val="28"/>
        </w:rPr>
        <w:t xml:space="preserve">темпы роста объемов работ </w:t>
      </w:r>
      <w:r w:rsidRPr="00F30CFD">
        <w:rPr>
          <w:rFonts w:ascii="Times New Roman" w:hAnsi="Times New Roman"/>
          <w:sz w:val="28"/>
          <w:szCs w:val="28"/>
        </w:rPr>
        <w:lastRenderedPageBreak/>
        <w:t>строительного подряда в 2013-2015 годах (в 2013 году рост расходов на строительство в 1,8 раза, 2014 году в 1,2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>раза или 117%, в 2015 году в 7,5 раз).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 xml:space="preserve">В соответствии с действующими разрешениями на строительство в прогнозном периоде ожидается значительный рост объема вводимых площадей, в том числе за счет нового строительства. Самый большой объем ввода площадей ожидается в 2013 году (около 122,8 тыс. кв.м), в том числе 58,7 </w:t>
      </w:r>
      <w:r>
        <w:rPr>
          <w:rFonts w:ascii="Times New Roman" w:hAnsi="Times New Roman"/>
          <w:sz w:val="28"/>
          <w:szCs w:val="28"/>
        </w:rPr>
        <w:t>тыс. кв.м</w:t>
      </w:r>
      <w:r w:rsidRPr="00F30CFD">
        <w:rPr>
          <w:rFonts w:ascii="Times New Roman" w:hAnsi="Times New Roman"/>
          <w:sz w:val="28"/>
          <w:szCs w:val="28"/>
        </w:rPr>
        <w:t xml:space="preserve"> за счет объектов нового строительства. На 2013 год запланиро</w:t>
      </w:r>
      <w:r>
        <w:rPr>
          <w:rFonts w:ascii="Times New Roman" w:hAnsi="Times New Roman"/>
          <w:sz w:val="28"/>
          <w:szCs w:val="28"/>
        </w:rPr>
        <w:t>ван ввод 4 </w:t>
      </w:r>
      <w:r w:rsidRPr="00F30CFD">
        <w:rPr>
          <w:rFonts w:ascii="Times New Roman" w:hAnsi="Times New Roman"/>
          <w:sz w:val="28"/>
          <w:szCs w:val="28"/>
        </w:rPr>
        <w:t xml:space="preserve">многоквартирных домов общей площадью 34,7 тыс. </w:t>
      </w:r>
      <w:r>
        <w:rPr>
          <w:rFonts w:ascii="Times New Roman" w:hAnsi="Times New Roman"/>
          <w:sz w:val="28"/>
          <w:szCs w:val="28"/>
        </w:rPr>
        <w:t>кв.м (три 2-подъездных         3-х </w:t>
      </w:r>
      <w:r w:rsidRPr="00F30CFD">
        <w:rPr>
          <w:rFonts w:ascii="Times New Roman" w:hAnsi="Times New Roman"/>
          <w:sz w:val="28"/>
          <w:szCs w:val="28"/>
        </w:rPr>
        <w:t>этажных дома с 71 кварт</w:t>
      </w:r>
      <w:r>
        <w:rPr>
          <w:rFonts w:ascii="Times New Roman" w:hAnsi="Times New Roman"/>
          <w:sz w:val="28"/>
          <w:szCs w:val="28"/>
        </w:rPr>
        <w:t>ирой общей жилой площадью 3108 кв.м по ул. </w:t>
      </w:r>
      <w:r w:rsidRPr="00F30CFD">
        <w:rPr>
          <w:rFonts w:ascii="Times New Roman" w:hAnsi="Times New Roman"/>
          <w:sz w:val="28"/>
          <w:szCs w:val="28"/>
        </w:rPr>
        <w:t>Генералова № 198 и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0CFD">
        <w:rPr>
          <w:rFonts w:ascii="Times New Roman" w:hAnsi="Times New Roman"/>
          <w:sz w:val="28"/>
          <w:szCs w:val="28"/>
        </w:rPr>
        <w:t>21, 80-квартирный дом по ул. Папанина – 7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тыс. кв.м, ул. Туристов, 28 </w:t>
      </w:r>
      <w:r w:rsidRPr="00F30CFD">
        <w:rPr>
          <w:rFonts w:ascii="Times New Roman" w:hAnsi="Times New Roman"/>
          <w:sz w:val="28"/>
          <w:szCs w:val="28"/>
        </w:rPr>
        <w:t xml:space="preserve">– 24,7 </w:t>
      </w:r>
      <w:r>
        <w:rPr>
          <w:rFonts w:ascii="Times New Roman" w:hAnsi="Times New Roman"/>
          <w:sz w:val="28"/>
          <w:szCs w:val="28"/>
        </w:rPr>
        <w:t>тыс. кв.м</w:t>
      </w:r>
      <w:r w:rsidRPr="00F30CFD">
        <w:rPr>
          <w:rFonts w:ascii="Times New Roman" w:hAnsi="Times New Roman"/>
          <w:sz w:val="28"/>
          <w:szCs w:val="28"/>
        </w:rPr>
        <w:t>), индивидуального жилья (1,4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>тыс.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>кв.м).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Ожидаемый ввод торговых площадей в 2013 году оценочно составит 20,4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 xml:space="preserve">тыс. кв.м (в 4,6 раза больше чем в 2012 году), в том числе 10,3 тыс. </w:t>
      </w:r>
      <w:r>
        <w:rPr>
          <w:rFonts w:ascii="Times New Roman" w:hAnsi="Times New Roman"/>
          <w:sz w:val="28"/>
          <w:szCs w:val="28"/>
        </w:rPr>
        <w:t>кв.м</w:t>
      </w:r>
      <w:r w:rsidRPr="00F30CFD">
        <w:rPr>
          <w:rFonts w:ascii="Times New Roman" w:hAnsi="Times New Roman"/>
          <w:sz w:val="28"/>
          <w:szCs w:val="28"/>
        </w:rPr>
        <w:t xml:space="preserve"> за счет нового строительства, производственных площадей – 7,3 тыс. </w:t>
      </w:r>
      <w:r>
        <w:rPr>
          <w:rFonts w:ascii="Times New Roman" w:hAnsi="Times New Roman"/>
          <w:sz w:val="28"/>
          <w:szCs w:val="28"/>
        </w:rPr>
        <w:t>кв.м</w:t>
      </w:r>
      <w:r w:rsidRPr="00F30CFD">
        <w:rPr>
          <w:rFonts w:ascii="Times New Roman" w:hAnsi="Times New Roman"/>
          <w:sz w:val="28"/>
          <w:szCs w:val="28"/>
        </w:rPr>
        <w:t xml:space="preserve"> (в 1,2 раза ожидаемого уровня 2012 года), офисных – 20,5 тыс. </w:t>
      </w:r>
      <w:r>
        <w:rPr>
          <w:rFonts w:ascii="Times New Roman" w:hAnsi="Times New Roman"/>
          <w:sz w:val="28"/>
          <w:szCs w:val="28"/>
        </w:rPr>
        <w:t>кв.м</w:t>
      </w:r>
      <w:r w:rsidRPr="00F30CFD">
        <w:rPr>
          <w:rFonts w:ascii="Times New Roman" w:hAnsi="Times New Roman"/>
          <w:sz w:val="28"/>
          <w:szCs w:val="28"/>
        </w:rPr>
        <w:t xml:space="preserve"> (в 4,8 раза выше ожидаемого уровня 2012 года), в том числе 6,7 тыс. кв.м за счет нового строительства, прочих объектов – 31,6 тыс. кв.м. (95% к ожидаемому уровню 2012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>года), в том числе 5,6 тыс. кв.м за счет нового строительства. Из крупнейших строительных объектов в 2013 году ожидается ввод спортивных сооружений для тренировок и соревнований по биатлону спорткомплекса «Долина Уюта» (6,9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тыс. кв.м</w:t>
      </w:r>
      <w:r w:rsidRPr="00F30CFD">
        <w:rPr>
          <w:rFonts w:ascii="Times New Roman" w:hAnsi="Times New Roman"/>
          <w:sz w:val="28"/>
          <w:szCs w:val="28"/>
        </w:rPr>
        <w:t>), административное здание по ул. Сполохи в районе дома № 4 (3,4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>тыс. кв.м.), многофункциональный комплекс по пр. Кольскому, 172/а (3,4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>тыс.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 xml:space="preserve">кв.м.), склады продовольственных товаров на восточно-объездной дороге (18,1 </w:t>
      </w:r>
      <w:r>
        <w:rPr>
          <w:rFonts w:ascii="Times New Roman" w:hAnsi="Times New Roman"/>
          <w:sz w:val="28"/>
          <w:szCs w:val="28"/>
        </w:rPr>
        <w:t>тыс. кв.м</w:t>
      </w:r>
      <w:r w:rsidRPr="00F30CFD">
        <w:rPr>
          <w:rFonts w:ascii="Times New Roman" w:hAnsi="Times New Roman"/>
          <w:sz w:val="28"/>
          <w:szCs w:val="28"/>
        </w:rPr>
        <w:t>) и стройматериалов на ул. Транспортная,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0CFD">
        <w:rPr>
          <w:rFonts w:ascii="Times New Roman" w:hAnsi="Times New Roman"/>
          <w:sz w:val="28"/>
          <w:szCs w:val="28"/>
        </w:rPr>
        <w:t xml:space="preserve">1а (1,8 </w:t>
      </w:r>
      <w:r>
        <w:rPr>
          <w:rFonts w:ascii="Times New Roman" w:hAnsi="Times New Roman"/>
          <w:sz w:val="28"/>
          <w:szCs w:val="28"/>
        </w:rPr>
        <w:t>тыс. кв.м</w:t>
      </w:r>
      <w:r w:rsidRPr="00F30CFD">
        <w:rPr>
          <w:rFonts w:ascii="Times New Roman" w:hAnsi="Times New Roman"/>
          <w:sz w:val="28"/>
          <w:szCs w:val="28"/>
        </w:rPr>
        <w:t xml:space="preserve">), отделение дневного пребывания инвалидов на ул. Калинина, 23 (1,7 </w:t>
      </w:r>
      <w:r>
        <w:rPr>
          <w:rFonts w:ascii="Times New Roman" w:hAnsi="Times New Roman"/>
          <w:sz w:val="28"/>
          <w:szCs w:val="28"/>
        </w:rPr>
        <w:t>тыс. кв.м), автоцентр в районе д. </w:t>
      </w:r>
      <w:r w:rsidRPr="00F30CFD">
        <w:rPr>
          <w:rFonts w:ascii="Times New Roman" w:hAnsi="Times New Roman"/>
          <w:sz w:val="28"/>
          <w:szCs w:val="28"/>
        </w:rPr>
        <w:t xml:space="preserve">22 по ул. Траловой (1,4 </w:t>
      </w:r>
      <w:r>
        <w:rPr>
          <w:rFonts w:ascii="Times New Roman" w:hAnsi="Times New Roman"/>
          <w:sz w:val="28"/>
          <w:szCs w:val="28"/>
        </w:rPr>
        <w:t>тыс. кв.м</w:t>
      </w:r>
      <w:r w:rsidRPr="00F30CFD">
        <w:rPr>
          <w:rFonts w:ascii="Times New Roman" w:hAnsi="Times New Roman"/>
          <w:sz w:val="28"/>
          <w:szCs w:val="28"/>
        </w:rPr>
        <w:t>).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 xml:space="preserve">В 2014 году ожидается ввод 3 многоквартирных домов общей площадью 24,3 тыс. кв.м (по ул. Шевченко 1а – 4,4 </w:t>
      </w:r>
      <w:r>
        <w:rPr>
          <w:rFonts w:ascii="Times New Roman" w:hAnsi="Times New Roman"/>
          <w:sz w:val="28"/>
          <w:szCs w:val="28"/>
        </w:rPr>
        <w:t>тыс. кв.м</w:t>
      </w:r>
      <w:r w:rsidRPr="00F30CFD">
        <w:rPr>
          <w:rFonts w:ascii="Times New Roman" w:hAnsi="Times New Roman"/>
          <w:sz w:val="28"/>
          <w:szCs w:val="28"/>
        </w:rPr>
        <w:t>, ул. Пищевиков, 5,7 – 3,8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>тыс.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 xml:space="preserve">кв.м, ул. Успенского - 16 </w:t>
      </w:r>
      <w:r>
        <w:rPr>
          <w:rFonts w:ascii="Times New Roman" w:hAnsi="Times New Roman"/>
          <w:sz w:val="28"/>
          <w:szCs w:val="28"/>
        </w:rPr>
        <w:t>тыс. кв.м</w:t>
      </w:r>
      <w:r w:rsidRPr="00F30CFD">
        <w:rPr>
          <w:rFonts w:ascii="Times New Roman" w:hAnsi="Times New Roman"/>
          <w:sz w:val="28"/>
          <w:szCs w:val="28"/>
        </w:rPr>
        <w:t>), индивидуальной жилой застройки (4,7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тыс. кв.</w:t>
      </w:r>
      <w:r w:rsidRPr="00F30CFD">
        <w:rPr>
          <w:rFonts w:ascii="Times New Roman" w:hAnsi="Times New Roman"/>
          <w:sz w:val="28"/>
          <w:szCs w:val="28"/>
        </w:rPr>
        <w:t xml:space="preserve">м с учетом коттеджей в районе оз. Чайка - 3,3 </w:t>
      </w:r>
      <w:r>
        <w:rPr>
          <w:rFonts w:ascii="Times New Roman" w:hAnsi="Times New Roman"/>
          <w:sz w:val="28"/>
          <w:szCs w:val="28"/>
        </w:rPr>
        <w:t>тыс. кв.м</w:t>
      </w:r>
      <w:r w:rsidRPr="00F30CFD">
        <w:rPr>
          <w:rFonts w:ascii="Times New Roman" w:hAnsi="Times New Roman"/>
          <w:sz w:val="28"/>
          <w:szCs w:val="28"/>
        </w:rPr>
        <w:t>), второй очереди многофункционального торгово-развлекательного комплекса в 102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 xml:space="preserve">квартале (более 60 </w:t>
      </w:r>
      <w:r>
        <w:rPr>
          <w:rFonts w:ascii="Times New Roman" w:hAnsi="Times New Roman"/>
          <w:sz w:val="28"/>
          <w:szCs w:val="28"/>
        </w:rPr>
        <w:t>тыс. кв.м</w:t>
      </w:r>
      <w:r w:rsidRPr="00F30CFD">
        <w:rPr>
          <w:rFonts w:ascii="Times New Roman" w:hAnsi="Times New Roman"/>
          <w:sz w:val="28"/>
          <w:szCs w:val="28"/>
        </w:rPr>
        <w:t xml:space="preserve">), завершение реконструкции гостинично-делового центра «Арктика» (30,9 </w:t>
      </w:r>
      <w:r>
        <w:rPr>
          <w:rFonts w:ascii="Times New Roman" w:hAnsi="Times New Roman"/>
          <w:sz w:val="28"/>
          <w:szCs w:val="28"/>
        </w:rPr>
        <w:t>тыс. кв.м</w:t>
      </w:r>
      <w:r w:rsidRPr="00F30CFD">
        <w:rPr>
          <w:rFonts w:ascii="Times New Roman" w:hAnsi="Times New Roman"/>
          <w:sz w:val="28"/>
          <w:szCs w:val="28"/>
        </w:rPr>
        <w:t>).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Максимальный объем ввода жилья ожидается в 2015 году за счет строительства многоквартирных домов (ул. Шевченко в районе дома 1а – 5,1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тыс. кв.м</w:t>
      </w:r>
      <w:r w:rsidRPr="00F30CFD">
        <w:rPr>
          <w:rFonts w:ascii="Times New Roman" w:hAnsi="Times New Roman"/>
          <w:sz w:val="28"/>
          <w:szCs w:val="28"/>
        </w:rPr>
        <w:t xml:space="preserve">, в районе дома №17 по ул. Папанина – 49,7 </w:t>
      </w:r>
      <w:r>
        <w:rPr>
          <w:rFonts w:ascii="Times New Roman" w:hAnsi="Times New Roman"/>
          <w:sz w:val="28"/>
          <w:szCs w:val="28"/>
        </w:rPr>
        <w:t>тыс. кв.м</w:t>
      </w:r>
      <w:r w:rsidRPr="00F30CFD">
        <w:rPr>
          <w:rFonts w:ascii="Times New Roman" w:hAnsi="Times New Roman"/>
          <w:sz w:val="28"/>
          <w:szCs w:val="28"/>
        </w:rPr>
        <w:t xml:space="preserve">, в районе дома №11 по пр. Кольскому – 8,8 </w:t>
      </w:r>
      <w:r>
        <w:rPr>
          <w:rFonts w:ascii="Times New Roman" w:hAnsi="Times New Roman"/>
          <w:sz w:val="28"/>
          <w:szCs w:val="28"/>
        </w:rPr>
        <w:t>тыс. кв.м</w:t>
      </w:r>
      <w:r w:rsidRPr="00F30CFD">
        <w:rPr>
          <w:rFonts w:ascii="Times New Roman" w:hAnsi="Times New Roman"/>
          <w:sz w:val="28"/>
          <w:szCs w:val="28"/>
        </w:rPr>
        <w:t xml:space="preserve">) - 63,6 тыс. </w:t>
      </w:r>
      <w:r>
        <w:rPr>
          <w:rFonts w:ascii="Times New Roman" w:hAnsi="Times New Roman"/>
          <w:sz w:val="28"/>
          <w:szCs w:val="28"/>
        </w:rPr>
        <w:t>кв.м</w:t>
      </w:r>
      <w:r w:rsidRPr="00F30CFD">
        <w:rPr>
          <w:rFonts w:ascii="Times New Roman" w:hAnsi="Times New Roman"/>
          <w:sz w:val="28"/>
          <w:szCs w:val="28"/>
        </w:rPr>
        <w:t xml:space="preserve">, в 2 раза больше по сравнению с предыдущими годами. В случае ввода малоэтажной жилой застройки в районе дома №15 по ул. Скальной (16 тыс. кв.м) и индивидуальных жилых домов построенных населением (8 тыс. </w:t>
      </w:r>
      <w:r>
        <w:rPr>
          <w:rFonts w:ascii="Times New Roman" w:hAnsi="Times New Roman"/>
          <w:sz w:val="28"/>
          <w:szCs w:val="28"/>
        </w:rPr>
        <w:t>кв.м</w:t>
      </w:r>
      <w:r w:rsidRPr="00F30CFD">
        <w:rPr>
          <w:rFonts w:ascii="Times New Roman" w:hAnsi="Times New Roman"/>
          <w:sz w:val="28"/>
          <w:szCs w:val="28"/>
        </w:rPr>
        <w:t>) ожидаемый объем ввода жилых площадей может превысить плановый более чем на треть и составить около 90</w:t>
      </w:r>
      <w:r w:rsidRPr="00F30CFD">
        <w:rPr>
          <w:rFonts w:ascii="Times New Roman" w:hAnsi="Times New Roman"/>
          <w:sz w:val="28"/>
          <w:szCs w:val="28"/>
          <w:lang w:val="en-US"/>
        </w:rPr>
        <w:t> </w:t>
      </w:r>
      <w:r w:rsidRPr="00F30CFD">
        <w:rPr>
          <w:rFonts w:ascii="Times New Roman" w:hAnsi="Times New Roman"/>
          <w:sz w:val="28"/>
          <w:szCs w:val="28"/>
        </w:rPr>
        <w:t>тыс. кв.м.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lastRenderedPageBreak/>
        <w:t>Основной причиной невыполнения показателей ввода в эксплуатацию объектов капитального строительства является нестабильное финансирование строительства и, как следствие, несоответствие фактических темпов строительства срокам, предусмотренным проектам организаций.</w:t>
      </w:r>
    </w:p>
    <w:p w:rsidR="00E6695E" w:rsidRPr="00F30CFD" w:rsidRDefault="00E6695E" w:rsidP="00E6695E">
      <w:pPr>
        <w:pStyle w:val="1"/>
        <w:rPr>
          <w:b w:val="0"/>
          <w:bCs w:val="0"/>
          <w:kern w:val="32"/>
          <w:sz w:val="28"/>
          <w:szCs w:val="28"/>
        </w:rPr>
      </w:pPr>
      <w:r w:rsidRPr="00F30CFD">
        <w:rPr>
          <w:caps w:val="0"/>
          <w:kern w:val="32"/>
          <w:sz w:val="28"/>
          <w:szCs w:val="28"/>
        </w:rPr>
        <w:t xml:space="preserve">Финансы 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 xml:space="preserve">Наибольший удельный вес в сальдированном результате принадлежит отраслям экономики «рыболовство, рыбоводство» и «производство и распределение электроэнергии, газа и воды» – </w:t>
      </w:r>
      <w:r>
        <w:rPr>
          <w:rFonts w:ascii="Times New Roman" w:hAnsi="Times New Roman"/>
          <w:sz w:val="28"/>
          <w:szCs w:val="28"/>
        </w:rPr>
        <w:t>94,3% и 48,6% соответственно. В </w:t>
      </w:r>
      <w:r w:rsidRPr="00F30CFD">
        <w:rPr>
          <w:rFonts w:ascii="Times New Roman" w:hAnsi="Times New Roman"/>
          <w:sz w:val="28"/>
          <w:szCs w:val="28"/>
        </w:rPr>
        <w:t>первой половине 2012 года наблюдается рост этих показателей по сравнению с соответствующими значениями 2011 года.</w:t>
      </w:r>
    </w:p>
    <w:p w:rsidR="00E6695E" w:rsidRPr="00F30CFD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F30CFD">
        <w:rPr>
          <w:rFonts w:ascii="Times New Roman" w:hAnsi="Times New Roman"/>
          <w:sz w:val="28"/>
          <w:szCs w:val="28"/>
        </w:rPr>
        <w:t>В целом наблюдается положительная динамика темпов роста отраслей производства. В прогнозном периоде 2013-2015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Pr="00F30CFD">
        <w:rPr>
          <w:rFonts w:ascii="Times New Roman" w:hAnsi="Times New Roman"/>
          <w:sz w:val="28"/>
          <w:szCs w:val="28"/>
        </w:rPr>
        <w:t xml:space="preserve"> ожидается положительная динамика развития отраслей производства. Этому будет способствовать доступность банковского продукта, сдерживаемые правительством темпы роста инфляции, прогнозируемые в размере 4-5%, сохранение нынешней ситуации на рынке труда. Благодаря такому развитию экономики к концу прогнозируемого периода 2015 года сальдированный финансовый результат должен составить</w:t>
      </w:r>
      <w:r>
        <w:rPr>
          <w:rFonts w:ascii="Times New Roman" w:hAnsi="Times New Roman"/>
          <w:sz w:val="28"/>
          <w:szCs w:val="28"/>
        </w:rPr>
        <w:t xml:space="preserve"> 3857,7 млн. рублей</w:t>
      </w:r>
      <w:r w:rsidRPr="00F30CFD">
        <w:rPr>
          <w:rFonts w:ascii="Times New Roman" w:hAnsi="Times New Roman"/>
          <w:sz w:val="28"/>
          <w:szCs w:val="28"/>
        </w:rPr>
        <w:t>, что превысит соответствующий показатель 2012 года на 5%.</w:t>
      </w:r>
    </w:p>
    <w:p w:rsidR="00E6695E" w:rsidRPr="00F30CFD" w:rsidRDefault="00E6695E" w:rsidP="00E6695E">
      <w:pPr>
        <w:pStyle w:val="1"/>
        <w:rPr>
          <w:b w:val="0"/>
          <w:bCs w:val="0"/>
          <w:kern w:val="32"/>
          <w:sz w:val="28"/>
          <w:szCs w:val="28"/>
        </w:rPr>
      </w:pPr>
      <w:r w:rsidRPr="00F30CFD">
        <w:rPr>
          <w:caps w:val="0"/>
          <w:kern w:val="32"/>
          <w:sz w:val="28"/>
          <w:szCs w:val="28"/>
        </w:rPr>
        <w:t>Труд и занятость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>Численность населения трудоспособного возраста города Мурманска продолжает стремительно сокращаться, темпы убыли данной категории населения значительно выше темпов убыли общей численности населения. Так, если в целом численность мурманчан за 2011 год сократилась на 0,76% или 2331 человек к уровню предыдущего года, то численность населения в трудоспособном возрасте уменьшилась на 2,4% или на 4882 человек и с</w:t>
      </w:r>
      <w:r>
        <w:rPr>
          <w:bCs/>
          <w:szCs w:val="28"/>
        </w:rPr>
        <w:t>оставила 196,98 тыс. человек. К </w:t>
      </w:r>
      <w:r w:rsidRPr="00F30CFD">
        <w:rPr>
          <w:bCs/>
          <w:szCs w:val="28"/>
        </w:rPr>
        <w:t>концу прогнозного периода ожидается замедление темпов сокращения численности населения в трудоспособном возрасте до 1,84% в год главным образом за счет привлечения рабочей силы в рамках реализации крупных инвестиционных проектов по освоению шельфа Баренцева моря, развитию Мурманского транспортного узла и портовой особой экономической зоны.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 xml:space="preserve">Численность работников организаций (без субъектов малого предпринимательства) в 2011 году составила 104,3 тыс. человек, сократившись к уровню 2010 года на 2,1%. Исходя из тенденций сокращения численности населения в трудоспособном возрасте в прогнозном периоде численность работников организаций города Мурманска будет уменьшаться и к 2015 году составит 97,75 тыс. человек – 93,75% к уровню 2011 года, при этом темпы сокращения численности работников в прогнозном периоде будут отставать от темпов убыли населения в трудоспособном возрасте в среднем на 0,27 п.п. ежегодно, что обусловлено прогнозируемым сокращением числа безработных </w:t>
      </w:r>
      <w:r w:rsidRPr="00F30CFD">
        <w:rPr>
          <w:bCs/>
          <w:szCs w:val="28"/>
        </w:rPr>
        <w:lastRenderedPageBreak/>
        <w:t>граждан и увеличением численности пенсионеров, продолжающих трудовую деятельность.</w:t>
      </w:r>
    </w:p>
    <w:p w:rsidR="00E6695E" w:rsidRPr="00F30CFD" w:rsidRDefault="00E6695E" w:rsidP="00E6695E">
      <w:pPr>
        <w:ind w:firstLine="540"/>
        <w:jc w:val="both"/>
        <w:rPr>
          <w:bCs/>
          <w:szCs w:val="28"/>
        </w:rPr>
      </w:pPr>
      <w:r w:rsidRPr="00F30CFD">
        <w:rPr>
          <w:bCs/>
          <w:szCs w:val="28"/>
        </w:rPr>
        <w:t>Уровень безработицы снизился с 1,65% в 2010 году до 1,21% в 2011 году. Численность безработных, официально зарегистрированных в службе занятости, сократилась за 2011 год на 940 человек и составила 2,4 тыс. человек – 24% от числа безработных по области. Меры Центр</w:t>
      </w:r>
      <w:r>
        <w:rPr>
          <w:bCs/>
          <w:szCs w:val="28"/>
        </w:rPr>
        <w:t>а</w:t>
      </w:r>
      <w:r w:rsidRPr="00F30CFD">
        <w:rPr>
          <w:bCs/>
          <w:szCs w:val="28"/>
        </w:rPr>
        <w:t xml:space="preserve"> занятости</w:t>
      </w:r>
      <w:r>
        <w:rPr>
          <w:bCs/>
          <w:szCs w:val="28"/>
        </w:rPr>
        <w:t xml:space="preserve"> населения</w:t>
      </w:r>
      <w:r w:rsidRPr="00F30CFD">
        <w:rPr>
          <w:bCs/>
          <w:szCs w:val="28"/>
        </w:rPr>
        <w:t>, направленные на сбалансирование рынка труда, позволяют прогнозировать дальнейшее улучшение показателей занятости населения. Планируется, что за прогнозный период численность официально зарегистрированных безработных сократится на 14,3% и составит в 2015 году 1972 человека, уровень безработицы сократится  до 1,08%.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 xml:space="preserve">Размер среднемесячной начисленной заработной платы работников организаций города в 2011 году в номинальном выражении увеличился на 10,1% к уровню предыдущего года и составил 36984,8 рублей, при этом темп роста показателя в реальном выражении составил 2,04%. В прогнозном периоде темпы роста реального размера заработной платы с учетом прогнозных значений индекса потребительских цен по Мурманской области составят соответственно 104,4%, 104,9%, 105,2%. В номинальном выражении рост </w:t>
      </w:r>
      <w:r>
        <w:rPr>
          <w:bCs/>
          <w:szCs w:val="28"/>
        </w:rPr>
        <w:t>размера заработной платы в 2015 </w:t>
      </w:r>
      <w:r w:rsidRPr="00F30CFD">
        <w:rPr>
          <w:bCs/>
          <w:szCs w:val="28"/>
        </w:rPr>
        <w:t>году к уровню 2011 года составит 155%.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>Фонд оплаты труда работников организаций в 2011 году составил 46290,6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млн. рублей, увеличившись к уровню предыдущего года на 7,84%. Планируемый номинальный рост размера фонда оплаты труда в 2015 году к уровню 2011 года составит  145,16%, при этом более низкие темпы роста размера фонда оплаты труда по сравнению с темпами роста размера заработной платы обусловлены прогнозируемым снижением численности работников.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>В целом, повышение эффективности функционирования рынка труда будет возможно при решении таких проблем, как структурная диспропорция спроса и предложения рабочей силы. В настоящее время спросом пользуются высококвалифицированные инженерно-технические, а также рабочие специальности, в прогнозном периоде требования к качеству рабочей силы будут повышаться, в том числе в отношении владения навыками работы с инновационными материалами, современным оборудованием и т.д. В данном направлении решающее значение имеет развитие системы профориентационной работы в школах города, а также регулирование трудовой миграции. В целях повышения эффективности мероприятий, направленных на развитие рынка труда, необходимо тесное взаимодействие службы занятости, органов местного самоуправления, учебных заведений и иных субъектов развития рынка труда. В рамках целевых программ города Мурманска в прогнозном периоде продолжится работа по организации общественных работ, временному трудоустройству несовершеннолетних на время летних каникул.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 xml:space="preserve">В условиях изменения структуры потребности рынка труда в рабочей силе необходимы также мероприятия по определению объемов высвобождения рабочей </w:t>
      </w:r>
      <w:r w:rsidRPr="00F30CFD">
        <w:rPr>
          <w:bCs/>
          <w:szCs w:val="28"/>
        </w:rPr>
        <w:lastRenderedPageBreak/>
        <w:t>силы, опережающему переобучению работников, находящихся под риском увольнения, повышению территориальной мобильности трудовых ресурсов.</w:t>
      </w:r>
    </w:p>
    <w:p w:rsidR="00E6695E" w:rsidRPr="00F30CFD" w:rsidRDefault="00E6695E" w:rsidP="00E6695E">
      <w:pPr>
        <w:ind w:firstLine="709"/>
        <w:jc w:val="both"/>
        <w:rPr>
          <w:szCs w:val="28"/>
        </w:rPr>
      </w:pPr>
      <w:r w:rsidRPr="00F30CFD">
        <w:rPr>
          <w:bCs/>
          <w:szCs w:val="28"/>
        </w:rPr>
        <w:t xml:space="preserve">Следует отметить, что </w:t>
      </w:r>
      <w:r w:rsidRPr="00F30CFD">
        <w:rPr>
          <w:szCs w:val="28"/>
        </w:rPr>
        <w:t>отклонение прогнозных значений показателей рынка труда, определенных в Стратегии социально-экономического развития города Мурманска до 2020 года, обусловлено значительным сокращением по итогам первого полугодия 2012 года числа безработных граждан, зарегистрированных в службах занятости.</w:t>
      </w:r>
    </w:p>
    <w:p w:rsidR="00E6695E" w:rsidRPr="00F30CFD" w:rsidRDefault="00E6695E" w:rsidP="00E6695E">
      <w:pPr>
        <w:pStyle w:val="1"/>
        <w:rPr>
          <w:b w:val="0"/>
          <w:bCs w:val="0"/>
          <w:kern w:val="32"/>
          <w:sz w:val="28"/>
          <w:szCs w:val="28"/>
        </w:rPr>
      </w:pPr>
      <w:r w:rsidRPr="00F30CFD">
        <w:rPr>
          <w:caps w:val="0"/>
          <w:kern w:val="32"/>
          <w:sz w:val="28"/>
          <w:szCs w:val="28"/>
        </w:rPr>
        <w:t>Развитие социальной сферы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>В городе Мурманске в 2011 году функционировало 99 дошкольных образовательных учреждений (далее – ДОУ), в том числе 3 – федеральной формы собственности: 2 ДОУ ОАО «Росс</w:t>
      </w:r>
      <w:r>
        <w:rPr>
          <w:bCs/>
          <w:szCs w:val="28"/>
        </w:rPr>
        <w:t>ийские железные дороги» и 1 ДОУ </w:t>
      </w:r>
      <w:r w:rsidRPr="00F30CFD">
        <w:rPr>
          <w:bCs/>
          <w:szCs w:val="28"/>
        </w:rPr>
        <w:t>Министерства обороны Российской Федерации.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>Численность детей города Мурманска в возрасте 1-6 лет к концу 2011 года составила 17946 человек, увеличившись к уровню 2010 года на 46 человек (низкий темп роста численности детей данной категории обусловлен выходом из данной возрастной категории рожденных в 2004 году, достигших 7-летнего возраста). Количество мест в ДОУ в 2011 году увеличилось на 286 и составило 14383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единицы, обеспеченность детей дошколь</w:t>
      </w:r>
      <w:r>
        <w:rPr>
          <w:bCs/>
          <w:szCs w:val="28"/>
        </w:rPr>
        <w:t>ного возраста местами в ДОУ – с </w:t>
      </w:r>
      <w:r w:rsidRPr="00F30CFD">
        <w:rPr>
          <w:bCs/>
          <w:szCs w:val="28"/>
        </w:rPr>
        <w:t>78,75 до 80,15 мест на 100 человек в возрасте 1-6 лет</w:t>
      </w:r>
      <w:r w:rsidRPr="002A3DFD">
        <w:rPr>
          <w:rStyle w:val="af"/>
          <w:bCs/>
          <w:sz w:val="20"/>
        </w:rPr>
        <w:footnoteReference w:id="13"/>
      </w:r>
      <w:r>
        <w:rPr>
          <w:bCs/>
          <w:szCs w:val="28"/>
        </w:rPr>
        <w:t>. Численность детей в </w:t>
      </w:r>
      <w:r w:rsidRPr="00F30CFD">
        <w:rPr>
          <w:bCs/>
          <w:szCs w:val="28"/>
        </w:rPr>
        <w:t xml:space="preserve">ДОУ в 2011 году составила 14921 человек, </w:t>
      </w:r>
      <w:r>
        <w:rPr>
          <w:bCs/>
          <w:szCs w:val="28"/>
        </w:rPr>
        <w:t>что на 259 человек больше, чем  </w:t>
      </w:r>
      <w:r w:rsidRPr="00F30CFD">
        <w:rPr>
          <w:bCs/>
          <w:szCs w:val="28"/>
        </w:rPr>
        <w:t>предыдущем году. Рост значения показателя обусловлен не только увеличением общей численности детей дошкольного возраста, но и вводом в эксплуатацию мест в ДОУ.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szCs w:val="28"/>
        </w:rPr>
        <w:t xml:space="preserve">Численность детей в возрасте 1-6 лет, состоящих на учете для определения в муниципальные дошкольные учреждения, в 2011 году составила 155 человек,  что на 43 человека меньше уровня предыдущего года. </w:t>
      </w:r>
      <w:r>
        <w:rPr>
          <w:bCs/>
          <w:szCs w:val="28"/>
        </w:rPr>
        <w:t>В 2012 году созданы МБДОУ </w:t>
      </w:r>
      <w:r w:rsidRPr="00F30CFD">
        <w:rPr>
          <w:bCs/>
          <w:szCs w:val="28"/>
        </w:rPr>
        <w:t>№№ 121, 65, число мест в ДОУ увеличилось до 14738 единиц, ожидается, что, несмотря на оценочное увеличение численности населения в возрасте 1-6 лет к концу года на 237 человек, обеспеченность местами возрастет до 80,83 мест на 100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детей в возрасте 1-6 лет.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 xml:space="preserve">В результате реализации мероприятий по вводу в эксплуатацию новых ДОУ к концу прогнозного периода число мест в них увеличится на 735 единиц и составит 15118 единиц. Однако, в 2013 и 2014 годах ожидается сокращение обеспеченности детей местами в ДОУ ввиду опережающего роста численности детей дошкольного возраста над числом вводимых в эксплуатацию мест ДОУ. </w:t>
      </w:r>
      <w:r w:rsidRPr="00F30CFD">
        <w:rPr>
          <w:bCs/>
          <w:szCs w:val="28"/>
        </w:rPr>
        <w:lastRenderedPageBreak/>
        <w:t>Несмотря на это по сравнению с 2011 годом обеспеченность местами в ДОУ увеличится к концу прогнозного периода до 80,21 мест на 100 детей в возрасте от 1-6 лет.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 xml:space="preserve">В 2011 году заработная плата работникам дошкольных образовательных учреждений была увеличена на 19% </w:t>
      </w:r>
      <w:r w:rsidRPr="00F30CFD">
        <w:rPr>
          <w:szCs w:val="28"/>
        </w:rPr>
        <w:t>до 16,7 тыс. рублей</w:t>
      </w:r>
      <w:r w:rsidRPr="00F30CFD">
        <w:rPr>
          <w:bCs/>
          <w:szCs w:val="28"/>
        </w:rPr>
        <w:t>, в текущем году запланирован рост заработной платы данной категории работников на 13% к уровню предыдущего года. В 2013 году продолжится увеличение заработной платы работникам ДОУ с целью доведения ее уровня до среднего значения в области образования.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>Совершенствование системы образования является приоритетной задачей в развитии человеческого потенциала. В прогнозном периоде возможно качественное ее изменение в результате принятия закона «Об образовании в Российской Федерации». Планируемое в 2013 году принятие закона, в частности, выделяет дошкольное образование как отдельный его уровень, что влечет установление федерального стандарта к системе дошкольного образования, позволит нормативно регламентировать функционирование системы дошкольного образования, закрепит права и обязанности всех ее участников, обеспечит равный доступ детей к услугам ДОУ.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>Численность обучающихся в общеобразовательных учреждениях города в 2011 году составила 27571 человек, что на 108 человек меньше, чем в предыдущем году, однако темпы сокращения замедляются. К 2015 году прогнозная численность учащихся общеобразовательных учреждений города составит 27201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человек, сократившись к уровню 2011 года на 370 человек.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>Численность обучающихся в учреждениях, реализующих программы начального профессионального образования в 2011 году составила 2112 человек, среднего – 6699 человек. В прогнозном периоде ожидается сокращение их численности, что обусловлено не только демографической проблемой, но и увеличением востребованности высшего профессионального образования. Число учащихся в начальных и средних профессиональных образовательных учреждениях сократится соответственно до 1701 и 5598 человек к 2015 году.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>Численность учащихся высших учебных заведений города в 2011 году сократилась на 3344 человека и составила 22786 человек, при этом их доля в численности населения трудоспособного возраста сократилась с 12,9% до 11,6%. Динамика обусловлена существенным спадом рождаемости в начале 90-х годов. Несмотря на прогнозируемое сокращение численности населения в возрасте до 17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лет, а также отток молодежи для получения высшего образования в другие города, потребность населения в повышении квалификации и профессиональной переподготовке будет несколько сдерживать сокращение численности учащихся ВУЗов (в 2011 году численность учащихся ВУЗов на заочной форме обучения в 1,8 раза превышает численность учащихся очной формы обучения). Таким образом, численность учащихся ВУЗов к 2015 году предположительно сократится до 21925</w:t>
      </w:r>
      <w:r>
        <w:rPr>
          <w:bCs/>
          <w:szCs w:val="28"/>
        </w:rPr>
        <w:t xml:space="preserve"> человек</w:t>
      </w:r>
      <w:r w:rsidRPr="00F30CFD">
        <w:rPr>
          <w:bCs/>
          <w:szCs w:val="28"/>
        </w:rPr>
        <w:t>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lastRenderedPageBreak/>
        <w:t xml:space="preserve">Основной проблемой системы высшего образования города Мурманска, как и Мурманской области, является ее несоответствие структуре потребностей рынка труда. В настоящее время наиболее популярными у абитуриентов специальностями являются «Юриспруденция», «Финансы и кредит», «Государственное и муниципальное управление» в то время, как рынок труда испытывает нехватку высококвалифицированных кадров с инженерно-техническим образованием. 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 xml:space="preserve">Возможности развития системы высшего образования города Мурманска связаны с налаживанием международной кооперации ВУЗов, разработкой совместных образовательных программ и научных проектов. Так, продолжается сотрудничество в рамках Университета Арктики, членами которого являются 60 образовательных учреждений, в том числе Японии, Канады, Финляндии, Норвегии, России и т.д. Представителями города Мурманска являются МГТУ, МГГУ, МГУ, ММРК им. И.И. Месяцева. Основной целью Университета Арктики являются обмен знаниями и научными результатами в целях решения проблем Севера. 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>В прогнозном периоде в рамках международного сотрудничества в сфере образования планируется реализация таких проектов, как: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>1. «Создание Центра ЕС в Баренц-регионе», цель которого – усовершенствование знаний студентов и исследователей по вопросам сотрудничества Евросоюза и Российской Федерацией, информирование студентов по вопросам стажировки в</w:t>
      </w:r>
      <w:r>
        <w:rPr>
          <w:bCs/>
          <w:szCs w:val="28"/>
        </w:rPr>
        <w:t xml:space="preserve"> европейских учебных заведениях.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>2. «Развитие Баренцева трансграничного университета «ВСВ</w:t>
      </w:r>
      <w:r w:rsidRPr="00F30CFD">
        <w:rPr>
          <w:bCs/>
          <w:szCs w:val="28"/>
          <w:lang w:val="en-US"/>
        </w:rPr>
        <w:t>U</w:t>
      </w:r>
      <w:r w:rsidRPr="00F30CFD">
        <w:rPr>
          <w:bCs/>
          <w:szCs w:val="28"/>
        </w:rPr>
        <w:t>», охватывающий рассмотрение проблем эко</w:t>
      </w:r>
      <w:r>
        <w:rPr>
          <w:bCs/>
          <w:szCs w:val="28"/>
        </w:rPr>
        <w:t>логического инжиниринга региона.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>3. Проект «</w:t>
      </w:r>
      <w:r w:rsidRPr="00F30CFD">
        <w:rPr>
          <w:bCs/>
          <w:szCs w:val="28"/>
          <w:lang w:val="en-US"/>
        </w:rPr>
        <w:t>CETIA</w:t>
      </w:r>
      <w:r w:rsidRPr="00F30CFD">
        <w:rPr>
          <w:bCs/>
          <w:szCs w:val="28"/>
        </w:rPr>
        <w:t>: прибрежная среда, технология и инновация в Арктике»,  направленный на развитие арктического экологического менеджмента.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>В сфере здравоохранения города Мурманска основной проблемой является недостаточность кадровых ресурсов. Так, несмотря на предпринимаемые на муниципальном уровне меры  по трудоустройству приглашенных и молодых специалистов, процесс «старения» и убытия медицинских кадров в настоящее время не компенсируется притоком специалистов. Так, в 2011 году трудоустроено 46 молодых и приглашенных специалистов, однако общая численность врачей сократилась на 73 специалиста до 2292 человек, среднего медицинского персонала – на 55 специалистов до 4573 человек. В прогнозном периоде продолжатся мероприятия по улучшению кадровой ситуации в учреждениях здравоохранения в рамках ВЦП «Создание условий для улучшения кадровой ситуации в системе муниципального здравоохранения города Мурманска»: в текущем году запланировано трудоустроить 46 приглашенных и молодых специалистов.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 xml:space="preserve">Однако при успешной их реализации удастся лишь сохранить численность медицинских работников. Обеспеченность же населения врачами и средним медицинским персоналом в расчете на 10 тыс. человек населения будет увеличиваться, главным образом, за счет сокращения численности мурманчан. </w:t>
      </w:r>
      <w:r w:rsidRPr="00F30CFD">
        <w:rPr>
          <w:bCs/>
          <w:szCs w:val="28"/>
        </w:rPr>
        <w:lastRenderedPageBreak/>
        <w:t>Так, ожидается, что к концу прогнозного периода по сравнению с 2011 годом показатели обеспеченности медицинскими работниками увеличатся: врачами – с 75,14 до 76,36, средним медицинским персоналом – со 149,92 до 152,36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специалистов на 10 тыс. человек населения.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>Обеспеченность населения города больничными койками в 2011 году составила 123,63 единицы на 10 тыс. человек населения, в абсолютном выражении число коек сократилось на 128 единиц по сравн</w:t>
      </w:r>
      <w:r>
        <w:rPr>
          <w:bCs/>
          <w:szCs w:val="28"/>
        </w:rPr>
        <w:t>ению с предыдущим годом. В 2013 </w:t>
      </w:r>
      <w:r w:rsidRPr="00F30CFD">
        <w:rPr>
          <w:bCs/>
          <w:szCs w:val="28"/>
        </w:rPr>
        <w:t>году ожидается увеличение числа коек к</w:t>
      </w:r>
      <w:r>
        <w:rPr>
          <w:bCs/>
          <w:szCs w:val="28"/>
        </w:rPr>
        <w:t>руглосуточного пребывания на 49 </w:t>
      </w:r>
      <w:r w:rsidRPr="00F30CFD">
        <w:rPr>
          <w:bCs/>
          <w:szCs w:val="28"/>
        </w:rPr>
        <w:t xml:space="preserve">единиц в </w:t>
      </w:r>
      <w:r w:rsidRPr="00FE6A4B">
        <w:t xml:space="preserve">МБУЗ </w:t>
      </w:r>
      <w:r>
        <w:t>«</w:t>
      </w:r>
      <w:r w:rsidRPr="00FE6A4B">
        <w:t>Об</w:t>
      </w:r>
      <w:r>
        <w:t xml:space="preserve">ъединенная медсанчасть «Севрыба» </w:t>
      </w:r>
      <w:r w:rsidRPr="00F30CFD">
        <w:rPr>
          <w:bCs/>
          <w:szCs w:val="28"/>
        </w:rPr>
        <w:t>в результате передачи части объемов стационарной медицинской помощи от Центральной городс</w:t>
      </w:r>
      <w:r>
        <w:rPr>
          <w:bCs/>
          <w:szCs w:val="28"/>
        </w:rPr>
        <w:t>кой больницы города Североморска. В </w:t>
      </w:r>
      <w:r w:rsidRPr="00F30CFD">
        <w:rPr>
          <w:bCs/>
          <w:szCs w:val="28"/>
        </w:rPr>
        <w:t>2014-2015 годах планируется, что число больничных коек  в абсолютном выражени</w:t>
      </w:r>
      <w:r>
        <w:rPr>
          <w:bCs/>
          <w:szCs w:val="28"/>
        </w:rPr>
        <w:t>и сохранится на одном уровне. В </w:t>
      </w:r>
      <w:r w:rsidRPr="00F30CFD">
        <w:rPr>
          <w:bCs/>
          <w:szCs w:val="28"/>
        </w:rPr>
        <w:t xml:space="preserve">то же время за счет сокращения численности населения обеспеченность больничными койками будет увеличиваться и к концу прогнозного периода </w:t>
      </w:r>
      <w:r>
        <w:rPr>
          <w:bCs/>
          <w:szCs w:val="28"/>
        </w:rPr>
        <w:t>составит 125,21 коек на 10 тыс. </w:t>
      </w:r>
      <w:r w:rsidRPr="00F30CFD">
        <w:rPr>
          <w:bCs/>
          <w:szCs w:val="28"/>
        </w:rPr>
        <w:t>населения. Тенденция обусловлена развитием стационарзамещающих технологий, мероприятиями, направленными на повышение доступности амбулаторно-поликлинической помощи. Так, в 2011 году число посещений в смену медицинских учреждений данного типа составило 292,98 единицы в расчете на 10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тыс. человек населения (на 1,15 посещения в смену на 10 тыс. человек населения меньше, чем в 2010 году). В прогнозном периоде ожидается увеличение обеспеченности населения амбулаторно-п</w:t>
      </w:r>
      <w:r>
        <w:rPr>
          <w:bCs/>
          <w:szCs w:val="28"/>
        </w:rPr>
        <w:t>оликлиническими учреждениями до </w:t>
      </w:r>
      <w:r w:rsidRPr="00F30CFD">
        <w:rPr>
          <w:bCs/>
          <w:szCs w:val="28"/>
        </w:rPr>
        <w:t>297,76 посещений в смену на 10 тыс. человек.</w:t>
      </w:r>
    </w:p>
    <w:p w:rsidR="00E6695E" w:rsidRPr="00F30CFD" w:rsidRDefault="00E6695E" w:rsidP="00E6695E">
      <w:pPr>
        <w:ind w:firstLine="709"/>
        <w:jc w:val="both"/>
        <w:rPr>
          <w:bCs/>
          <w:szCs w:val="28"/>
        </w:rPr>
      </w:pPr>
      <w:r w:rsidRPr="00F30CFD">
        <w:rPr>
          <w:bCs/>
          <w:szCs w:val="28"/>
        </w:rPr>
        <w:t>Обеспеченность библиотеками в расчете на 100 тыс. населения составила 12,13 библиотеки. В 2012 году в рамках муниципальной целевой программы «Развитие муниципальных библиотек города как информационных интеллект-центров» на 2008-2012 годы закрыт детский филиал библиотеки № 18 по ул.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Орликовой, 19. В 2013 году после проведения капитального ремонта филиала № 6 по ул. Фролова, 4/6 возможно объединение детской библиотеки-филиала №13 и взрослого филиала № 6 и создание современного информационного центра. Таким образом, в 2012-2013 годах обеспеченность населения библиотеками будет сокращаться и к концу данного периода составит 11,59 учреждений на 100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тыс.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человек.  В 2014 и 2015 годах планируется сохранение числа библиотек, однако, ввиду сокращения численности населения города Мурманска обеспеченность библиотеками предположительно увеличится до 11,66 единиц на 100 тыс. человек населения. Обеспеченность населения культурно-досуговыми учреждениями в 2011 году составила 3,28 учреждения на 100 тыс. человек. В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прогнозном периоде изменения сети муниципальных культурно-досуговых учреждений не ожидается.</w:t>
      </w:r>
    </w:p>
    <w:p w:rsidR="00E6695E" w:rsidRPr="00F30CFD" w:rsidRDefault="00E6695E" w:rsidP="00E6695E">
      <w:pPr>
        <w:pStyle w:val="af0"/>
        <w:spacing w:after="0"/>
        <w:rPr>
          <w:bCs/>
          <w:szCs w:val="28"/>
        </w:rPr>
      </w:pPr>
      <w:r w:rsidRPr="00F30CFD">
        <w:rPr>
          <w:bCs/>
          <w:szCs w:val="28"/>
        </w:rPr>
        <w:t xml:space="preserve">Общая площадь жилья в городе Мурманске на конец 2011 года составила 7010,6 тыс. </w:t>
      </w:r>
      <w:r>
        <w:rPr>
          <w:bCs/>
          <w:szCs w:val="28"/>
        </w:rPr>
        <w:t>кв.м</w:t>
      </w:r>
      <w:r w:rsidRPr="00F30CFD">
        <w:rPr>
          <w:bCs/>
          <w:szCs w:val="28"/>
        </w:rPr>
        <w:t xml:space="preserve"> (на основании данных формы 1-жилфонд). Введено в эксплуатацию 12,4 тыс. </w:t>
      </w:r>
      <w:r>
        <w:rPr>
          <w:bCs/>
          <w:szCs w:val="28"/>
        </w:rPr>
        <w:t>кв.м</w:t>
      </w:r>
      <w:r w:rsidRPr="00F30CFD">
        <w:rPr>
          <w:bCs/>
          <w:szCs w:val="28"/>
        </w:rPr>
        <w:t xml:space="preserve"> (на основании данных форм С-1, 1-ИЖС). </w:t>
      </w:r>
      <w:r w:rsidRPr="00F30CFD">
        <w:rPr>
          <w:bCs/>
          <w:szCs w:val="28"/>
        </w:rPr>
        <w:lastRenderedPageBreak/>
        <w:t>В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соответствии с разрешениями, выданными на строительство</w:t>
      </w:r>
      <w:r>
        <w:rPr>
          <w:bCs/>
          <w:szCs w:val="28"/>
        </w:rPr>
        <w:t>,</w:t>
      </w:r>
      <w:r w:rsidRPr="00F30CFD">
        <w:rPr>
          <w:bCs/>
          <w:szCs w:val="28"/>
        </w:rPr>
        <w:t xml:space="preserve"> предполагается, что в 2012 году будет введено 20,96 тыс. </w:t>
      </w:r>
      <w:r>
        <w:rPr>
          <w:bCs/>
          <w:szCs w:val="28"/>
        </w:rPr>
        <w:t>кв.м</w:t>
      </w:r>
      <w:r w:rsidRPr="00F30CFD">
        <w:rPr>
          <w:bCs/>
          <w:szCs w:val="28"/>
        </w:rPr>
        <w:t xml:space="preserve"> площади жилья, из них 4,75 – индивидуальные жилые дома и 16,21 – многоквартирные. В текущем году ожидается завершение работ по реконструкции по</w:t>
      </w:r>
      <w:r>
        <w:rPr>
          <w:bCs/>
          <w:szCs w:val="28"/>
        </w:rPr>
        <w:t>д жилые дома поликлиники на ул. </w:t>
      </w:r>
      <w:r w:rsidRPr="00F30CFD">
        <w:rPr>
          <w:bCs/>
          <w:szCs w:val="28"/>
        </w:rPr>
        <w:t xml:space="preserve">Аскольдовцев (11,43 тыс. </w:t>
      </w:r>
      <w:r>
        <w:rPr>
          <w:bCs/>
          <w:szCs w:val="28"/>
        </w:rPr>
        <w:t>кв.м</w:t>
      </w:r>
      <w:r w:rsidRPr="00F30CFD">
        <w:rPr>
          <w:bCs/>
          <w:szCs w:val="28"/>
        </w:rPr>
        <w:t xml:space="preserve"> жилой пло</w:t>
      </w:r>
      <w:r>
        <w:rPr>
          <w:bCs/>
          <w:szCs w:val="28"/>
        </w:rPr>
        <w:t>щади) и здания общежития по ул. </w:t>
      </w:r>
      <w:r w:rsidRPr="00F30CFD">
        <w:rPr>
          <w:bCs/>
          <w:szCs w:val="28"/>
        </w:rPr>
        <w:t xml:space="preserve">Новосельской (4,78 тыс. </w:t>
      </w:r>
      <w:r>
        <w:rPr>
          <w:bCs/>
          <w:szCs w:val="28"/>
        </w:rPr>
        <w:t>кв.м</w:t>
      </w:r>
      <w:r w:rsidRPr="00F30CFD">
        <w:rPr>
          <w:bCs/>
          <w:szCs w:val="28"/>
        </w:rPr>
        <w:t xml:space="preserve"> жилой площади). В прогнозном периоде планируется ввод в эксплуатацию мно</w:t>
      </w:r>
      <w:r>
        <w:rPr>
          <w:bCs/>
          <w:szCs w:val="28"/>
        </w:rPr>
        <w:t>гоквартирных жилых домов по ул. Туристов, ул. </w:t>
      </w:r>
      <w:r w:rsidRPr="00F30CFD">
        <w:rPr>
          <w:bCs/>
          <w:szCs w:val="28"/>
        </w:rPr>
        <w:t>Папанина, ул.</w:t>
      </w:r>
      <w:r>
        <w:rPr>
          <w:bCs/>
          <w:szCs w:val="28"/>
        </w:rPr>
        <w:t> </w:t>
      </w:r>
      <w:r w:rsidRPr="00F30CFD">
        <w:rPr>
          <w:bCs/>
          <w:szCs w:val="28"/>
        </w:rPr>
        <w:t xml:space="preserve">Шевченко, </w:t>
      </w:r>
      <w:r>
        <w:rPr>
          <w:bCs/>
          <w:szCs w:val="28"/>
        </w:rPr>
        <w:t>пр. Кольскому, ул. Буркова, ул. </w:t>
      </w:r>
      <w:r w:rsidRPr="00F30CFD">
        <w:rPr>
          <w:bCs/>
          <w:szCs w:val="28"/>
        </w:rPr>
        <w:t xml:space="preserve">Пищевиков. Одновременно с этим в прогнозном периоде планируется реализация мероприятий по переселению граждан из аварийных многоквартирных домов и домов пониженной капитальности в рамках долгосрочной целевой программы </w:t>
      </w:r>
      <w:r w:rsidRPr="00F30CFD">
        <w:rPr>
          <w:szCs w:val="28"/>
        </w:rPr>
        <w:t>«Адресная программа по переселению граждан из аварийных многоквартирных домов и многоквартирных домов пониженной капитальности, имеющих не все виды благоустройства» на 2012 – 2016 годы.</w:t>
      </w:r>
      <w:r w:rsidRPr="00F30CFD">
        <w:rPr>
          <w:bCs/>
          <w:szCs w:val="28"/>
        </w:rPr>
        <w:t xml:space="preserve"> Так, ожидается, что в 2013 году будет расселено 6,54 тыс. </w:t>
      </w:r>
      <w:r>
        <w:rPr>
          <w:bCs/>
          <w:szCs w:val="28"/>
        </w:rPr>
        <w:t>кв.м</w:t>
      </w:r>
      <w:r w:rsidRPr="00F30CFD">
        <w:rPr>
          <w:bCs/>
          <w:szCs w:val="28"/>
        </w:rPr>
        <w:t xml:space="preserve"> площади жилья, в 2013 – 13,08 тыс. </w:t>
      </w:r>
      <w:r>
        <w:rPr>
          <w:bCs/>
          <w:szCs w:val="28"/>
        </w:rPr>
        <w:t>кв.м</w:t>
      </w:r>
      <w:r w:rsidRPr="00F30CFD">
        <w:rPr>
          <w:bCs/>
          <w:szCs w:val="28"/>
        </w:rPr>
        <w:t>, в 2014 – 19,61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 xml:space="preserve">тыс. </w:t>
      </w:r>
      <w:r>
        <w:rPr>
          <w:bCs/>
          <w:szCs w:val="28"/>
        </w:rPr>
        <w:t>кв.м</w:t>
      </w:r>
      <w:r w:rsidRPr="00F30CFD">
        <w:rPr>
          <w:bCs/>
          <w:szCs w:val="28"/>
        </w:rPr>
        <w:t xml:space="preserve">. Расселяемая площадь в соответствии с программой будет снесена. Таким образом, доля площади аварийного жилья и жилья пониженной капитальности сократится с 2,63% в 2011 году до 1,95% в 2015 году. Обеспеченность населения жилой площадью увеличится с 22,98 до 23,70 </w:t>
      </w:r>
      <w:r>
        <w:rPr>
          <w:bCs/>
          <w:szCs w:val="28"/>
        </w:rPr>
        <w:t>кв.м</w:t>
      </w:r>
      <w:r w:rsidRPr="00F30CFD">
        <w:rPr>
          <w:bCs/>
          <w:szCs w:val="28"/>
        </w:rPr>
        <w:t xml:space="preserve"> на 1 человека.</w:t>
      </w:r>
    </w:p>
    <w:p w:rsidR="00E6695E" w:rsidRPr="00F30CFD" w:rsidRDefault="00E6695E" w:rsidP="00E6695E">
      <w:pPr>
        <w:pStyle w:val="af0"/>
        <w:spacing w:after="0"/>
        <w:rPr>
          <w:bCs/>
          <w:szCs w:val="28"/>
        </w:rPr>
      </w:pPr>
      <w:r w:rsidRPr="00F30CFD">
        <w:rPr>
          <w:bCs/>
          <w:szCs w:val="28"/>
        </w:rPr>
        <w:t>Стоимость предоставляемых населению жилищно-коммунальных услуг по экономически обоснованным ценам и тарифам в 2011 году увеличилась на 3% к уровню предыдущего года и составила 8130,42 млн. рублей. В соответствии с прогнозными значениями роста цен на жилищные и коммунальные услуги для населения Мурманской области к концу 2012 года ожидается рост показателя на 4,9% по сравнению с предыдущим годом, в 2013 году – на 9,7%, в 2014 и 2015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годах – на 9,5%.</w:t>
      </w:r>
    </w:p>
    <w:p w:rsidR="00E6695E" w:rsidRPr="00F30CFD" w:rsidRDefault="00E6695E" w:rsidP="00E6695E">
      <w:pPr>
        <w:pStyle w:val="af0"/>
        <w:spacing w:after="0"/>
        <w:rPr>
          <w:bCs/>
          <w:szCs w:val="28"/>
        </w:rPr>
      </w:pPr>
      <w:r w:rsidRPr="00F30CFD">
        <w:rPr>
          <w:bCs/>
          <w:szCs w:val="28"/>
        </w:rPr>
        <w:t>Уровень собираемости платежей за жилье и коммунальные услуги сократился с 93% в 2010 году до 90,5% в 2011 году, в текущем году существенного улучшения ситуации по данному показателю не ожидается в связи с увеличением тарифов на услуги жилищно-коммунального хозяйства. Число семей, получающих субсидии на оплату жилья и коммунальных услуг в 2011 году составило 19095 единиц, что на 104 семьи больше, чем в предыдущем году. В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текущем году ожидается, что тенденция роста показателя продолжится, что в большей степени обусловлено ростом тарифов на оплату услуг ЖКХ. Однако, в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прогнозном периоде в связи с ожидаемым увеличением размера реальной заработной платы и доходов населения в целом, а также в связи с приостановкой снижения регионального стандарта максимально допустимой доли расходов граждан на оплату жилого помещения и коммунальных услуг в совокупном доходе семьи для отдельных категорий граждан, планируется сокращение значения показателя до 18600 семей, уровень собираемости за предоставленные жилищно-коммунальные услуги увеличится до 94%.</w:t>
      </w:r>
    </w:p>
    <w:p w:rsidR="00E6695E" w:rsidRPr="00F30CFD" w:rsidRDefault="00E6695E" w:rsidP="00E6695E">
      <w:pPr>
        <w:pStyle w:val="af0"/>
        <w:spacing w:after="0"/>
        <w:rPr>
          <w:bCs/>
          <w:szCs w:val="28"/>
        </w:rPr>
      </w:pPr>
      <w:r w:rsidRPr="00F30CFD">
        <w:rPr>
          <w:bCs/>
          <w:szCs w:val="28"/>
        </w:rPr>
        <w:lastRenderedPageBreak/>
        <w:t>Численность пенсионеров города Мурманска в 2011 году увеличилась на 461 человека и составила 102,59 тыс. человек. В прогнозном периоде значение показателя будет увеличиваться. В целом, это общероссийская тенденция, обусловленная высоким уровнем рождаемости в 50-60-х годах. Таким образом, численность пенсионеров к концу прогнозного периода увеличится до 103,65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тыс.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человек, их доля в общей численности населения города – с 33,63% в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2011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году до 34,53% в 2015 году, и, учитывая стремительное сокращение численности трудоспособного населения города, уровень социальной нагрузки на занятое населения будет возрастать.</w:t>
      </w:r>
    </w:p>
    <w:p w:rsidR="00E6695E" w:rsidRPr="008C39E5" w:rsidRDefault="00E6695E" w:rsidP="00E6695E">
      <w:pPr>
        <w:pStyle w:val="1"/>
        <w:rPr>
          <w:caps w:val="0"/>
          <w:kern w:val="32"/>
          <w:sz w:val="28"/>
          <w:szCs w:val="28"/>
        </w:rPr>
      </w:pPr>
      <w:r w:rsidRPr="008C39E5">
        <w:rPr>
          <w:caps w:val="0"/>
          <w:kern w:val="32"/>
          <w:sz w:val="28"/>
          <w:szCs w:val="28"/>
        </w:rPr>
        <w:t>Охрана окружающей среды</w:t>
      </w:r>
    </w:p>
    <w:p w:rsidR="00E6695E" w:rsidRPr="00F30CFD" w:rsidRDefault="00E6695E" w:rsidP="00E6695E">
      <w:pPr>
        <w:pStyle w:val="af0"/>
        <w:spacing w:after="0"/>
        <w:rPr>
          <w:bCs/>
          <w:szCs w:val="28"/>
        </w:rPr>
      </w:pPr>
      <w:r w:rsidRPr="00F30CFD">
        <w:rPr>
          <w:bCs/>
          <w:szCs w:val="28"/>
        </w:rPr>
        <w:t>Оценка инвестиций в основной капитал, направляемых на охрану окружающей среды и рациональное использование природных ресурсов, приведена по данным предприятий, вкладывающих значительные средства в охрану окружающей среды (</w:t>
      </w:r>
      <w:r>
        <w:rPr>
          <w:bCs/>
          <w:szCs w:val="28"/>
        </w:rPr>
        <w:t>ГОУП «Мурманскводоканал»</w:t>
      </w:r>
      <w:r w:rsidRPr="00F30CFD">
        <w:rPr>
          <w:bCs/>
          <w:szCs w:val="28"/>
        </w:rPr>
        <w:t xml:space="preserve">, </w:t>
      </w:r>
      <w:r>
        <w:rPr>
          <w:bCs/>
          <w:szCs w:val="28"/>
        </w:rPr>
        <w:t>ОАО «</w:t>
      </w:r>
      <w:r w:rsidRPr="002A3DFD">
        <w:rPr>
          <w:bCs/>
          <w:szCs w:val="28"/>
        </w:rPr>
        <w:t>Мурманская ТЭЦ</w:t>
      </w:r>
      <w:r>
        <w:rPr>
          <w:bCs/>
          <w:szCs w:val="28"/>
        </w:rPr>
        <w:t>»</w:t>
      </w:r>
      <w:r w:rsidRPr="00F30CFD">
        <w:rPr>
          <w:bCs/>
          <w:szCs w:val="28"/>
        </w:rPr>
        <w:t xml:space="preserve">, </w:t>
      </w:r>
      <w:r>
        <w:rPr>
          <w:bCs/>
          <w:szCs w:val="28"/>
        </w:rPr>
        <w:t>ООО «</w:t>
      </w:r>
      <w:r w:rsidRPr="00F30CFD">
        <w:rPr>
          <w:bCs/>
          <w:szCs w:val="28"/>
        </w:rPr>
        <w:t>Свинокомплекс</w:t>
      </w:r>
      <w:r>
        <w:rPr>
          <w:bCs/>
          <w:szCs w:val="28"/>
        </w:rPr>
        <w:t xml:space="preserve"> «Пригородный»</w:t>
      </w:r>
      <w:r w:rsidRPr="00F30CFD">
        <w:rPr>
          <w:bCs/>
          <w:szCs w:val="28"/>
        </w:rPr>
        <w:t xml:space="preserve">), а также с учетом средств, предусмотренных в рамках реализации долгосрочных целевых программ «Энергосбережение и повышение энергетической эффективности на территории муниципального образования город Мурманск» на 2011-2014 годы и «Комплексное развитие систем коммунальной инфраструктуры Мурманской области» на 2011-2015 годы. </w:t>
      </w:r>
    </w:p>
    <w:p w:rsidR="00E6695E" w:rsidRPr="00F30CFD" w:rsidRDefault="00E6695E" w:rsidP="00E6695E">
      <w:pPr>
        <w:pStyle w:val="af0"/>
        <w:spacing w:after="0"/>
        <w:rPr>
          <w:bCs/>
          <w:szCs w:val="28"/>
        </w:rPr>
      </w:pPr>
      <w:r w:rsidRPr="00F30CFD">
        <w:rPr>
          <w:bCs/>
          <w:szCs w:val="28"/>
        </w:rPr>
        <w:t xml:space="preserve">Объем сброса загрязненных сточных вод приведен оценочно исходя из данных прошлых лет и отражает динамику снижения статистического показателя объема пропущенных сточных вод с учетом данных, представленных организациями города Мурманска. В нарушение </w:t>
      </w:r>
      <w:r w:rsidRPr="00F30CFD">
        <w:t>законодательства о рыболовстве и сохранении водных биологических ресурсов, а также</w:t>
      </w:r>
      <w:r>
        <w:t xml:space="preserve"> законодательства об ох</w:t>
      </w:r>
      <w:r w:rsidRPr="00F30CFD">
        <w:t>ране вод ОАО «Хладокомбинат» допускает сверхнормативный сброс загрязняющих ве</w:t>
      </w:r>
      <w:r w:rsidRPr="00F30CFD">
        <w:softHyphen/>
        <w:t xml:space="preserve">ществ в централизованную систему коммунальной канализации. </w:t>
      </w:r>
      <w:r w:rsidRPr="00F30CFD">
        <w:rPr>
          <w:bCs/>
          <w:szCs w:val="28"/>
        </w:rPr>
        <w:t>Сточные воды от производственной деятельности ОАО «Хладокомби</w:t>
      </w:r>
      <w:r w:rsidRPr="00F30CFD">
        <w:rPr>
          <w:bCs/>
          <w:szCs w:val="28"/>
        </w:rPr>
        <w:softHyphen/>
        <w:t xml:space="preserve">нат» с содержанием повышенной концентрации </w:t>
      </w:r>
      <w:r w:rsidRPr="00F30CFD">
        <w:t>хлоридов, сульфатов, аммоний-йона, фосфат-йона, жиров, железа</w:t>
      </w:r>
      <w:r w:rsidRPr="00F30CFD">
        <w:rPr>
          <w:bCs/>
          <w:szCs w:val="28"/>
        </w:rPr>
        <w:t xml:space="preserve"> через северные очистные сооружения поступают в Кольский залив Ба</w:t>
      </w:r>
      <w:r w:rsidRPr="00F30CFD">
        <w:rPr>
          <w:bCs/>
          <w:szCs w:val="28"/>
        </w:rPr>
        <w:softHyphen/>
        <w:t xml:space="preserve">ренцева моря, относящийся к рыбохозяйственным водным объектам высшей категории, </w:t>
      </w:r>
      <w:r w:rsidRPr="00F30CFD">
        <w:t>без обеспечения нормативной очистки сточных вод</w:t>
      </w:r>
      <w:r w:rsidRPr="00F30CFD">
        <w:rPr>
          <w:bCs/>
          <w:szCs w:val="28"/>
        </w:rPr>
        <w:t>.</w:t>
      </w:r>
    </w:p>
    <w:p w:rsidR="00E6695E" w:rsidRPr="00F30CFD" w:rsidRDefault="00E6695E" w:rsidP="00E6695E">
      <w:pPr>
        <w:pStyle w:val="af0"/>
        <w:spacing w:after="0"/>
        <w:rPr>
          <w:bCs/>
          <w:szCs w:val="28"/>
        </w:rPr>
      </w:pPr>
      <w:r w:rsidRPr="00F30CFD">
        <w:rPr>
          <w:bCs/>
          <w:szCs w:val="28"/>
        </w:rPr>
        <w:t>Объем вредных веществ, выбрасываемых в атмосферный воздух стационарными источниками загрязнения, приведен по данным предприятий, производства которых являются основными источниками загрязнения городской атмосферы (</w:t>
      </w:r>
      <w:r>
        <w:rPr>
          <w:bCs/>
          <w:szCs w:val="28"/>
        </w:rPr>
        <w:t>ОАО «</w:t>
      </w:r>
      <w:r w:rsidRPr="001371B0">
        <w:rPr>
          <w:bCs/>
          <w:szCs w:val="28"/>
        </w:rPr>
        <w:t>Мурманская ТЭЦ</w:t>
      </w:r>
      <w:r>
        <w:rPr>
          <w:bCs/>
          <w:szCs w:val="28"/>
        </w:rPr>
        <w:t>»</w:t>
      </w:r>
      <w:r w:rsidRPr="00F30CFD">
        <w:rPr>
          <w:bCs/>
          <w:szCs w:val="28"/>
        </w:rPr>
        <w:t xml:space="preserve">, </w:t>
      </w:r>
      <w:r>
        <w:rPr>
          <w:bCs/>
          <w:szCs w:val="28"/>
        </w:rPr>
        <w:t>ГОУТП «</w:t>
      </w:r>
      <w:r w:rsidRPr="001371B0">
        <w:rPr>
          <w:bCs/>
          <w:szCs w:val="28"/>
        </w:rPr>
        <w:t>ТЭКОС</w:t>
      </w:r>
      <w:r>
        <w:rPr>
          <w:bCs/>
          <w:szCs w:val="28"/>
        </w:rPr>
        <w:t>»</w:t>
      </w:r>
      <w:r w:rsidRPr="00F30CFD">
        <w:rPr>
          <w:bCs/>
          <w:szCs w:val="28"/>
        </w:rPr>
        <w:t xml:space="preserve">, </w:t>
      </w:r>
      <w:r>
        <w:rPr>
          <w:bCs/>
          <w:szCs w:val="28"/>
        </w:rPr>
        <w:t>ОАО «</w:t>
      </w:r>
      <w:r w:rsidRPr="00F30CFD">
        <w:rPr>
          <w:bCs/>
          <w:szCs w:val="28"/>
        </w:rPr>
        <w:t>Мурманэнергосбыт</w:t>
      </w:r>
      <w:r>
        <w:rPr>
          <w:bCs/>
          <w:szCs w:val="28"/>
        </w:rPr>
        <w:t>»</w:t>
      </w:r>
      <w:r w:rsidRPr="00F30CFD">
        <w:rPr>
          <w:bCs/>
          <w:szCs w:val="28"/>
        </w:rPr>
        <w:t>). В отсутствие инвестиций в природоохранную деятельность данные организации ожидают рост выбросов в атмосферу в ближайшей перспективе.</w:t>
      </w:r>
    </w:p>
    <w:p w:rsidR="00E6695E" w:rsidRPr="00F30CFD" w:rsidRDefault="00E6695E" w:rsidP="00E6695E">
      <w:pPr>
        <w:pStyle w:val="1"/>
        <w:rPr>
          <w:b w:val="0"/>
          <w:bCs w:val="0"/>
          <w:kern w:val="32"/>
          <w:sz w:val="28"/>
          <w:szCs w:val="28"/>
        </w:rPr>
      </w:pPr>
      <w:r w:rsidRPr="00F30CFD">
        <w:rPr>
          <w:caps w:val="0"/>
          <w:kern w:val="32"/>
          <w:sz w:val="28"/>
          <w:szCs w:val="28"/>
        </w:rPr>
        <w:lastRenderedPageBreak/>
        <w:t>Туризм</w:t>
      </w:r>
    </w:p>
    <w:p w:rsidR="00E6695E" w:rsidRPr="00F30CFD" w:rsidRDefault="00E6695E" w:rsidP="00E6695E">
      <w:pPr>
        <w:pStyle w:val="af0"/>
        <w:spacing w:after="0"/>
        <w:rPr>
          <w:bCs/>
          <w:szCs w:val="28"/>
        </w:rPr>
      </w:pPr>
      <w:r w:rsidRPr="00F30CFD">
        <w:rPr>
          <w:szCs w:val="28"/>
        </w:rPr>
        <w:t>В преддверии возобновления реконструкции гостиницы «Арктика» с июля 2012 года объем инвестиций в сфере гостинично-ресторанного бизнеса в первом полугодии 2012 года увеличился в 9,3 раза до 13,9 млн. рублей, в сфере деятельности по организации отдыха и развлечений, культуры и спорта – в 14,9</w:t>
      </w:r>
      <w:r w:rsidRPr="00F30CFD">
        <w:rPr>
          <w:szCs w:val="28"/>
          <w:lang w:val="en-US"/>
        </w:rPr>
        <w:t> </w:t>
      </w:r>
      <w:r w:rsidRPr="00F30CFD">
        <w:rPr>
          <w:szCs w:val="28"/>
        </w:rPr>
        <w:t xml:space="preserve">раза до 143,8 млн. рублей. </w:t>
      </w:r>
      <w:r w:rsidRPr="00F30CFD">
        <w:rPr>
          <w:bCs/>
          <w:szCs w:val="28"/>
        </w:rPr>
        <w:t>Годовая загрузка гостиниц города сохраняется в пределах 40%, на 1 тыс. туристов в год в среднем приходится 15 номеров, обеспеченность гостиничными местами населения на 1000 чел</w:t>
      </w:r>
      <w:r>
        <w:rPr>
          <w:bCs/>
          <w:szCs w:val="28"/>
        </w:rPr>
        <w:t>овек</w:t>
      </w:r>
      <w:r w:rsidRPr="00F30CFD">
        <w:rPr>
          <w:bCs/>
          <w:szCs w:val="28"/>
        </w:rPr>
        <w:t xml:space="preserve"> составляет 4</w:t>
      </w:r>
      <w:r w:rsidRPr="00F30CFD">
        <w:rPr>
          <w:bCs/>
          <w:szCs w:val="28"/>
          <w:lang w:val="en-US"/>
        </w:rPr>
        <w:t> </w:t>
      </w:r>
      <w:r w:rsidRPr="00F30CFD">
        <w:rPr>
          <w:bCs/>
          <w:szCs w:val="28"/>
        </w:rPr>
        <w:t>единицы (устанавливаемый градостроительный норматив составляет 6 единиц на 1000 населения, для обеспечения турпотока в размере 140 тыс.  туристов в год должен быть 8). Исходя из существующего номерного фонда город готов принять единовременно менее 1,5 тыс. туристов. Средняя продолжительность размещения составляет 3 ночевки на 1 размещенного, средняя цена размещения в гостинице составляет около 1,5 тыс. рублей после снижения в 2012 году к уровню 2011 года на 3%. Ожидаемый рост цен на услуги размещения и другие сопутствующие услуги в ближайшей перспективе, отсутствие прямых дешевых перелетов в Мурманск из городов России будут ограничивать темп роста числа приезжих из других регионов России в отличие от потока иностранных туристов, предпочитающих пользоваться более дешевыми услугами в России. Активно развивается выездной туризм, в зимние месяцы рекордное число туристов наблюдается на границе Кольского полуострова и финской Лапландии, проходящих через контрольно-пропускной пункт «Салла».</w:t>
      </w:r>
    </w:p>
    <w:p w:rsidR="00E6695E" w:rsidRPr="00F30CFD" w:rsidRDefault="00E6695E" w:rsidP="00E6695E">
      <w:pPr>
        <w:pStyle w:val="af0"/>
        <w:spacing w:after="0"/>
      </w:pPr>
      <w:r w:rsidRPr="00F30CFD">
        <w:rPr>
          <w:bCs/>
          <w:szCs w:val="28"/>
        </w:rPr>
        <w:t>В 2012 году на морском вокзале Мурманска начались реконструкция пирса дальних линий и укрепление берега, которая завершится в марте 2014 года и позволи</w:t>
      </w:r>
      <w:r>
        <w:rPr>
          <w:bCs/>
          <w:szCs w:val="28"/>
        </w:rPr>
        <w:t xml:space="preserve">т увеличить существующий пирс в 3 раза в </w:t>
      </w:r>
      <w:r w:rsidRPr="00F30CFD">
        <w:rPr>
          <w:bCs/>
          <w:szCs w:val="28"/>
        </w:rPr>
        <w:t>длину</w:t>
      </w:r>
      <w:r>
        <w:rPr>
          <w:bCs/>
          <w:szCs w:val="28"/>
        </w:rPr>
        <w:t xml:space="preserve"> до 205 м и в 1,4 раза в ширину до 19,6 м, укрепить берег пассажирского района и </w:t>
      </w:r>
      <w:r w:rsidRPr="00F30CFD">
        <w:rPr>
          <w:bCs/>
          <w:szCs w:val="28"/>
        </w:rPr>
        <w:t>расширить</w:t>
      </w:r>
      <w:r>
        <w:rPr>
          <w:bCs/>
          <w:szCs w:val="28"/>
        </w:rPr>
        <w:t xml:space="preserve"> </w:t>
      </w:r>
      <w:r w:rsidRPr="00F30CFD">
        <w:rPr>
          <w:bCs/>
          <w:szCs w:val="28"/>
        </w:rPr>
        <w:t>набережну</w:t>
      </w:r>
      <w:r>
        <w:rPr>
          <w:bCs/>
          <w:szCs w:val="28"/>
        </w:rPr>
        <w:t>ю</w:t>
      </w:r>
      <w:r w:rsidRPr="00F30CFD">
        <w:rPr>
          <w:bCs/>
          <w:szCs w:val="28"/>
        </w:rPr>
        <w:t>. В</w:t>
      </w:r>
      <w:r>
        <w:rPr>
          <w:bCs/>
          <w:szCs w:val="28"/>
        </w:rPr>
        <w:t xml:space="preserve"> </w:t>
      </w:r>
      <w:r w:rsidRPr="00F30CFD">
        <w:rPr>
          <w:bCs/>
          <w:szCs w:val="28"/>
        </w:rPr>
        <w:t xml:space="preserve">результате дноуглубительных работ у южной части пирса до уровня 9,8 метров морской вокзал сможет принимать круизные пассажирские лайнеры с осадкой до семи метров. На 2014 год запланирован ввод в эксплуатацию 191 гостиничного номера и </w:t>
      </w:r>
      <w:r w:rsidRPr="00F30CFD">
        <w:t xml:space="preserve">бизнес-центра уровня «В» </w:t>
      </w:r>
      <w:r w:rsidRPr="00F30CFD">
        <w:rPr>
          <w:bCs/>
          <w:szCs w:val="28"/>
        </w:rPr>
        <w:t xml:space="preserve">в гостинице «Арктика» с уровнем </w:t>
      </w:r>
      <w:r w:rsidRPr="00F30CFD">
        <w:t xml:space="preserve">«три звезды плюс». Часть 1-го и 2-го этажей займут лобби-бар, кофейня, магазины и офисы банков, банкетный и большой конференц-зал на 500-600 мест, переговорные комнаты. Третий этаж – технический, на 4-м предполагается обеденный зал для гостей и персонала. С 4-го этажа по 11-й - офисы. На 12-м и выше расположатся гостиничные номера, на 17-м этаже в северном «лепестке» здания планируется ресторан с видом на город и залив. Гостиничный комплекс включает три парковки - со стороны улицы Ленинградской, со стороны проспекта Ленина и двухуровневая, с подземной и наземной площадками перед зданием гостиницы. </w:t>
      </w:r>
    </w:p>
    <w:p w:rsidR="00E6695E" w:rsidRPr="00F30CFD" w:rsidRDefault="00E6695E" w:rsidP="00E6695E">
      <w:pPr>
        <w:pStyle w:val="af0"/>
        <w:spacing w:after="0"/>
        <w:rPr>
          <w:bCs/>
          <w:szCs w:val="28"/>
        </w:rPr>
      </w:pPr>
      <w:r w:rsidRPr="00F30CFD">
        <w:rPr>
          <w:bCs/>
          <w:szCs w:val="28"/>
        </w:rPr>
        <w:t xml:space="preserve">Развитая туристическая инфраструктура включает наряду с гостиничными,  спортивными комплексами высокий уровень благоустройства и расширенную </w:t>
      </w:r>
      <w:r w:rsidRPr="00F30CFD">
        <w:rPr>
          <w:bCs/>
          <w:szCs w:val="28"/>
        </w:rPr>
        <w:lastRenderedPageBreak/>
        <w:t>бизнес-инфраструктуру (конференц-центры</w:t>
      </w:r>
      <w:r w:rsidRPr="00F30CFD">
        <w:t xml:space="preserve"> и другие </w:t>
      </w:r>
      <w:r w:rsidRPr="00F30CFD">
        <w:rPr>
          <w:bCs/>
          <w:szCs w:val="28"/>
        </w:rPr>
        <w:t>объекты общественно-делового назначения</w:t>
      </w:r>
      <w:r w:rsidRPr="00F30CFD">
        <w:t>)</w:t>
      </w:r>
      <w:r w:rsidRPr="00F30CFD">
        <w:rPr>
          <w:bCs/>
          <w:szCs w:val="28"/>
        </w:rPr>
        <w:t>, а также предполагает наличие большого скопления торговых и развлекательных объектов, готовых принимать посетителей до позднего вечера, особенно в период полярного дня, и подготовленного квалифицированного персонала, способного обслужить иностранных посетителей, оставив приятное впечатление и вызвав</w:t>
      </w:r>
      <w:r w:rsidRPr="00F30CFD">
        <w:rPr>
          <w:bCs/>
          <w:vanish/>
          <w:color w:val="FF0000"/>
          <w:szCs w:val="28"/>
        </w:rPr>
        <w:t xml:space="preserve"> </w:t>
      </w:r>
      <w:r w:rsidRPr="00F30CFD">
        <w:rPr>
          <w:bCs/>
          <w:szCs w:val="28"/>
        </w:rPr>
        <w:t xml:space="preserve"> желание вернуться, поделиться с другими потенциальными туристами. В условиях вступления в ВТО и развития конкуренции организации города вынуждены будут поднимать уровень качества предоставляемых услуг, тем самым повышая привлекательность города для иностранных гостей. Очевидно, роль главной туристической зоны отдыха и развлечений в центре города Мурманска наряду с гостиницей «Арктика» будет выполнять вновь построенный торгово-развлекательный центр при гипермаркете «О’кей», в качестве дополнительных наиболее крупных по площади мест проведения досуга выступят парковый комплекс на Семеновском озере, парк развлечений и отдыха «Огни Мурманска» и спорткомплекс «Долина Уюта».</w:t>
      </w:r>
      <w:r>
        <w:rPr>
          <w:bCs/>
          <w:szCs w:val="28"/>
        </w:rPr>
        <w:t xml:space="preserve"> В </w:t>
      </w:r>
      <w:r w:rsidRPr="00F30CFD">
        <w:rPr>
          <w:bCs/>
          <w:szCs w:val="28"/>
        </w:rPr>
        <w:t xml:space="preserve">случае продолжения реконструкции </w:t>
      </w:r>
      <w:r w:rsidRPr="00F30CFD">
        <w:rPr>
          <w:szCs w:val="28"/>
        </w:rPr>
        <w:t>морского порта в рамках проекта возведения морского фасада к 2016 году в районе морского вокзала в Мурманске</w:t>
      </w:r>
      <w:r w:rsidRPr="00F30CFD">
        <w:t xml:space="preserve"> </w:t>
      </w:r>
      <w:r w:rsidRPr="00F30CFD">
        <w:rPr>
          <w:szCs w:val="28"/>
        </w:rPr>
        <w:t>будет создана рекреационная, туристическая и культурная зона.</w:t>
      </w:r>
    </w:p>
    <w:p w:rsidR="00E6695E" w:rsidRPr="00F30CFD" w:rsidRDefault="00E6695E" w:rsidP="00E6695E">
      <w:pPr>
        <w:pStyle w:val="af0"/>
        <w:spacing w:after="0"/>
        <w:rPr>
          <w:bCs/>
          <w:szCs w:val="28"/>
        </w:rPr>
      </w:pPr>
      <w:r w:rsidRPr="00F30CFD">
        <w:rPr>
          <w:bCs/>
          <w:szCs w:val="28"/>
        </w:rPr>
        <w:t xml:space="preserve">Наличие перечисленных факторов, а также строительство спортивных объектов и рост деловой активности в городе позволяет прогнозировать увлечение числа туристов в прогнозном периоде, в большей степени в 2014-2015 годах, в том числе за счет притока иностранных посетителей. </w:t>
      </w:r>
    </w:p>
    <w:p w:rsidR="00E6695E" w:rsidRPr="00F30CFD" w:rsidRDefault="00E6695E" w:rsidP="00E6695E">
      <w:pPr>
        <w:pStyle w:val="af0"/>
        <w:spacing w:after="0"/>
        <w:rPr>
          <w:bCs/>
          <w:szCs w:val="28"/>
        </w:rPr>
      </w:pPr>
    </w:p>
    <w:p w:rsidR="00E6695E" w:rsidRPr="00F30CFD" w:rsidRDefault="00E6695E" w:rsidP="00E6695E">
      <w:pPr>
        <w:pStyle w:val="af0"/>
        <w:spacing w:after="0"/>
        <w:rPr>
          <w:bCs/>
          <w:szCs w:val="28"/>
        </w:rPr>
      </w:pPr>
    </w:p>
    <w:p w:rsidR="00E6695E" w:rsidRPr="00246801" w:rsidRDefault="00E6695E" w:rsidP="00E6695E">
      <w:pPr>
        <w:pStyle w:val="af0"/>
        <w:spacing w:after="0"/>
        <w:jc w:val="center"/>
        <w:rPr>
          <w:bCs/>
          <w:szCs w:val="28"/>
        </w:rPr>
      </w:pPr>
      <w:r w:rsidRPr="00F30CFD">
        <w:rPr>
          <w:bCs/>
          <w:szCs w:val="28"/>
        </w:rPr>
        <w:t>________________</w:t>
      </w:r>
    </w:p>
    <w:p w:rsidR="00E6695E" w:rsidRDefault="00E6695E" w:rsidP="00E6695E">
      <w:pPr>
        <w:ind w:firstLine="709"/>
        <w:jc w:val="both"/>
        <w:rPr>
          <w:vanish/>
          <w:sz w:val="22"/>
        </w:rPr>
        <w:sectPr w:rsidR="00E6695E" w:rsidSect="00D9118D">
          <w:headerReference w:type="default" r:id="rId15"/>
          <w:pgSz w:w="12240" w:h="15840"/>
          <w:pgMar w:top="1134" w:right="851" w:bottom="1134" w:left="1418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Look w:val="04A0"/>
      </w:tblPr>
      <w:tblGrid>
        <w:gridCol w:w="4836"/>
        <w:gridCol w:w="5017"/>
      </w:tblGrid>
      <w:tr w:rsidR="00E6695E" w:rsidTr="00063074">
        <w:trPr>
          <w:trHeight w:val="1548"/>
        </w:trPr>
        <w:tc>
          <w:tcPr>
            <w:tcW w:w="5211" w:type="dxa"/>
          </w:tcPr>
          <w:p w:rsidR="00E6695E" w:rsidRPr="00D9118D" w:rsidRDefault="00E6695E" w:rsidP="00063074">
            <w:pPr>
              <w:jc w:val="right"/>
              <w:rPr>
                <w:szCs w:val="28"/>
              </w:rPr>
            </w:pPr>
          </w:p>
        </w:tc>
        <w:tc>
          <w:tcPr>
            <w:tcW w:w="5245" w:type="dxa"/>
          </w:tcPr>
          <w:p w:rsidR="00E6695E" w:rsidRPr="00D9118D" w:rsidRDefault="00E6695E" w:rsidP="00063074">
            <w:pPr>
              <w:jc w:val="center"/>
              <w:rPr>
                <w:szCs w:val="28"/>
              </w:rPr>
            </w:pPr>
            <w:r w:rsidRPr="00D9118D">
              <w:rPr>
                <w:szCs w:val="28"/>
              </w:rPr>
              <w:t>Приложение № 2</w:t>
            </w:r>
          </w:p>
          <w:p w:rsidR="00E6695E" w:rsidRPr="00D9118D" w:rsidRDefault="00E6695E" w:rsidP="00063074">
            <w:pPr>
              <w:jc w:val="center"/>
              <w:rPr>
                <w:szCs w:val="28"/>
              </w:rPr>
            </w:pPr>
            <w:r w:rsidRPr="00D9118D">
              <w:rPr>
                <w:szCs w:val="28"/>
              </w:rPr>
              <w:t>к прогнозу социально-экономического развития муниципального образования город Мурманск на 2013 год и плановый период 2014 и 2015 годов</w:t>
            </w:r>
          </w:p>
        </w:tc>
      </w:tr>
    </w:tbl>
    <w:p w:rsidR="00E6695E" w:rsidRDefault="00E6695E" w:rsidP="00E6695E">
      <w:pPr>
        <w:jc w:val="center"/>
        <w:rPr>
          <w:b/>
          <w:bCs/>
          <w:color w:val="000000"/>
          <w:szCs w:val="28"/>
        </w:rPr>
      </w:pPr>
    </w:p>
    <w:p w:rsidR="00E6695E" w:rsidRDefault="00E6695E" w:rsidP="00E6695E">
      <w:pPr>
        <w:jc w:val="center"/>
        <w:rPr>
          <w:b/>
          <w:bCs/>
          <w:color w:val="000000"/>
          <w:szCs w:val="28"/>
        </w:rPr>
      </w:pPr>
    </w:p>
    <w:p w:rsidR="00E6695E" w:rsidRPr="00F4401F" w:rsidRDefault="00E6695E" w:rsidP="00E6695E">
      <w:pPr>
        <w:jc w:val="center"/>
        <w:rPr>
          <w:b/>
          <w:bCs/>
          <w:color w:val="000000"/>
          <w:szCs w:val="28"/>
        </w:rPr>
      </w:pPr>
      <w:r w:rsidRPr="00F4401F">
        <w:rPr>
          <w:b/>
          <w:bCs/>
          <w:color w:val="000000"/>
          <w:szCs w:val="28"/>
        </w:rPr>
        <w:t>Предварительные итоги социально-экономического развития                                                           муниципального образования город Мурманск за первое полугодие</w:t>
      </w:r>
    </w:p>
    <w:p w:rsidR="00E6695E" w:rsidRPr="00F4401F" w:rsidRDefault="00E6695E" w:rsidP="00E6695E">
      <w:pPr>
        <w:jc w:val="center"/>
        <w:outlineLvl w:val="0"/>
        <w:rPr>
          <w:b/>
          <w:bCs/>
          <w:color w:val="000000"/>
          <w:szCs w:val="28"/>
        </w:rPr>
      </w:pPr>
      <w:r w:rsidRPr="00F4401F">
        <w:rPr>
          <w:b/>
          <w:bCs/>
          <w:color w:val="000000"/>
          <w:szCs w:val="28"/>
        </w:rPr>
        <w:t xml:space="preserve"> 2012 года и ожидаемые итоги социально-экономического развития </w:t>
      </w:r>
    </w:p>
    <w:p w:rsidR="00E6695E" w:rsidRPr="00F4401F" w:rsidRDefault="00E6695E" w:rsidP="00E6695E">
      <w:pPr>
        <w:jc w:val="center"/>
        <w:outlineLvl w:val="0"/>
        <w:rPr>
          <w:b/>
          <w:bCs/>
          <w:color w:val="000000"/>
          <w:szCs w:val="28"/>
        </w:rPr>
      </w:pPr>
      <w:r w:rsidRPr="00F4401F">
        <w:rPr>
          <w:b/>
          <w:bCs/>
          <w:color w:val="000000"/>
          <w:szCs w:val="28"/>
        </w:rPr>
        <w:t>за 2012 год</w:t>
      </w:r>
    </w:p>
    <w:p w:rsidR="00E6695E" w:rsidRPr="00F4401F" w:rsidRDefault="00E6695E" w:rsidP="00E6695E">
      <w:pPr>
        <w:spacing w:line="276" w:lineRule="auto"/>
        <w:jc w:val="center"/>
        <w:rPr>
          <w:szCs w:val="28"/>
        </w:rPr>
      </w:pP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6"/>
        <w:gridCol w:w="1418"/>
        <w:gridCol w:w="1559"/>
        <w:gridCol w:w="1559"/>
        <w:gridCol w:w="1134"/>
      </w:tblGrid>
      <w:tr w:rsidR="00E6695E" w:rsidRPr="00F4401F" w:rsidTr="00063074">
        <w:trPr>
          <w:trHeight w:val="945"/>
          <w:tblHeader/>
        </w:trPr>
        <w:tc>
          <w:tcPr>
            <w:tcW w:w="4116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b/>
                <w:bCs/>
                <w:sz w:val="24"/>
                <w:szCs w:val="24"/>
              </w:rPr>
            </w:pPr>
            <w:r w:rsidRPr="00F4401F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b/>
                <w:bCs/>
                <w:sz w:val="24"/>
                <w:szCs w:val="24"/>
              </w:rPr>
            </w:pPr>
            <w:r w:rsidRPr="00F4401F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b/>
                <w:bCs/>
                <w:sz w:val="24"/>
                <w:szCs w:val="24"/>
              </w:rPr>
            </w:pPr>
            <w:r w:rsidRPr="00F4401F">
              <w:rPr>
                <w:b/>
                <w:bCs/>
                <w:sz w:val="24"/>
                <w:szCs w:val="24"/>
              </w:rPr>
              <w:t>1 полугодие 2011 года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b/>
                <w:bCs/>
                <w:sz w:val="24"/>
                <w:szCs w:val="24"/>
              </w:rPr>
            </w:pPr>
            <w:r w:rsidRPr="00F4401F">
              <w:rPr>
                <w:b/>
                <w:bCs/>
                <w:sz w:val="24"/>
                <w:szCs w:val="24"/>
              </w:rPr>
              <w:t>1 полугодие 2012 года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401F">
              <w:rPr>
                <w:b/>
                <w:bCs/>
                <w:color w:val="000000"/>
                <w:sz w:val="24"/>
                <w:szCs w:val="24"/>
              </w:rPr>
              <w:t>оценка                                               2012 года</w:t>
            </w:r>
          </w:p>
        </w:tc>
      </w:tr>
    </w:tbl>
    <w:p w:rsidR="00E6695E" w:rsidRPr="00F77FDC" w:rsidRDefault="00E6695E" w:rsidP="00E6695E">
      <w:pPr>
        <w:rPr>
          <w:vanish/>
        </w:rPr>
      </w:pP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6"/>
        <w:gridCol w:w="1418"/>
        <w:gridCol w:w="1559"/>
        <w:gridCol w:w="1559"/>
        <w:gridCol w:w="1134"/>
      </w:tblGrid>
      <w:tr w:rsidR="00E6695E" w:rsidRPr="00F4401F" w:rsidTr="00063074">
        <w:trPr>
          <w:trHeight w:val="315"/>
          <w:tblHeader/>
        </w:trPr>
        <w:tc>
          <w:tcPr>
            <w:tcW w:w="4116" w:type="dxa"/>
            <w:shd w:val="clear" w:color="auto" w:fill="auto"/>
            <w:hideMark/>
          </w:tcPr>
          <w:p w:rsidR="00E6695E" w:rsidRPr="00F77FDC" w:rsidRDefault="00E6695E" w:rsidP="00063074">
            <w:pPr>
              <w:jc w:val="center"/>
              <w:rPr>
                <w:sz w:val="24"/>
                <w:szCs w:val="24"/>
              </w:rPr>
            </w:pPr>
            <w:r w:rsidRPr="00F77FD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E6695E" w:rsidRPr="00F77FDC" w:rsidRDefault="00E6695E" w:rsidP="00063074">
            <w:pPr>
              <w:jc w:val="center"/>
              <w:rPr>
                <w:sz w:val="24"/>
                <w:szCs w:val="24"/>
              </w:rPr>
            </w:pPr>
            <w:r w:rsidRPr="00F77FD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E6695E" w:rsidRPr="00F4401F" w:rsidTr="00063074">
        <w:trPr>
          <w:trHeight w:val="315"/>
        </w:trPr>
        <w:tc>
          <w:tcPr>
            <w:tcW w:w="4116" w:type="dxa"/>
            <w:shd w:val="clear" w:color="auto" w:fill="auto"/>
            <w:hideMark/>
          </w:tcPr>
          <w:p w:rsidR="00E6695E" w:rsidRPr="00F4401F" w:rsidRDefault="00E6695E" w:rsidP="00063074">
            <w:pPr>
              <w:rPr>
                <w:b/>
                <w:bCs/>
                <w:sz w:val="24"/>
                <w:szCs w:val="24"/>
              </w:rPr>
            </w:pPr>
            <w:r w:rsidRPr="00F4401F">
              <w:rPr>
                <w:b/>
                <w:bCs/>
                <w:sz w:val="24"/>
                <w:szCs w:val="24"/>
              </w:rPr>
              <w:t>1. Демографические показатели</w:t>
            </w:r>
          </w:p>
        </w:tc>
        <w:tc>
          <w:tcPr>
            <w:tcW w:w="1418" w:type="dxa"/>
            <w:shd w:val="clear" w:color="auto" w:fill="auto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6695E" w:rsidRPr="00F4401F" w:rsidTr="00063074">
        <w:trPr>
          <w:trHeight w:val="477"/>
        </w:trPr>
        <w:tc>
          <w:tcPr>
            <w:tcW w:w="4116" w:type="dxa"/>
            <w:shd w:val="clear" w:color="auto" w:fill="auto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Среднегодовая численность населения</w:t>
            </w:r>
            <w:r w:rsidRPr="00450125">
              <w:rPr>
                <w:rStyle w:val="af"/>
                <w:color w:val="000000" w:themeColor="text1"/>
                <w:sz w:val="20"/>
              </w:rPr>
              <w:footnoteReference w:id="14"/>
            </w:r>
          </w:p>
        </w:tc>
        <w:tc>
          <w:tcPr>
            <w:tcW w:w="1418" w:type="dxa"/>
            <w:shd w:val="clear" w:color="auto" w:fill="auto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тыс. человек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304,18</w:t>
            </w:r>
          </w:p>
        </w:tc>
      </w:tr>
      <w:tr w:rsidR="00E6695E" w:rsidRPr="00F4401F" w:rsidTr="00063074">
        <w:trPr>
          <w:trHeight w:val="201"/>
        </w:trPr>
        <w:tc>
          <w:tcPr>
            <w:tcW w:w="4116" w:type="dxa"/>
            <w:shd w:val="clear" w:color="auto" w:fill="auto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Родилось</w:t>
            </w:r>
          </w:p>
        </w:tc>
        <w:tc>
          <w:tcPr>
            <w:tcW w:w="1418" w:type="dxa"/>
            <w:shd w:val="clear" w:color="auto" w:fill="auto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1524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401F">
              <w:rPr>
                <w:color w:val="000000" w:themeColor="text1"/>
                <w:sz w:val="24"/>
                <w:szCs w:val="24"/>
              </w:rPr>
              <w:t>1628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401F">
              <w:rPr>
                <w:color w:val="000000" w:themeColor="text1"/>
                <w:sz w:val="24"/>
                <w:szCs w:val="24"/>
              </w:rPr>
              <w:t>3310</w:t>
            </w:r>
          </w:p>
        </w:tc>
      </w:tr>
      <w:tr w:rsidR="00E6695E" w:rsidRPr="00F4401F" w:rsidTr="00063074">
        <w:trPr>
          <w:trHeight w:val="177"/>
        </w:trPr>
        <w:tc>
          <w:tcPr>
            <w:tcW w:w="4116" w:type="dxa"/>
            <w:shd w:val="clear" w:color="auto" w:fill="auto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Умерло</w:t>
            </w:r>
          </w:p>
        </w:tc>
        <w:tc>
          <w:tcPr>
            <w:tcW w:w="1418" w:type="dxa"/>
            <w:shd w:val="clear" w:color="auto" w:fill="auto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1796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401F">
              <w:rPr>
                <w:color w:val="000000" w:themeColor="text1"/>
                <w:sz w:val="24"/>
                <w:szCs w:val="24"/>
              </w:rPr>
              <w:t>1713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401F">
              <w:rPr>
                <w:color w:val="000000" w:themeColor="text1"/>
                <w:sz w:val="24"/>
                <w:szCs w:val="24"/>
              </w:rPr>
              <w:t>3460</w:t>
            </w:r>
          </w:p>
        </w:tc>
      </w:tr>
      <w:tr w:rsidR="00E6695E" w:rsidRPr="00F4401F" w:rsidTr="00063074">
        <w:trPr>
          <w:trHeight w:val="465"/>
        </w:trPr>
        <w:tc>
          <w:tcPr>
            <w:tcW w:w="4116" w:type="dxa"/>
            <w:shd w:val="clear" w:color="auto" w:fill="auto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Коэффициент рождаемости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человек на 1000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401F">
              <w:rPr>
                <w:color w:val="000000" w:themeColor="text1"/>
                <w:sz w:val="24"/>
                <w:szCs w:val="24"/>
              </w:rPr>
              <w:t>10,70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401F">
              <w:rPr>
                <w:color w:val="000000" w:themeColor="text1"/>
                <w:sz w:val="24"/>
                <w:szCs w:val="24"/>
              </w:rPr>
              <w:t>10,88</w:t>
            </w:r>
          </w:p>
        </w:tc>
      </w:tr>
      <w:tr w:rsidR="00E6695E" w:rsidRPr="00F4401F" w:rsidTr="00063074">
        <w:trPr>
          <w:trHeight w:val="472"/>
        </w:trPr>
        <w:tc>
          <w:tcPr>
            <w:tcW w:w="4116" w:type="dxa"/>
            <w:shd w:val="clear" w:color="auto" w:fill="auto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Коэффициент смертности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человек на 1000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11,80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401F">
              <w:rPr>
                <w:color w:val="000000" w:themeColor="text1"/>
                <w:sz w:val="24"/>
                <w:szCs w:val="24"/>
              </w:rPr>
              <w:t>11,30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401F">
              <w:rPr>
                <w:color w:val="000000" w:themeColor="text1"/>
                <w:sz w:val="24"/>
                <w:szCs w:val="24"/>
              </w:rPr>
              <w:t>11,37</w:t>
            </w:r>
          </w:p>
        </w:tc>
      </w:tr>
      <w:tr w:rsidR="00E6695E" w:rsidRPr="00F4401F" w:rsidTr="00063074">
        <w:trPr>
          <w:trHeight w:val="480"/>
        </w:trPr>
        <w:tc>
          <w:tcPr>
            <w:tcW w:w="4116" w:type="dxa"/>
            <w:shd w:val="clear" w:color="auto" w:fill="auto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Коэффициент естественного прироста, убыли (-)</w:t>
            </w:r>
          </w:p>
        </w:tc>
        <w:tc>
          <w:tcPr>
            <w:tcW w:w="1418" w:type="dxa"/>
            <w:shd w:val="clear" w:color="auto" w:fill="auto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человек на 1000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-1,80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401F">
              <w:rPr>
                <w:color w:val="000000" w:themeColor="text1"/>
                <w:sz w:val="24"/>
                <w:szCs w:val="24"/>
              </w:rPr>
              <w:t>-0,6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-0,49</w:t>
            </w:r>
          </w:p>
        </w:tc>
      </w:tr>
      <w:tr w:rsidR="00E6695E" w:rsidRPr="00F4401F" w:rsidTr="00063074">
        <w:trPr>
          <w:trHeight w:val="489"/>
        </w:trPr>
        <w:tc>
          <w:tcPr>
            <w:tcW w:w="4116" w:type="dxa"/>
            <w:shd w:val="clear" w:color="auto" w:fill="auto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Коэффициент миграционного прироста</w:t>
            </w:r>
            <w:r w:rsidRPr="00450125">
              <w:rPr>
                <w:rStyle w:val="af"/>
                <w:color w:val="000000" w:themeColor="text1"/>
                <w:sz w:val="20"/>
              </w:rPr>
              <w:footnoteReference w:id="15"/>
            </w:r>
          </w:p>
        </w:tc>
        <w:tc>
          <w:tcPr>
            <w:tcW w:w="1418" w:type="dxa"/>
            <w:shd w:val="clear" w:color="auto" w:fill="auto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человек на 1000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401F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401F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401F">
              <w:rPr>
                <w:color w:val="000000" w:themeColor="text1"/>
                <w:sz w:val="24"/>
                <w:szCs w:val="24"/>
              </w:rPr>
              <w:t>-5,10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b/>
                <w:sz w:val="24"/>
                <w:szCs w:val="24"/>
              </w:rPr>
            </w:pPr>
            <w:r w:rsidRPr="00F4401F">
              <w:rPr>
                <w:b/>
                <w:sz w:val="24"/>
                <w:szCs w:val="24"/>
              </w:rPr>
              <w:t>2. Производство товаров и услуг</w:t>
            </w:r>
            <w:r w:rsidRPr="00450125">
              <w:rPr>
                <w:rStyle w:val="af"/>
                <w:b/>
                <w:sz w:val="20"/>
              </w:rPr>
              <w:footnoteReference w:id="16"/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b/>
                <w:sz w:val="24"/>
                <w:szCs w:val="24"/>
              </w:rPr>
            </w:pP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Объем промышленного производства (Раздел С: Добыча полезных ископаемых + Раздел D: Обрабатывающие производства + Раздел Е: Производство и распределение электроэнергии, газа и воды)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 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16916,46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18054,60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41598,95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 промышленного производства (Раздел С: Добыча полезных ископаемых  Раздел D: Обрабатывающие производства  Раздел Е: Производство и распределение электроэнергии, газа и воды)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100,58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107,22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104,16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lastRenderedPageBreak/>
              <w:t>Индекс-дефлятор (Раздел С: Добыча полезных ископаемых + Раздел D: Обрабатывающие производства + Раздел Е: Производство и распределение электроэнергии, газа и воды)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124,88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99,54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111,50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b/>
                <w:sz w:val="24"/>
                <w:szCs w:val="24"/>
              </w:rPr>
            </w:pPr>
            <w:r w:rsidRPr="00F4401F">
              <w:rPr>
                <w:b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– Раздел С: Добыча полезных ископаемых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 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8,96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 xml:space="preserve">Индекс производства – Раздел С: Добыча полезных ископаемых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91,73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29,99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28,34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Индекс-дефлятор – Раздел С: Добыча полезных ископаемых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145,22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108,70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115,80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b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– Раздел D: Обрабатывающие производства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 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12209,90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12748,50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31611,20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 производства – Раздел D: Обрабатывающие производства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103,09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105,01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Индекс-дефлятор – Раздел D: Обрабатывающие производства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120,80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98,36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110,04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– Подраздел DA: Производство пищевых продуктов, включая напитки, и табака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 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9987,00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11210,70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26517,55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 производства – Подраздел DA: Производство пищевых продуктов, включая напитки, и табака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93,81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104,42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102,75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Индекс-дефлятор – Подраздел DA: Производство пищевых продуктов, включая напитки, и табака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120,78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128,61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118,74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 xml:space="preserve">Объем отгруженных товаров собственного производства, </w:t>
            </w:r>
            <w:r w:rsidRPr="00F4401F">
              <w:rPr>
                <w:sz w:val="24"/>
                <w:szCs w:val="24"/>
              </w:rPr>
              <w:lastRenderedPageBreak/>
              <w:t>выполненных работ и услуг собственными силами – Подраздел DВ: Текстильное и швейное производство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lastRenderedPageBreak/>
              <w:t>млн. рублей в ценах соответствую</w:t>
            </w:r>
            <w:r w:rsidRPr="00F4401F">
              <w:rPr>
                <w:sz w:val="20"/>
              </w:rPr>
              <w:lastRenderedPageBreak/>
              <w:t>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lastRenderedPageBreak/>
              <w:t>13,10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22,78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37,78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lastRenderedPageBreak/>
              <w:t>Индекс производства – Подраздел DВ: Текстильное и швейное производство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77,01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74,89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76,20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Индекс-дефлятор – Подраздел DВ: Текстильное и швейное производство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118,82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113,91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186,42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– Подраздел DЕ: Целлюлозно-бумажное производство, издательская и полиграфическая деятельность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 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138,13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275,41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 производства – Подраздел DЕ: Целлюлозно-бумажное производство, издательская и полиграфическая деятельность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124,70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91,46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98,02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Индекс-дефлятор – Подраздел DЕ: Целлюлозно-бумажное производство, издательская и полиграфическая деятельность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75,14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103,74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105,67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– Подраздел DI: Производство прочих неметаллических минеральных продуктов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 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37,10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48,04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216,64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 производства - Подраздел DI: Производство прочих неметаллических минеральных продуктов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129,71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109,35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 – дефлятор - Подраздел DI: Производство прочих неметаллических минеральных продуктов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117,66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99,85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121,99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собственными силами – Подраздел DJ: Металлургическое производство и производство готовых металлических изделий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 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673,78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160,61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785,19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 xml:space="preserve">Индекс производства – Подраздел DJ: Металлургическое производство и производство готовых </w:t>
            </w:r>
            <w:r w:rsidRPr="00F4401F">
              <w:rPr>
                <w:sz w:val="24"/>
                <w:szCs w:val="24"/>
              </w:rPr>
              <w:lastRenderedPageBreak/>
              <w:t xml:space="preserve">металлических изделий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lastRenderedPageBreak/>
              <w:t xml:space="preserve">в % к аналогичному периоду </w:t>
            </w:r>
            <w:r w:rsidRPr="00F4401F">
              <w:rPr>
                <w:sz w:val="20"/>
              </w:rPr>
              <w:lastRenderedPageBreak/>
              <w:t>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lastRenderedPageBreak/>
              <w:t>196,42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46,06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84,78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lastRenderedPageBreak/>
              <w:t>Индекс-дефлятор – Подраздел DJ: Металлургическое производство и производство готовых металлических изделий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272,03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51,75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103,80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силами: Производство машин и оборудования без производства оружия и боеприпасов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 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38,50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8,05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34,38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 производства: Производство машин и оборудования без производства оружия и боеприпасов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113,80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20,39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50,96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Индекс-дефлятор: Производство машин и оборудования без производства оружия и боеприпасов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105,45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87,57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105,90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собственными силами – Подраздел DL:  Производство  электрооборудования, электронного и оптического оборудования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 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52,10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130,71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419,71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 xml:space="preserve">Индекс производства – Подраздел DL:  Производство  электрооборудования, электронного и оптического оборудования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92,81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282,20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259,57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 xml:space="preserve">Индекс-дефлятор – Подраздел DL:  Производство  электрооборудования, электронного и оптического оборудования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79,41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88,87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91,04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собственными силами – Подраздел DM: Производство транспортных средств и оборудования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 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736,49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577,16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1178,94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 производства – Подраздел DM: Производство транспортных средств и оборудования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167,35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55,35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57,88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Индекс-дефлятор – Подраздел DM: Производство транспортных средств и оборудования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101,09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141,58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136,00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</w:t>
            </w:r>
            <w:r w:rsidRPr="00F4401F">
              <w:rPr>
                <w:sz w:val="24"/>
                <w:szCs w:val="24"/>
              </w:rPr>
              <w:lastRenderedPageBreak/>
              <w:t>собственными силами – Подраздел DN: Прочие производства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lastRenderedPageBreak/>
              <w:t>млн. рублей в ценах соответствую</w:t>
            </w:r>
            <w:r w:rsidRPr="00F4401F">
              <w:rPr>
                <w:sz w:val="20"/>
              </w:rPr>
              <w:lastRenderedPageBreak/>
              <w:t>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lastRenderedPageBreak/>
              <w:t>72,23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144,90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1168,00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lastRenderedPageBreak/>
              <w:t>Индекс производства - Подраздел DN: Прочие производства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178,75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321,59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250,90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 – дефлятор -  Подраздел DN: Прочие производства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110,04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62,38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74,01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b/>
                <w:sz w:val="24"/>
                <w:szCs w:val="24"/>
              </w:rPr>
            </w:pPr>
            <w:r w:rsidRPr="00F4401F">
              <w:rPr>
                <w:b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b/>
                <w:sz w:val="24"/>
                <w:szCs w:val="24"/>
              </w:rPr>
            </w:pP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– Раздел Е: Производство и распределение электроэнергии, газа и воды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 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4697,96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5303,30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9978,79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 производства – Раздел Е: Производство и распределение электроэнергии, газа и воды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99,53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117,19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101,51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Индекс-дефлятор – Раздел Е: Производство и распределение электроэнергии, газа и воды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116,08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98,39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116,54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b/>
                <w:sz w:val="24"/>
                <w:szCs w:val="24"/>
              </w:rPr>
              <w:t>3. Рыболовство</w:t>
            </w:r>
            <w:r w:rsidRPr="00450125">
              <w:rPr>
                <w:rStyle w:val="af"/>
                <w:b/>
                <w:sz w:val="20"/>
              </w:rPr>
              <w:footnoteReference w:id="17"/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- РАЗДЕЛ B: Рыболовство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26,40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 производства -  РАЗДЕЛ B: Рыболовство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предыдущему году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99,40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101,23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100,05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 – дефлятор -  РАЗДЕЛ B: Рыболовство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предыдущему году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116,26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182,65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218,07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b/>
                <w:sz w:val="24"/>
                <w:szCs w:val="24"/>
              </w:rPr>
              <w:t>4. Инвестиции и строительство</w:t>
            </w:r>
            <w:r w:rsidRPr="00450125">
              <w:rPr>
                <w:rStyle w:val="af"/>
                <w:b/>
                <w:sz w:val="20"/>
              </w:rPr>
              <w:footnoteReference w:id="18"/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Объем инвестиций (в основной капитал) за счет всех источников финансирования – всего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 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2215,00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3992,09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27575,03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96,10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109,70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131,33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 xml:space="preserve">в % к аналогичному периоду прошлого </w:t>
            </w:r>
            <w:r w:rsidRPr="00F4401F">
              <w:rPr>
                <w:sz w:val="20"/>
              </w:rPr>
              <w:lastRenderedPageBreak/>
              <w:t>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lastRenderedPageBreak/>
              <w:t>104,80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164,29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108,30</w:t>
            </w:r>
          </w:p>
        </w:tc>
      </w:tr>
      <w:tr w:rsidR="00E6695E" w:rsidRPr="00F4401F" w:rsidTr="00063074">
        <w:trPr>
          <w:trHeight w:val="391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lastRenderedPageBreak/>
              <w:t>Инвестиции в основной капитал  по источникам финансирования: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 xml:space="preserve">             из них: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- средства федерального бюджета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 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136,08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1589,00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9211,01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- средства бюджета субъекта Федерации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 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143,27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231,45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1135,65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- средства муниципального бюджета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 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95,12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39,44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600,88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Собственные средства предприятий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 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1370,39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1794,71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12674,94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 xml:space="preserve">Объем выполненных работ по виду деятельности «Строительство»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807,20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310,10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3761,33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204,00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36,70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201,47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к аналогичному периоду прошлого года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96,18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104,68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108,50</w:t>
            </w:r>
          </w:p>
        </w:tc>
      </w:tr>
      <w:tr w:rsidR="00E6695E" w:rsidRPr="00F4401F" w:rsidTr="00063074">
        <w:trPr>
          <w:trHeight w:val="300"/>
        </w:trPr>
        <w:tc>
          <w:tcPr>
            <w:tcW w:w="4116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rPr>
                <w:b/>
                <w:sz w:val="24"/>
                <w:szCs w:val="24"/>
              </w:rPr>
            </w:pPr>
            <w:r w:rsidRPr="00F4401F">
              <w:rPr>
                <w:b/>
                <w:sz w:val="24"/>
                <w:szCs w:val="24"/>
              </w:rPr>
              <w:t>5. Сальдированный финансовый результат (прибыль, убыток) деятельности крупных и средних предприятий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млн. рублей в ценах соответствующих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3714,10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1869,70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3673,98</w:t>
            </w:r>
          </w:p>
        </w:tc>
      </w:tr>
      <w:tr w:rsidR="00E6695E" w:rsidRPr="00F4401F" w:rsidTr="00063074">
        <w:trPr>
          <w:trHeight w:val="315"/>
        </w:trPr>
        <w:tc>
          <w:tcPr>
            <w:tcW w:w="4116" w:type="dxa"/>
            <w:shd w:val="clear" w:color="auto" w:fill="auto"/>
            <w:hideMark/>
          </w:tcPr>
          <w:p w:rsidR="00E6695E" w:rsidRPr="00F4401F" w:rsidRDefault="00E6695E" w:rsidP="00063074">
            <w:pPr>
              <w:rPr>
                <w:b/>
                <w:bCs/>
                <w:sz w:val="24"/>
                <w:szCs w:val="24"/>
              </w:rPr>
            </w:pPr>
            <w:r w:rsidRPr="00F4401F">
              <w:rPr>
                <w:b/>
                <w:bCs/>
                <w:sz w:val="24"/>
                <w:szCs w:val="24"/>
              </w:rPr>
              <w:t>6. Труд и занятость</w:t>
            </w:r>
          </w:p>
        </w:tc>
        <w:tc>
          <w:tcPr>
            <w:tcW w:w="1418" w:type="dxa"/>
            <w:shd w:val="clear" w:color="auto" w:fill="auto"/>
            <w:hideMark/>
          </w:tcPr>
          <w:p w:rsidR="00E6695E" w:rsidRPr="00F4401F" w:rsidRDefault="00E6695E" w:rsidP="0006307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sz w:val="24"/>
                <w:szCs w:val="24"/>
              </w:rPr>
            </w:pPr>
          </w:p>
        </w:tc>
      </w:tr>
      <w:tr w:rsidR="00E6695E" w:rsidRPr="00F4401F" w:rsidTr="00063074">
        <w:trPr>
          <w:trHeight w:val="466"/>
        </w:trPr>
        <w:tc>
          <w:tcPr>
            <w:tcW w:w="4116" w:type="dxa"/>
            <w:shd w:val="clear" w:color="auto" w:fill="auto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Численность населения в трудоспособном возрасте</w:t>
            </w:r>
            <w:r w:rsidRPr="00450125">
              <w:rPr>
                <w:rStyle w:val="af"/>
                <w:color w:val="000000"/>
                <w:sz w:val="20"/>
              </w:rPr>
              <w:footnoteReference w:id="19"/>
            </w:r>
          </w:p>
        </w:tc>
        <w:tc>
          <w:tcPr>
            <w:tcW w:w="1418" w:type="dxa"/>
            <w:shd w:val="clear" w:color="auto" w:fill="auto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тыс. человек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193,26</w:t>
            </w:r>
          </w:p>
        </w:tc>
      </w:tr>
      <w:tr w:rsidR="00E6695E" w:rsidRPr="00F4401F" w:rsidTr="00063074">
        <w:trPr>
          <w:trHeight w:val="758"/>
        </w:trPr>
        <w:tc>
          <w:tcPr>
            <w:tcW w:w="4116" w:type="dxa"/>
            <w:shd w:val="clear" w:color="auto" w:fill="auto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Численность безработных, зарегистрированных в службах занятости, в среднем за год</w:t>
            </w:r>
          </w:p>
        </w:tc>
        <w:tc>
          <w:tcPr>
            <w:tcW w:w="1418" w:type="dxa"/>
            <w:shd w:val="clear" w:color="auto" w:fill="auto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тыс. человек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401F">
              <w:rPr>
                <w:color w:val="000000" w:themeColor="text1"/>
                <w:sz w:val="24"/>
                <w:szCs w:val="24"/>
              </w:rPr>
              <w:t>2,81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401F">
              <w:rPr>
                <w:color w:val="000000" w:themeColor="text1"/>
                <w:sz w:val="24"/>
                <w:szCs w:val="24"/>
              </w:rPr>
              <w:t>1,99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401F">
              <w:rPr>
                <w:color w:val="000000" w:themeColor="text1"/>
                <w:sz w:val="24"/>
                <w:szCs w:val="24"/>
              </w:rPr>
              <w:t>2,10</w:t>
            </w:r>
          </w:p>
        </w:tc>
      </w:tr>
      <w:tr w:rsidR="00E6695E" w:rsidRPr="00F4401F" w:rsidTr="00063074">
        <w:trPr>
          <w:trHeight w:val="488"/>
        </w:trPr>
        <w:tc>
          <w:tcPr>
            <w:tcW w:w="4116" w:type="dxa"/>
            <w:shd w:val="clear" w:color="auto" w:fill="auto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Уровень зарегистрированной безработицы (на конец периода)</w:t>
            </w:r>
            <w:r w:rsidRPr="00450125">
              <w:rPr>
                <w:rStyle w:val="af"/>
                <w:color w:val="000000"/>
                <w:sz w:val="20"/>
              </w:rPr>
              <w:footnoteReference w:id="20"/>
            </w:r>
          </w:p>
        </w:tc>
        <w:tc>
          <w:tcPr>
            <w:tcW w:w="1418" w:type="dxa"/>
            <w:shd w:val="clear" w:color="auto" w:fill="auto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E6695E" w:rsidRPr="00F4401F" w:rsidTr="00063074">
        <w:trPr>
          <w:trHeight w:val="645"/>
        </w:trPr>
        <w:tc>
          <w:tcPr>
            <w:tcW w:w="4116" w:type="dxa"/>
            <w:shd w:val="clear" w:color="auto" w:fill="auto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Среднесписочная численность работников организаций  без внешних совместителей</w:t>
            </w:r>
            <w:r w:rsidRPr="00450125">
              <w:rPr>
                <w:rStyle w:val="af"/>
                <w:sz w:val="20"/>
              </w:rPr>
              <w:footnoteReference w:id="21"/>
            </w:r>
          </w:p>
        </w:tc>
        <w:tc>
          <w:tcPr>
            <w:tcW w:w="1418" w:type="dxa"/>
            <w:shd w:val="clear" w:color="auto" w:fill="auto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тыс. человек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104,94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101,10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100,45</w:t>
            </w:r>
          </w:p>
        </w:tc>
      </w:tr>
      <w:tr w:rsidR="00E6695E" w:rsidRPr="00F4401F" w:rsidTr="00063074">
        <w:trPr>
          <w:trHeight w:val="286"/>
        </w:trPr>
        <w:tc>
          <w:tcPr>
            <w:tcW w:w="4116" w:type="dxa"/>
            <w:shd w:val="clear" w:color="auto" w:fill="auto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Среднемесячная номинальная начисленная заработная плата работников организаций</w:t>
            </w:r>
            <w:r w:rsidRPr="00450125">
              <w:rPr>
                <w:rStyle w:val="af"/>
                <w:sz w:val="20"/>
              </w:rPr>
              <w:footnoteReference w:id="22"/>
            </w:r>
          </w:p>
        </w:tc>
        <w:tc>
          <w:tcPr>
            <w:tcW w:w="1418" w:type="dxa"/>
            <w:shd w:val="clear" w:color="auto" w:fill="auto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рублей в ценах соответст</w:t>
            </w:r>
            <w:r>
              <w:rPr>
                <w:sz w:val="20"/>
              </w:rPr>
              <w:t>-</w:t>
            </w:r>
            <w:r w:rsidRPr="00F4401F">
              <w:rPr>
                <w:sz w:val="20"/>
              </w:rPr>
              <w:t>ву</w:t>
            </w:r>
            <w:r>
              <w:rPr>
                <w:sz w:val="20"/>
              </w:rPr>
              <w:t>ю</w:t>
            </w:r>
            <w:r w:rsidRPr="00F4401F">
              <w:rPr>
                <w:sz w:val="20"/>
              </w:rPr>
              <w:t>щих лет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34561,30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40658,50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41792,82</w:t>
            </w:r>
          </w:p>
        </w:tc>
      </w:tr>
      <w:tr w:rsidR="00E6695E" w:rsidRPr="00F4401F" w:rsidTr="00063074">
        <w:trPr>
          <w:trHeight w:val="630"/>
        </w:trPr>
        <w:tc>
          <w:tcPr>
            <w:tcW w:w="4116" w:type="dxa"/>
            <w:shd w:val="clear" w:color="auto" w:fill="auto"/>
            <w:hideMark/>
          </w:tcPr>
          <w:p w:rsidR="00E6695E" w:rsidRPr="00F4401F" w:rsidRDefault="00E6695E" w:rsidP="00063074">
            <w:pPr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lastRenderedPageBreak/>
              <w:t>Среднемесячная реальная заработная плата работников организаций</w:t>
            </w:r>
            <w:r w:rsidRPr="00450125">
              <w:rPr>
                <w:rStyle w:val="af"/>
                <w:sz w:val="20"/>
              </w:rPr>
              <w:footnoteReference w:id="23"/>
            </w:r>
          </w:p>
        </w:tc>
        <w:tc>
          <w:tcPr>
            <w:tcW w:w="1418" w:type="dxa"/>
            <w:shd w:val="clear" w:color="auto" w:fill="auto"/>
            <w:hideMark/>
          </w:tcPr>
          <w:p w:rsidR="00E6695E" w:rsidRPr="00F4401F" w:rsidRDefault="00E6695E" w:rsidP="00063074">
            <w:pPr>
              <w:jc w:val="center"/>
              <w:rPr>
                <w:sz w:val="20"/>
              </w:rPr>
            </w:pPr>
            <w:r w:rsidRPr="00F4401F">
              <w:rPr>
                <w:sz w:val="20"/>
              </w:rPr>
              <w:t>в % предыду-щему периоду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color w:val="000000"/>
                <w:sz w:val="24"/>
                <w:szCs w:val="24"/>
              </w:rPr>
            </w:pPr>
            <w:r w:rsidRPr="00F4401F">
              <w:rPr>
                <w:color w:val="000000"/>
                <w:sz w:val="24"/>
                <w:szCs w:val="24"/>
              </w:rPr>
              <w:t>98,81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114,10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695E" w:rsidRPr="00F4401F" w:rsidRDefault="00E6695E" w:rsidP="00063074">
            <w:pPr>
              <w:jc w:val="center"/>
              <w:rPr>
                <w:sz w:val="24"/>
                <w:szCs w:val="24"/>
              </w:rPr>
            </w:pPr>
            <w:r w:rsidRPr="00F4401F">
              <w:rPr>
                <w:sz w:val="24"/>
                <w:szCs w:val="24"/>
              </w:rPr>
              <w:t>108,24</w:t>
            </w:r>
          </w:p>
        </w:tc>
      </w:tr>
    </w:tbl>
    <w:p w:rsidR="00E6695E" w:rsidRDefault="00E6695E" w:rsidP="00E6695E">
      <w:pPr>
        <w:spacing w:after="200" w:line="276" w:lineRule="auto"/>
        <w:rPr>
          <w:sz w:val="24"/>
          <w:szCs w:val="24"/>
        </w:rPr>
      </w:pPr>
    </w:p>
    <w:p w:rsidR="00E6695E" w:rsidRPr="00545EB2" w:rsidRDefault="00E6695E" w:rsidP="00E6695E">
      <w:pPr>
        <w:ind w:firstLine="709"/>
        <w:jc w:val="both"/>
        <w:rPr>
          <w:szCs w:val="28"/>
        </w:rPr>
      </w:pPr>
      <w:r w:rsidRPr="00545EB2">
        <w:rPr>
          <w:szCs w:val="28"/>
        </w:rPr>
        <w:t xml:space="preserve">Пояснения к </w:t>
      </w:r>
      <w:r>
        <w:t>п</w:t>
      </w:r>
      <w:r w:rsidRPr="003C6C00">
        <w:t>редварительны</w:t>
      </w:r>
      <w:r>
        <w:t>м итогам</w:t>
      </w:r>
      <w:r w:rsidRPr="003C6C00">
        <w:t xml:space="preserve"> социально-экономического развития муниципального образования город Мурманск за первое полугодие</w:t>
      </w:r>
      <w:r>
        <w:t xml:space="preserve"> </w:t>
      </w:r>
      <w:r w:rsidRPr="003C6C00">
        <w:t>201</w:t>
      </w:r>
      <w:r>
        <w:t>2 года и ожидаемым итогам</w:t>
      </w:r>
      <w:r w:rsidRPr="003C6C00">
        <w:t xml:space="preserve"> социально-экономического развития за 201</w:t>
      </w:r>
      <w:r>
        <w:t>2</w:t>
      </w:r>
      <w:r w:rsidRPr="003C6C00">
        <w:t xml:space="preserve"> год</w:t>
      </w:r>
      <w:r w:rsidRPr="00545EB2">
        <w:rPr>
          <w:szCs w:val="28"/>
        </w:rPr>
        <w:t xml:space="preserve"> приведены в приложении.</w:t>
      </w:r>
    </w:p>
    <w:p w:rsidR="00E6695E" w:rsidRPr="006D536D" w:rsidRDefault="00E6695E" w:rsidP="00E6695E">
      <w:pPr>
        <w:jc w:val="right"/>
        <w:rPr>
          <w:szCs w:val="28"/>
        </w:rPr>
      </w:pPr>
      <w:r w:rsidRPr="00C4266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5.95pt;margin-top:40.9pt;width:128pt;height:0;z-index:251660288" o:connectortype="straight"/>
        </w:pict>
      </w:r>
    </w:p>
    <w:p w:rsidR="00E6695E" w:rsidRDefault="00E6695E" w:rsidP="00E6695E">
      <w:pPr>
        <w:ind w:firstLine="709"/>
        <w:jc w:val="both"/>
        <w:rPr>
          <w:vanish/>
          <w:sz w:val="22"/>
        </w:rPr>
        <w:sectPr w:rsidR="00E6695E" w:rsidSect="00D9118D">
          <w:headerReference w:type="default" r:id="rId16"/>
          <w:pgSz w:w="11906" w:h="16838"/>
          <w:pgMar w:top="851" w:right="851" w:bottom="567" w:left="1418" w:header="709" w:footer="709" w:gutter="0"/>
          <w:cols w:space="708"/>
          <w:titlePg/>
          <w:docGrid w:linePitch="381"/>
        </w:sectPr>
      </w:pPr>
    </w:p>
    <w:tbl>
      <w:tblPr>
        <w:tblW w:w="0" w:type="auto"/>
        <w:tblLook w:val="04A0"/>
      </w:tblPr>
      <w:tblGrid>
        <w:gridCol w:w="4566"/>
        <w:gridCol w:w="5287"/>
      </w:tblGrid>
      <w:tr w:rsidR="00E6695E" w:rsidTr="00063074">
        <w:tc>
          <w:tcPr>
            <w:tcW w:w="4926" w:type="dxa"/>
          </w:tcPr>
          <w:p w:rsidR="00E6695E" w:rsidRPr="00B51361" w:rsidRDefault="00E6695E" w:rsidP="00063074">
            <w:pPr>
              <w:jc w:val="right"/>
              <w:rPr>
                <w:szCs w:val="28"/>
              </w:rPr>
            </w:pPr>
          </w:p>
        </w:tc>
        <w:tc>
          <w:tcPr>
            <w:tcW w:w="5530" w:type="dxa"/>
          </w:tcPr>
          <w:p w:rsidR="00E6695E" w:rsidRPr="00B51361" w:rsidRDefault="00E6695E" w:rsidP="00063074">
            <w:pPr>
              <w:jc w:val="center"/>
              <w:rPr>
                <w:szCs w:val="28"/>
              </w:rPr>
            </w:pPr>
            <w:r w:rsidRPr="00B51361">
              <w:rPr>
                <w:szCs w:val="28"/>
              </w:rPr>
              <w:t xml:space="preserve">Приложение </w:t>
            </w:r>
          </w:p>
          <w:p w:rsidR="00E6695E" w:rsidRPr="00B51361" w:rsidRDefault="00E6695E" w:rsidP="00063074">
            <w:pPr>
              <w:jc w:val="center"/>
              <w:rPr>
                <w:szCs w:val="28"/>
              </w:rPr>
            </w:pPr>
            <w:r w:rsidRPr="00B51361">
              <w:rPr>
                <w:szCs w:val="28"/>
              </w:rPr>
              <w:t xml:space="preserve">к </w:t>
            </w:r>
            <w:r>
              <w:t>п</w:t>
            </w:r>
            <w:r w:rsidRPr="003C6C00">
              <w:t>редварительны</w:t>
            </w:r>
            <w:r>
              <w:t>м итогам</w:t>
            </w:r>
            <w:r w:rsidRPr="003C6C00">
              <w:t xml:space="preserve"> социально-экономического развития муниципального образования город Мурманск за первое полугодие</w:t>
            </w:r>
            <w:r>
              <w:t xml:space="preserve"> </w:t>
            </w:r>
            <w:r w:rsidRPr="003C6C00">
              <w:t>201</w:t>
            </w:r>
            <w:r>
              <w:t>2 года и ожидаемым итогам</w:t>
            </w:r>
            <w:r w:rsidRPr="003C6C00">
              <w:t xml:space="preserve"> социально-экономического развития за 201</w:t>
            </w:r>
            <w:r>
              <w:t>2</w:t>
            </w:r>
            <w:r w:rsidRPr="003C6C00">
              <w:t xml:space="preserve"> год</w:t>
            </w:r>
          </w:p>
        </w:tc>
      </w:tr>
    </w:tbl>
    <w:p w:rsidR="00E6695E" w:rsidRDefault="00E6695E" w:rsidP="00E6695E">
      <w:pPr>
        <w:jc w:val="center"/>
        <w:outlineLvl w:val="0"/>
        <w:rPr>
          <w:b/>
          <w:bCs/>
          <w:szCs w:val="28"/>
        </w:rPr>
      </w:pPr>
    </w:p>
    <w:p w:rsidR="00E6695E" w:rsidRDefault="00E6695E" w:rsidP="00E6695E">
      <w:pPr>
        <w:jc w:val="center"/>
        <w:outlineLvl w:val="0"/>
        <w:rPr>
          <w:b/>
          <w:bCs/>
          <w:szCs w:val="28"/>
        </w:rPr>
      </w:pPr>
    </w:p>
    <w:p w:rsidR="00E6695E" w:rsidRPr="002F7DCC" w:rsidRDefault="00E6695E" w:rsidP="00E6695E">
      <w:pPr>
        <w:jc w:val="center"/>
        <w:outlineLvl w:val="0"/>
        <w:rPr>
          <w:b/>
          <w:bCs/>
          <w:szCs w:val="28"/>
        </w:rPr>
      </w:pPr>
      <w:r w:rsidRPr="002F7DCC">
        <w:rPr>
          <w:b/>
          <w:bCs/>
          <w:szCs w:val="28"/>
        </w:rPr>
        <w:t>Пояснительная записка к предварительным итогам социально-экономического развития муниципального образования город Мурманск за первое полугодие 2012 года и ожидаемым итогам социально-экономического развития за 2012 год</w:t>
      </w:r>
    </w:p>
    <w:p w:rsidR="00E6695E" w:rsidRPr="000456CF" w:rsidRDefault="00E6695E" w:rsidP="00E6695E">
      <w:pPr>
        <w:pStyle w:val="1"/>
        <w:rPr>
          <w:caps w:val="0"/>
          <w:kern w:val="32"/>
          <w:sz w:val="28"/>
          <w:szCs w:val="28"/>
        </w:rPr>
      </w:pPr>
      <w:r w:rsidRPr="000456CF">
        <w:rPr>
          <w:caps w:val="0"/>
          <w:kern w:val="32"/>
          <w:sz w:val="28"/>
          <w:szCs w:val="28"/>
        </w:rPr>
        <w:t>Демографические показатели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Сокращение численности населения города Мурманска продолжает оставаться одной из основных проблем  социально-экономического развития муниципального образования. В 2011 году численность мурманчан составила 305,97 тыс. человек, сократившись к уровню предыдущего года на 0,76%. В 2012 году ожидается уменьшение числе</w:t>
      </w:r>
      <w:r>
        <w:rPr>
          <w:szCs w:val="28"/>
        </w:rPr>
        <w:t>нности населения до 304,18 тыс. </w:t>
      </w:r>
      <w:r w:rsidRPr="002F7DCC">
        <w:rPr>
          <w:szCs w:val="28"/>
        </w:rPr>
        <w:t xml:space="preserve">человек. 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По итогам первого полугодия текущего года родилось 1628 человек, что на 104 человека больше, чем в аналогичном периоде предыдущего года, умерло 1713 человек – на 83 человека меньше. Соответственно коэффициенты естественного движения населения изменились в положительную сторону: уровень рождаемости увеличился с 10,0 до 10,7 человек на 1000 населения, коэффициент смертности сократился с 11,8 до 11,3 человек на 1000 населения, уровень естественной убыли населения сократился в 3 раза – до 0,6 человек на 1000 населения. К концу 2012 года ожидается улучшение значений показателей естественного движения населения, однако в связи с ожидаемым сокращением численности населения за текущий год на 1785 человек, значения коэффициентов рождаемости и смертности увеличатся соответственно до 10,88 и 10,37 человек на 1000 населения.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Основной причиной сокращения численности населения города является миграционный отток. В рамках ФЦП «Жилище» на 2011-2015 годы в текущем году продолжается реализация мероприятий по предоставлению жилищных субсидий гражданам, выезжающим из районов Крайнего Севера и приравненных к ним местностей, однако в соответствии с федеральным бюджетом на 2012 год и плановый период 2013-2014 годов запланировано сокращение бюджетных ассигнований на данные цели Мурманской области в текущем году на 54% к уровню предыдущего года. К концу года ожидается сокращение уровня миграционного оттока до 5,1 человек на 1000 населения  (на 0,14 п.п. к уровню 2011 года).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lastRenderedPageBreak/>
        <w:t>На улучшение демографической ситуации в городе направлены целевые программы, в рамках которых оказывается государственная поддержка молодых семей в решении жилищной проблемы, программы, направленные на совершенствование муниципального здравоохранения, в т.ч. первичной медицинской помощи, укрепление материально-технической базы учреждений здравоохранения, поддержку социально-незащищенных слоев населения, развитие физической культуры и спорта и т.д.</w:t>
      </w:r>
    </w:p>
    <w:p w:rsidR="00E6695E" w:rsidRPr="000456CF" w:rsidRDefault="00E6695E" w:rsidP="00E6695E">
      <w:pPr>
        <w:pStyle w:val="1"/>
        <w:rPr>
          <w:caps w:val="0"/>
          <w:kern w:val="32"/>
          <w:sz w:val="28"/>
          <w:szCs w:val="28"/>
        </w:rPr>
      </w:pPr>
      <w:r w:rsidRPr="000456CF">
        <w:rPr>
          <w:caps w:val="0"/>
          <w:kern w:val="32"/>
          <w:sz w:val="28"/>
          <w:szCs w:val="28"/>
        </w:rPr>
        <w:t>Производство товаров и услуг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В 2012 году наблюдается динамичное развитие промышленности города, главным образом за счет обрабатывающих производств и производства и распределения электроэнергии, газа и воды. За 6 месяцев текущего года отмечается рост промышленного производства до 107% против 100,6% в аналогичном периоде прошлого года (по области за январь-июнь 2012 года – 102,4% против 115,7% в аналогичном периоде прошлого года). 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Согласно данным Мурманскстата добыча строительных нерудных материалов по области продолжает расти и в январе-июне 2012 года увеличилась на 28,6% (индекс промышленного производства составил 147,6% против 112,6% в аналогичном периоде прошлого года). В Мурманске в связи со значительным спадом промышленного производства в сфере добычи гравия, песка и глины в результате прекращения добычи песчано-гравийной смеси Комбинатом «Стройконструкция» и ММУП «Трест «Спецдорстрой» в январе-июне 2012 года по результатам  2012 года ожидается снижение производственных показателей - индекс производства оценочно составит 28,3%. 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Развитие пищевой промышленности города Мурманска, как и области в целом, зависит в большей степени от состояния рыбоперерабатывающей промышленности, определяющей на 85% результаты деятельности пищевых производств города Мурманска (пищевая промышленность области зависит на 80% от рыбопереработки). На долю мясной промышленности приходится более 5% отгруженной пищевой продукции предприятиями города, менее 5% составляет производство хлебопекарной и кондитерской продукции, также менее 5% приходится на мукомольно-крупяную промышленность.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Рост производственных показателей пищевой промышленности города обусловлен увеличением объема инвестиций по итогам 2011 года в 2,5 раза, в том числе в 2,2 раза за счет собственных средств, и сопровождается дальнейшим ростом капиталовложений в производство пищевых продуктов в первом полугодии 2012 года в 1,4 раза до 60,4 млн. рублей (в 1 квартале 2012 года в 5,4 раза к аналогичному периоду прошлого года), обеспечившим общий рост инвестиций в сфере обрабатывающих производств на 3,8% до 78,5 млн. рублей.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Наиболее динамичное развитие  в отчетном периоде отмечается в мясной и хлебопекарной промышленности, на долю которых пришелся основной объем инвестиций в производство пищевых продуктов в 2011 году - 34,5% и 22,5% </w:t>
      </w:r>
      <w:r w:rsidRPr="002F7DCC">
        <w:rPr>
          <w:szCs w:val="28"/>
        </w:rPr>
        <w:lastRenderedPageBreak/>
        <w:t>соответственно. На фоне ежегодного снижения производства колбасных изделий значительный рост в мясной промышленности с 2010 года обусловлен увеличением объемов выпуска мясных полуфабрикатов (рост производственных показателей в натуральном выражении в первом полугодии 2012 года составил 111,5% к уровню аналогичного периода прошлого года), главным образом, охлажденных (в 2011 году рост в 1,6 раза, замороженных – на 5,8%). В результате чего доля охлажденных полуфабрикатов в общем объеме производства мясных полуфабрикатов увеличилась почти на 10% (с 55% в 2010 году до 64 в 2011). После длительного спада в текущем году отмечен рост производства колбасных изделий (112,1% к январю-июню 2011 года). Индекс промышленного производства с учетом среднеобластного дефлятора в мясной промышленности в первом полугодии 2012 года оценочно составил 111,35% и по итогам года с учетом прогнозных оценок ведущего местного производителя и ежемесячным замедлением темпов роста во второй половине 2012 года ожидается значение показателя на уровне около 105%.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Сохраняются высокие темпы роста производства хлеба и хлебобулочных изделий и структура выпускаемой хлебопродукции, две трети которой составляет хлеб ржаной и ржано-пшеничный. В первой половине 2012 года объем выпуска хлебопекарной продукции в натуральном выражении уже увеличился на 7% к уровню аналогичного периода прошлого года (по итогам 2011 года на 10%, 2010 – на 5%). Также</w:t>
      </w:r>
      <w:r>
        <w:rPr>
          <w:szCs w:val="28"/>
        </w:rPr>
        <w:t>,</w:t>
      </w:r>
      <w:r w:rsidRPr="002F7DCC">
        <w:rPr>
          <w:szCs w:val="28"/>
        </w:rPr>
        <w:t xml:space="preserve"> в первом полугодии 2012 года отмечен рост инвестиций в хлебопекарной промышленности в 1,6 раза до 8,8 млн. рублей. Несмотря на закрытие кондитерского цеха «Мелифаро» производство кондитерской продукции, пользующейся спросом у населения, согласно данным производственных предприятий, продолжает расти. В 2013 году планируется открытие нового кондитерского цеха на ул. Свердлова, 5 площадью около 1,5 </w:t>
      </w:r>
      <w:r>
        <w:rPr>
          <w:szCs w:val="28"/>
        </w:rPr>
        <w:t>тыс. кв.м</w:t>
      </w:r>
      <w:r w:rsidRPr="002F7DCC">
        <w:rPr>
          <w:szCs w:val="28"/>
        </w:rPr>
        <w:t xml:space="preserve">. По оценкам ведущих производителей города, рост производства кондитерских изделий, на которые цена за тонну продукции в 5-6 </w:t>
      </w:r>
      <w:r>
        <w:rPr>
          <w:szCs w:val="28"/>
        </w:rPr>
        <w:t xml:space="preserve">раз </w:t>
      </w:r>
      <w:r w:rsidRPr="002F7DCC">
        <w:rPr>
          <w:szCs w:val="28"/>
        </w:rPr>
        <w:t>превышает среднюю цену за тонну хлебопродукции, по итогам 2012 года составит около 121%, что в большой степени повлияет на индекс производства хлебопекарной промышленности, который уже в первой половине текущего года с учетом среднеобластных дефляторов оценочно составил 108,5%, что превышает уровень на конец 2011 года (105,9%). Из-за сухой погоды и неурожая зерновых, в связи со значительным ростом цен на муку (в 1,5 раза за 2 летних месяца до 15 тыс. рублей за тонну), отмечаемым экспертами Российского союза пекарей, с сентября 2012 года ожидается повышение цен на хлеб на 10-15%, что обеспечит рост объема отгруженной продукции предприятий хлебопекарной промышленности к концу 2012 года почти на 16%.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Сохраняется тенденция снижения объема выпуска муки (90% по оценке производителей в 2012 году против 96% в 2011 году) и круп (86,3% против незначительного роста в 2011 году). На фоне снижения в 2011 году (85%) по итогам 2012 года ожидается сохранение объема производства комбикормов на уровне предыдущего  года. Значительный рост цен на зерно и муку в текущем </w:t>
      </w:r>
      <w:r w:rsidRPr="002F7DCC">
        <w:rPr>
          <w:szCs w:val="28"/>
        </w:rPr>
        <w:lastRenderedPageBreak/>
        <w:t>году обеспечит рост объема отгруженной продукции предприятий мукомольно-крупяной и комбикормовой промышленности к концу 2012 года на 10,2%.</w:t>
      </w:r>
    </w:p>
    <w:p w:rsidR="00E6695E" w:rsidRPr="002F7DCC" w:rsidRDefault="00E6695E" w:rsidP="00E6695E">
      <w:pPr>
        <w:ind w:firstLine="709"/>
        <w:jc w:val="both"/>
      </w:pPr>
      <w:r w:rsidRPr="002F7DCC">
        <w:rPr>
          <w:szCs w:val="28"/>
        </w:rPr>
        <w:t>Темпы развития рыбоперерабатывающей промышленности опережают рост показателей деятельности рыболовства. Рост промышленного производства в сфере рыболовства, рыбоводства в первом полугодии 2012 года (индекс производства с учетом среднеобластного дефлятора оценочно составил 101,23%) обеспечил рост производственных показателей рыбоперерабатывающих предприятий (индекс промышленного производства с учетом среднеобластного дефлятора оценочно составил 103,9%). Наиболее заметно увеличение глубины переработки рыбопродукции в составе экспорта. Н</w:t>
      </w:r>
      <w:r w:rsidRPr="002F7DCC">
        <w:t xml:space="preserve">а фоне значительного роста в 2010-2011 годах отмечен резкий спад объема экспортируемой свеже-охлажденной рыбопродукции, что связано с изменением структуры экспорта в пользу увеличения доли продукции повышенной степени переработки с более высокой стоимостью – за 2010-2011 годы доля филе увеличилась в 2 раза в тоннах и в стоимостном выражении. 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В связи с наметившимся снижением рыбодобычи во второй половине 2012 года, по итогам 2012 года ожидается незначительное замедление промышленного производства рыбопродукции. На фоне снижения производственных показателей в сфере переработки и консервирования рыбо- и морепродуктов в 2011 году (97,5%) ожидаемый индекс промышленного производства в 2012 году оценочно составит 102,7%, определив общий рост производства пищевых продуктов в сопоставимых ценах на уровне 102,8%, и, соответственно, большей частью обрабатывающих производств.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Текстильное производство, традиционно составляющее чуть более четверти в общем объеме отгруженной продукции по виду деятельности «текстильное и швейное производство», в 2012 году значительно увечило свою долю в общем объеме производства и по итогам первого полугодия опередило по объемам отгруженной продукции производство одежды, включая выделку и крашение меха, составив около 70% отгруженной продукции. При этом, несмотря на значительный рост объема отгруженной продукции текстильного производства с начала года (151,9% в январе, 132,6% в январе-марте 2012 года), в первом полугодии 2012 года отмечено снижение </w:t>
      </w:r>
      <w:r>
        <w:rPr>
          <w:szCs w:val="28"/>
        </w:rPr>
        <w:t xml:space="preserve">до </w:t>
      </w:r>
      <w:r w:rsidRPr="002F7DCC">
        <w:rPr>
          <w:szCs w:val="28"/>
        </w:rPr>
        <w:t>97,23% к аналогичному периоду прошлого года. В результате чего индекс физического объема текстильного производства с учетом среднеобластных дефляторов оценочно увеличился с 68,7% в первом полугодии 2011 г</w:t>
      </w:r>
      <w:r>
        <w:rPr>
          <w:szCs w:val="28"/>
        </w:rPr>
        <w:t>ода до 77,5% в январе-июне 2012 </w:t>
      </w:r>
      <w:r w:rsidRPr="002F7DCC">
        <w:rPr>
          <w:szCs w:val="28"/>
        </w:rPr>
        <w:t>года, производства одежды, выделки и крашения меха снизился с 89,6% до 69,3%, текстильного и швейного производства в целом сократился к уровню аналогичного периода прошлого года и составил 75%, при этом среднемесячная заработная плата работников возросла в 2,4 раза</w:t>
      </w:r>
      <w:r>
        <w:rPr>
          <w:szCs w:val="28"/>
        </w:rPr>
        <w:t>. В целом по области в 2012 </w:t>
      </w:r>
      <w:r w:rsidRPr="002F7DCC">
        <w:rPr>
          <w:szCs w:val="28"/>
        </w:rPr>
        <w:t xml:space="preserve">году отмечен нехарактерный динамичный рост показателей текстильного производства, в результате которого  индекс производства в январе-июле составил 103%. За счет значительного роста производства одежды, выделки и крашения меха в Мурманской области (110,3%) индекс физического объема по рассматриваемому виду деятельности «текстильное и швейное производство» составил 109,6%. Исходя из сложившихся в городе Мурманске тенденций по </w:t>
      </w:r>
      <w:r w:rsidRPr="002F7DCC">
        <w:rPr>
          <w:szCs w:val="28"/>
        </w:rPr>
        <w:lastRenderedPageBreak/>
        <w:t>итогам 2012 года ожидается дальнейший спад текстильного и швейного производства. С учетом возможности небольшого увеличения объема отгруженной продукции текстильного производства во второй половине года и сохранения показателя на уровне прошлого года, ожидаемый индекс физического объема текстильного и швейного производства составит 76,2%, объем отгруженной продукции по оцен</w:t>
      </w:r>
      <w:r>
        <w:rPr>
          <w:szCs w:val="28"/>
        </w:rPr>
        <w:t>очным данным составит 37,8 млн. </w:t>
      </w:r>
      <w:r w:rsidRPr="002F7DCC">
        <w:rPr>
          <w:szCs w:val="28"/>
        </w:rPr>
        <w:t>рублей.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В структуре целлюлозно-бумажной промышленности города в отличие от области большую долю занимает производство изделий из бумаги и картона, объем отгруженной продукции которого почти в 2 раза превышает показатели  издательской и полиграфической деятельности. При этом на фоне динамичного роста промышленного производства в  сфере  издательской и полиграфической деятельности (в первом полугодии 2012 года индекс производства с учетом среднеоблас</w:t>
      </w:r>
      <w:r>
        <w:rPr>
          <w:szCs w:val="28"/>
        </w:rPr>
        <w:t>т</w:t>
      </w:r>
      <w:r w:rsidRPr="002F7DCC">
        <w:rPr>
          <w:szCs w:val="28"/>
        </w:rPr>
        <w:t>ных дефляторов оценочно составил 117% против 112,8% в аналогичном периоде 2011 года и 115% по итогам 2011 года) производство гофрированного картона, бумажной и картонной тары, а также прочих изделий из бумаги и картона после значительного роста в  2010 году (124%) сохраняет тенденцию к снижению (индекс производства в первом полугодии 2012 года с учетом среднеоблас</w:t>
      </w:r>
      <w:r>
        <w:rPr>
          <w:szCs w:val="28"/>
        </w:rPr>
        <w:t>т</w:t>
      </w:r>
      <w:r w:rsidRPr="002F7DCC">
        <w:rPr>
          <w:szCs w:val="28"/>
        </w:rPr>
        <w:t>ных дефляторов оценочно составил  76,3% против 97,4% в аналогичном периоде 2011 года и 69,2% по итогам 2011 года) и тормозит развитие целлюлозно-бумажной промышленности города в целом. С учетом сложившихся тенденций к концу года ожидается снижение промышленного производства предприятий целлюлозно-бумажной промышленности (98%) за счет снижения производства изделий из бумаги и картона в сопоставимых ценах на 15% при росте производственных показателей издательской и полиграфической деятельности в сопоставимых ценах на 18%.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Производство прочих неметаллических минеральных продуктов, несмотря на снижение объемов добычи песчано-гравийной смеси в городе и объемов работ строительного подряда, после значительных инвестиций в 2011 году (рост в 95 раз за счет привлеченных средств, на долю которых пришлось 68,8% объема капиталовложений) продолжает расти, в том числе за счет роста добычи строительных нерудных материалов в области. Индекс физического объема производства строительных материалов ожидаемый местными производителями по итогам 2012 года составляет 109,4% против 131,5% в 2011 году. 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После двукратного увеличения производства готовых металлических изделий в первом полугодии 2011 года (индекс производства оценочно составил 196,4%) в результате значительного роста инвестиций в 2009-2010 годах (рост в 1,5 и в 1,7 раза соответственно), в первом полугодии 2012 года объем промышленного производства сократился более чем в 2 раза (индекс производства оценочно составил 46,1%). Снижение производительности отразилось на заработной плате работников предприятий – в первом полугодии 2012 года по уточненным данным Мурманскстата среднемесячная заработная плата работников составила 66,3% к аналогичному периоду прошлого года или 29480,4 рублей. С учетом снижения объема инвестиций в 2011 году в 3,3 раза, </w:t>
      </w:r>
      <w:r w:rsidRPr="002F7DCC">
        <w:rPr>
          <w:szCs w:val="28"/>
        </w:rPr>
        <w:lastRenderedPageBreak/>
        <w:t>сложившейся динамики возврата значений показателей промышленного производства на уровень  2010 года по итогам 2012 года ожидаемый индекс промышленного производства по этому виду деятельности оценочно составит 84,78%.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С 2011 года продолжается снижение производства машин и оборудования без производства оружия и боеприпасов после заметного роста в 2010 году (115,3%). В первом полугодии 2012 года индекс производства с учетом среднеобластных дефляторов оценочно составил 20,4%, объем отгруженной продукции в действующих ценах сократился почти в 5 раз. По итогам года роста производственных  показателей не ожидается, предполагается снижение производства в 2 раза.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Структура производства электрооборудования, электронного и оптического оборудования города Мурманска в отличие от области неравномерна и в большей степени представлена производством электронных компонентов, аппаратуры для радио, телевидения и связи (доля отгруженной продукции в общеобластном объеме ежегодно увеличивалась в среднем на 8% и в 2012 году по итогам первого полугодия достигла 90%) и производством медицинских изделий; средств измерений, контроля, управления и испытаний; оптических приборов, фото- и кинооборудования; часов, доля которого стабильна и составляет около 10% объема отгруженной продукции. 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За три года объем промышленного производства электронных компонентов, аппаратуры для радио, телевидения и связи в результате ежегодного снижения производственных показателей сократился в 3 раза.  В 2012 году отмечено восстановление производства данной продукции благодаря росту производственных показателей в 3 раза (индекс производства с учетом среднеобластных дефляторов в первом полугодии 2012 года оценочно составил 301,6%). В этой связи с учетом имеющейся в 2011-2012 годах тенденции снижения индексов производства в течение года, к концу 2012 года ожидается рост промышленного производства в сопоставимых ценах минимум в 2,7 раза.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В производстве медицинских изделий; средств измерений, контроля, управления и испытаний; оптических приборов, фото- и кинооборудования; часов в результате наметившейся тенденции снижения по итогам 2011 года (97,8%) и первого полугодия 2012 года (92,5%) после заметного роста в 2010 году (111,5%) ожидается дальнейший спад промышленного производства (88,2%). 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Таким образом, в целом по итогам 2012 года ожидаемый рост промышленного производства электрооборудования, электронного и оптического оборудования оценочно составит 259,57%, объем отгруженной продукции составит 419,71 млн. рублей, что окажет влияние на увеличение общего индекса промышленного производства предприятий обрабатывающей промышленности по городу Мурманску в результате дальнейшего изменения структуры обрабатывающих производств.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Строительство и ремонт судов, влияющие на развитие обрабатывающих производств в городе и, соответственно, на общий индекс промышленного </w:t>
      </w:r>
      <w:r w:rsidRPr="002F7DCC">
        <w:rPr>
          <w:szCs w:val="28"/>
        </w:rPr>
        <w:lastRenderedPageBreak/>
        <w:t>производства, в связи с кризисным положением предприятий в отсутствие госзаказов и прекращением бюджетного финансирования с 2010 года, банкротством ОАО «Мурманский судоремонтный завод Морского Флота» в 2012 году, сохраняет устойчивую тенденцию к снижению производственных  показателей. Индекс производства в первом полугодии 2012 года с учетом среднеобластных дефляторов оценочно составил 55,4% к аналогичному периоду прошлого года (80,4% по итогам 2011 года). Несмотря на увеличение инвестиций в первом квартале 2012 года в 3,1 раза до конца года роста промышленного производства в сфере строительства и ремонта судов не ожидается, предполагается  снижение объема производства в 1,7 раза.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Обработка вторсырья в результате значительного инвестирования в 2010 году (рост инвестиций в 2,2 раза к 2009 году) успешно развивается на протяжении 2011-2012 годов без дальнейших капиталовложений, увеличив долю объема отгруженной продукции в общем объеме обрабатывающих производств до уровня судоремонтной промышленности (более 3,5%). Индекс производства в 2011 году с учетом среднеобластных дефляторов оценочно составил 145%, в первом полугодии 2012 года объем промышленного производства к аналогичному периоду прошлого года в сопоставимых ценах  увеличился в 3 раза, соответственно по итогам 2012 года ожидается рост не менее чем в 2,5 раза, отразившийся на развитии обрабатывающих производств. 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Таким образом, по итогам 2012 года в результате динамичного развития пищевой промышленности, в том числе производства рыбопродукции, обработки отходов и лома цветных металлов, кроме драгоценных, несмотря </w:t>
      </w:r>
      <w:r>
        <w:rPr>
          <w:szCs w:val="28"/>
        </w:rPr>
        <w:t xml:space="preserve">на </w:t>
      </w:r>
      <w:r w:rsidRPr="002F7DCC">
        <w:rPr>
          <w:szCs w:val="28"/>
        </w:rPr>
        <w:t xml:space="preserve">значительный спад в сфере судоремонта и производства металлоконструкций, ожидаемый индекс производства в обрабатывающей промышленности оценочно составит 105%, объем отгруженной продукции обрабатывающих предприятий превысит 31,6 млрд. рублей, а его доля в общем объеме отгруженной продукции обрабатывающих производств области сохранится на уровне 2011 года и первого полугодия 2012 года, превысив 33%. 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Индекс промышленного производства по виду деятельности «Производство и распределение электроэнергии, газа и воды» с учетом среднеобластного дефлятора в первом полугодии 2012 года оценочно составил 117,2%. 70% объема отгруженной продукции составляет теплоэнергия в отличие от области, где сохраняется примерно одинаковое соотношение отгружаемой в денежном выражении электроэнергии и теплоэнергии. Треть отпускаемой в области теплоэнергии потребляется в городе Мурманске, из нее более 75% - населением города, около 10% - бюджетно-финансируемыми организациями и около 15% прочими организациями, в том числе около 2% тратится организациями на производственные нужды. По итогам первого квартала 2012 года объем отпущенной теплоэнергии в городе и области сократился на 5,8%. Снижение потребления населением города и области составило 94% к аналогичному периоду прошлого года, прочими организациями города 89,5% (по области сохранилось на уровне первого квартала 2011 года - 99,2%). Потребление теплоэнергии бюджетно-финансируемыми организациями города в первом квартале 2012 года </w:t>
      </w:r>
      <w:r w:rsidRPr="002F7DCC">
        <w:rPr>
          <w:szCs w:val="28"/>
        </w:rPr>
        <w:lastRenderedPageBreak/>
        <w:t>увеличилось на 2,4%, в том числе, на отопление - на 2,5%, на горячее водоснабжение - на 1,3%. 80% отпущенной по городу теплоэнергии ушло на отопление (у прочих организаций города 70%), 20% на горячее водоснабжение (у бюджетных организаций менее 15%, у прочих организаций около 30%).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В связи со снижением выпуска тепловой энергии в первом полугодии 2012 года (индекс производства с учетом среднеобластных дефляторов оценочно составил 89,24% к аналогичному периоду прошлого года, индекс физического объема – 94,9%) объем отгруженной теплоэнергии в стоимостном выражении практически сохранился на уровне первого полугодия 2011 года, составив в действующих ценах 101,7%. 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Объем потребляемой городом электроэнергии значительно вырос начиная с 2011 года, когда доля отпускаемой по области электроэнергии увеличилась в 2 раза и составила более 10%, и продолжает увеличиваться в 2012 году. В первом полугодии 2012 года около 20% отпущенной в области электроэнергии приходится на город Мурманск. Наибольший объем электроэнергии потребляется организаци</w:t>
      </w:r>
      <w:r>
        <w:rPr>
          <w:szCs w:val="28"/>
        </w:rPr>
        <w:t>ями</w:t>
      </w:r>
      <w:r w:rsidRPr="002F7DCC">
        <w:rPr>
          <w:szCs w:val="28"/>
        </w:rPr>
        <w:t xml:space="preserve"> го</w:t>
      </w:r>
      <w:r>
        <w:rPr>
          <w:szCs w:val="28"/>
        </w:rPr>
        <w:t>рода Мурманска - около 70% (85% </w:t>
      </w:r>
      <w:r w:rsidRPr="002F7DCC">
        <w:rPr>
          <w:szCs w:val="28"/>
        </w:rPr>
        <w:t>организациями всей области), в том числе около 10% бюджетно-финансируемыми, менее трети (30%) - использует для своих нужд население (по области в 2 раза меньше - 14%). Согласно данным Мурманскстата потребление электроэнергии неравномерно, относительно стабильные объемы расходуют население и бюджетно-финансируемые организации. Значительный рост объема отпускаемой электроэнергии (в 2,6 раза в первом квартале 2012 года, в 1,7 раза в 2011 году) происходит из-за резких скачков потребления организациями города. В январе-марте 2012 года объем отпущенной электроэнергии в натуральном выражении населению сохранился на уровне аналогичного периода прошлого года (100,4%), бюджетно-финансируемым организациям - сократился на 5%, прочим организациям увеличился в 2,6 раза.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В целом по области отмечено сохранение объема выпуска теплоэнергии (индекс физического объема составил 101,1%, индекс производства – 101%) и незначительное снижение по электроэнергии (индекс физического объема составил 98,3%, индекс производства – 98,7%). В Мурманске высокий рост объема отгруженной продукции в сфере производства и распределения электроэнергии, газа и воды (темп роста составил 115,3%) вызван увеличением производства электроэнергии в действующих ценах оценочно в 2,5 раза (в 2,8 раза в сопоставимых ценах), на долю которой согласно отчетным данным Мурманскстата приходится 27,8% объема отгруженной продукции по</w:t>
      </w:r>
      <w:r>
        <w:rPr>
          <w:szCs w:val="28"/>
        </w:rPr>
        <w:t xml:space="preserve"> виду деятельности «Производство</w:t>
      </w:r>
      <w:r w:rsidRPr="002F7DCC">
        <w:rPr>
          <w:szCs w:val="28"/>
        </w:rPr>
        <w:t xml:space="preserve"> и распределение электроэнергии, газа и воды» против 12,5% в аналогичном периоде прошлого года. 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Объем отпущенного сжиженного газа в 1 квартале 2012 года увеличился на 27,4% (по области на 12,5%), в том числе населению - на 38,5%, бюджетно-финансируемым организациям в 2,4 раза, прочим организациям сократился почти на 7%. Доля показателя в объеме отпущенного газа по области продолжает увеличиваться и составила в 1 квартале 2012 года 62,5% против 55,2% в аналогичном периоде прошлого года. 80% отпущенного сжиженного </w:t>
      </w:r>
      <w:r w:rsidRPr="002F7DCC">
        <w:rPr>
          <w:szCs w:val="28"/>
        </w:rPr>
        <w:lastRenderedPageBreak/>
        <w:t>газа поставлено населению, 20% - организациям города Мурманска, в том числе около 1% - бюджетно-финансируемым организациям.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Треть потребляемых ресурсов в сфере водоснабжения в области приходится на город Мурманск. Из них 70% расходует население (в области около 55%) и 30% организации города, в том числе около 10% - бюджетно-финансируемые. В первом квартале 2012 года объем отпущенных водных ресурсов в натуральном выражении сократился практически равномерно по всем потребителям к уровню аналогичного периода прошлого года - в целом почти на треть, составив 67,7% (88% по области, главным образом за счет населения - 80%). Объем пропущенных сточных вод в натуральном выражении по городу также как и по области в целом сократился на 5%, в том числе по организациям</w:t>
      </w:r>
      <w:r>
        <w:rPr>
          <w:szCs w:val="28"/>
        </w:rPr>
        <w:t>,</w:t>
      </w:r>
      <w:r w:rsidRPr="002F7DCC">
        <w:rPr>
          <w:szCs w:val="28"/>
        </w:rPr>
        <w:t xml:space="preserve"> за исключением бюджетных, на которые приходится 12% пропущенных сточных вод (20% по области), увеличился на 6%. В стоимостном выражении отпуск водных ресурсов в сфере водоснабжения и водоотведения также сократился, составив 92% в первом квартале 2012 года к аналогичному периоду прошлого года, 93% в первом полугодии 2012 года. Индекс производства по виду деятельности «Сбор, очистка и распределение воды» с учетом среднеобластного дефлятора в первом полугодии 2012 года оценочно составил 99,3%.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В январе-мае 2012 года как в 2011 году треть предприятий в сфере производства и распределения электроэнергии, газа и воды остаются убыточными, однако сальдированный финансовый результат деятельности предприятий положительный и превышает уровень аналогичного периода прошлого года в 2,4 раза, составив менее 1,1 млрд. рублей, прибыль в 5,5 раз превышает убыток и составляет почти 1,3 млрд. рублей.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С учетом роста цен на отпускаемые коммунальные ресурсы в июле и сентябре 2012 года, ожидаемого роста производства производителями теплоэнергии в натуральном выражении 105,5%, увеличения энергопотребления организациями города ожидаемый индекс производства по виду деятельности «Производство и распределение электроэнергии, газа и воды» по итогам 2012 года оценочно составит 101,5%, обеспечив общий рост промышленности города на уровне 104,2% к 2011 году.</w:t>
      </w:r>
    </w:p>
    <w:p w:rsidR="00E6695E" w:rsidRPr="000456CF" w:rsidRDefault="00E6695E" w:rsidP="00E6695E">
      <w:pPr>
        <w:pStyle w:val="1"/>
        <w:rPr>
          <w:caps w:val="0"/>
          <w:kern w:val="32"/>
          <w:sz w:val="28"/>
          <w:szCs w:val="28"/>
        </w:rPr>
      </w:pPr>
      <w:r w:rsidRPr="000456CF">
        <w:rPr>
          <w:caps w:val="0"/>
          <w:kern w:val="32"/>
          <w:sz w:val="28"/>
          <w:szCs w:val="28"/>
        </w:rPr>
        <w:t>Рыболовство, рыбоводство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В результате значительного роста инвестиций в 2011 году в 5 раз, в том числе в 4 раза за счет собственных источников финансирования, на которые приходится 80% вложенных средств, и полученных кредитов банков, в начале текущего года удалось достичь заметных успехов в целом в сфере промышленного производства рыбохозяйственного комплекса. Индекс производства с учетом среднеобластного дефлятора в первом полугодии оценочно составил 101,2% (103,4% по области), в январе-июле - 101,6% (104,1% по области). Объем отгруженных товаров собственного производства, выполненных работ и услуг собственными силами организаций рыбохозяйственного комплекса в действующих ценах увеличился на 7,3% до </w:t>
      </w:r>
      <w:r w:rsidRPr="002F7DCC">
        <w:rPr>
          <w:szCs w:val="28"/>
        </w:rPr>
        <w:lastRenderedPageBreak/>
        <w:t xml:space="preserve">9,8 млрд. рублей (9,6% по области до 11 млрд. рублей), в том числе предприятий рыболовства, рыбоводства – в 2 раза до 17,6 млн. рублей. 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Однак</w:t>
      </w:r>
      <w:r>
        <w:rPr>
          <w:szCs w:val="28"/>
        </w:rPr>
        <w:t>о, по данным Росрыболовства, не</w:t>
      </w:r>
      <w:r w:rsidRPr="002F7DCC">
        <w:rPr>
          <w:szCs w:val="28"/>
        </w:rPr>
        <w:t>смотря на успешный промысел трески, добыча которой возросла на 6% до 228 тыс. тонн, в январе-начале августа 2012 года, темпы вылова в Северном бассейне как в целом по стране продолжают снижаться (98,3%, по России 99,3%). Данные тенденции полностью соответствуют прогнозным оценкам ПИНРО, согласно которым, при условии реализации всех квот в 2012 году, ожидается максимальный вылов донных пород, в частности трески</w:t>
      </w:r>
      <w:r>
        <w:rPr>
          <w:szCs w:val="28"/>
        </w:rPr>
        <w:t>,</w:t>
      </w:r>
      <w:r w:rsidRPr="002F7DCC">
        <w:rPr>
          <w:szCs w:val="28"/>
        </w:rPr>
        <w:t xml:space="preserve"> и сохранение объемов добычи пикши на уровне 2011 года. Открытие промысла мойвы в 2012 году, запас которой по данным ПИНРО находится в сравнительно благополучном состоянии, не принесло ожидаемых результатов, путина прошла за короткий срок, так как мойва в феврале не образовала плотных скоплений. В результате зафиксированной в Арктике сильной погодной аномалии в 2011 году, оказавшемся одним из наиболее теплых в России за всю историю наблюдений, впервые за последние 40 лет в основных районах добычи мойвы в Баренцевом море зарегистрировано аномальное повышение температуры воды. Это привело к уменьшению выловов, на берег было поставлено чуть более одной тысячи тонн мойвы. До конца года ожидается успешное проведение путины сайды.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Предприятия </w:t>
      </w:r>
      <w:r>
        <w:t>НО «Союз рыбопромышленников Севера»</w:t>
      </w:r>
      <w:r>
        <w:rPr>
          <w:szCs w:val="28"/>
        </w:rPr>
        <w:t xml:space="preserve"> за полгода на 20 </w:t>
      </w:r>
      <w:r w:rsidRPr="002F7DCC">
        <w:rPr>
          <w:szCs w:val="28"/>
        </w:rPr>
        <w:t>тыс. тонн увеличили вылов по сравнению с аналогичным периодом прошлого года, объем добычи составил 170 тыс. тонн. При этом, благодаря росту свежей или охлажденной рыбопродукции в натуральном выражении (111,6%), объем рыбы живой, свежей или охлаждённой почти не сократился (99,9%), из которой объем живой рыбы снизился (88,8%). В том числе в составе экспортной рыбопродукции объе</w:t>
      </w:r>
      <w:r>
        <w:rPr>
          <w:szCs w:val="28"/>
        </w:rPr>
        <w:t>м свежей или охлажденной рыбы в </w:t>
      </w:r>
      <w:r w:rsidRPr="002F7DCC">
        <w:rPr>
          <w:szCs w:val="28"/>
        </w:rPr>
        <w:t>натуральном выражении после трехкратного увеличения в 2011 году в январе-апреле 2012 года сократился в 3,5 раза (28,59% к аналогичному периоду прошлого года), объем отгруженн</w:t>
      </w:r>
      <w:r>
        <w:rPr>
          <w:szCs w:val="28"/>
        </w:rPr>
        <w:t>ой рыбопродукции данного вида в </w:t>
      </w:r>
      <w:r w:rsidRPr="002F7DCC">
        <w:rPr>
          <w:szCs w:val="28"/>
        </w:rPr>
        <w:t>действующих ценах сократился почти в 2 раза (56,74% к аналогичному периоду прошлого года), стоимость 1 тонны свеже-о</w:t>
      </w:r>
      <w:r>
        <w:rPr>
          <w:szCs w:val="28"/>
        </w:rPr>
        <w:t>хлажденной рыбы увеличилась в 2 </w:t>
      </w:r>
      <w:r w:rsidRPr="002F7DCC">
        <w:rPr>
          <w:szCs w:val="28"/>
        </w:rPr>
        <w:t xml:space="preserve">раза (198,45% к январю-апрелю 2011 года). 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На фоне достаточно успешной производственной деятельности в первой половине 2012 года отмечается снижение сальдированного финансового результата организаций рыболовства, рыбоводства до 2 млрд. рублей (89,8% к аналогичному периоду прошло года, в целом по области (96,3%) после значительного роста показателя в первом квартале текущего года (в 2,1 раза, по области в 1,5 раза). 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Исходя из оценки состояния рыбных запасов и их добычи специалистами ПИНРО, сложившейся в 2012 году тенденции сохранения объема вылова, по итогам 2012 года роста промышленных показателей не ожидается при сохранении объемов на уровне 2011 года – индекс производства оценочно составит около 100,1%.</w:t>
      </w:r>
    </w:p>
    <w:p w:rsidR="00E6695E" w:rsidRPr="000456CF" w:rsidRDefault="00E6695E" w:rsidP="00E6695E">
      <w:pPr>
        <w:pStyle w:val="1"/>
        <w:rPr>
          <w:caps w:val="0"/>
          <w:kern w:val="32"/>
          <w:sz w:val="28"/>
          <w:szCs w:val="28"/>
        </w:rPr>
      </w:pPr>
      <w:r w:rsidRPr="000456CF">
        <w:rPr>
          <w:caps w:val="0"/>
          <w:kern w:val="32"/>
          <w:sz w:val="28"/>
          <w:szCs w:val="28"/>
        </w:rPr>
        <w:lastRenderedPageBreak/>
        <w:t>Рынок товаров и услуг</w:t>
      </w:r>
    </w:p>
    <w:p w:rsidR="00E6695E" w:rsidRPr="002F7DCC" w:rsidRDefault="00E6695E" w:rsidP="00E6695E">
      <w:pPr>
        <w:pStyle w:val="af8"/>
        <w:keepNext/>
        <w:ind w:firstLine="709"/>
        <w:jc w:val="both"/>
        <w:rPr>
          <w:rFonts w:ascii="Times New Roman" w:hAnsi="Times New Roman"/>
          <w:sz w:val="28"/>
          <w:szCs w:val="28"/>
        </w:rPr>
      </w:pPr>
      <w:r w:rsidRPr="002F7DCC">
        <w:rPr>
          <w:rFonts w:ascii="Times New Roman" w:hAnsi="Times New Roman"/>
          <w:sz w:val="28"/>
          <w:szCs w:val="28"/>
        </w:rPr>
        <w:t>В конце прогнозного периода 2012 года ожидается активное развитие потребительского рынка товаров и услуг на территории города Мурманска:</w:t>
      </w:r>
    </w:p>
    <w:p w:rsidR="00E6695E" w:rsidRPr="002F7DCC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F7DCC">
        <w:rPr>
          <w:rFonts w:ascii="Times New Roman" w:hAnsi="Times New Roman"/>
          <w:sz w:val="28"/>
          <w:szCs w:val="28"/>
        </w:rPr>
        <w:t xml:space="preserve">- ввод новых торговых площадей, в т.ч. залов по продаже продовольственных и непродовольственных товаров общей площадью – 1,6 тыс. </w:t>
      </w:r>
      <w:r>
        <w:rPr>
          <w:rFonts w:ascii="Times New Roman" w:hAnsi="Times New Roman"/>
          <w:sz w:val="28"/>
          <w:szCs w:val="28"/>
        </w:rPr>
        <w:t>кв.м</w:t>
      </w:r>
      <w:r w:rsidRPr="002F7DCC">
        <w:rPr>
          <w:rFonts w:ascii="Times New Roman" w:hAnsi="Times New Roman"/>
          <w:sz w:val="28"/>
          <w:szCs w:val="28"/>
        </w:rPr>
        <w:t xml:space="preserve">; объем введенных площадей составит 243 тыс. </w:t>
      </w:r>
      <w:r>
        <w:rPr>
          <w:rFonts w:ascii="Times New Roman" w:hAnsi="Times New Roman"/>
          <w:sz w:val="28"/>
          <w:szCs w:val="28"/>
        </w:rPr>
        <w:t>кв.м</w:t>
      </w:r>
      <w:r w:rsidRPr="002F7DCC">
        <w:rPr>
          <w:rFonts w:ascii="Times New Roman" w:hAnsi="Times New Roman"/>
          <w:sz w:val="28"/>
          <w:szCs w:val="28"/>
        </w:rPr>
        <w:t>;</w:t>
      </w:r>
    </w:p>
    <w:p w:rsidR="00E6695E" w:rsidRPr="002F7DCC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F7DCC">
        <w:rPr>
          <w:rFonts w:ascii="Times New Roman" w:hAnsi="Times New Roman"/>
          <w:sz w:val="28"/>
          <w:szCs w:val="28"/>
        </w:rPr>
        <w:t>- реконструкция Ленинского рынка.</w:t>
      </w:r>
    </w:p>
    <w:p w:rsidR="00E6695E" w:rsidRPr="002F7DCC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F7DCC">
        <w:rPr>
          <w:rFonts w:ascii="Times New Roman" w:hAnsi="Times New Roman"/>
          <w:sz w:val="28"/>
          <w:szCs w:val="28"/>
        </w:rPr>
        <w:t>Реализация этих условий предполагает рост оборачиваемости розничной торговли в 2012 году на 9,9% и составит 98237 млн. руб</w:t>
      </w:r>
      <w:r>
        <w:rPr>
          <w:rFonts w:ascii="Times New Roman" w:hAnsi="Times New Roman"/>
          <w:sz w:val="28"/>
          <w:szCs w:val="28"/>
        </w:rPr>
        <w:t>лей</w:t>
      </w:r>
      <w:r w:rsidRPr="002F7DCC">
        <w:rPr>
          <w:rFonts w:ascii="Times New Roman" w:hAnsi="Times New Roman"/>
          <w:sz w:val="28"/>
          <w:szCs w:val="28"/>
        </w:rPr>
        <w:t xml:space="preserve"> в ценах соответствующих лет.</w:t>
      </w:r>
    </w:p>
    <w:p w:rsidR="00E6695E" w:rsidRPr="002F7DCC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F7DCC">
        <w:rPr>
          <w:rFonts w:ascii="Times New Roman" w:hAnsi="Times New Roman"/>
          <w:sz w:val="28"/>
          <w:szCs w:val="28"/>
        </w:rPr>
        <w:t>В отчетном году ожидается увеличение темпов роста общественного питания. Обороты по данному показателю за первое полугодие 2012 года составили 3547,2 млн. руб</w:t>
      </w:r>
      <w:r>
        <w:rPr>
          <w:rFonts w:ascii="Times New Roman" w:hAnsi="Times New Roman"/>
          <w:sz w:val="28"/>
          <w:szCs w:val="28"/>
        </w:rPr>
        <w:t>лей</w:t>
      </w:r>
      <w:r w:rsidRPr="002F7DCC">
        <w:rPr>
          <w:rFonts w:ascii="Times New Roman" w:hAnsi="Times New Roman"/>
          <w:sz w:val="28"/>
          <w:szCs w:val="28"/>
        </w:rPr>
        <w:t xml:space="preserve"> в ценах соответствующих лет, что выше соответствующего периода прошлого года на 1</w:t>
      </w:r>
      <w:r>
        <w:rPr>
          <w:rFonts w:ascii="Times New Roman" w:hAnsi="Times New Roman"/>
          <w:sz w:val="28"/>
          <w:szCs w:val="28"/>
        </w:rPr>
        <w:t>683,5 млн. рублей.</w:t>
      </w:r>
      <w:r w:rsidRPr="002F7DCC">
        <w:rPr>
          <w:rFonts w:ascii="Times New Roman" w:hAnsi="Times New Roman"/>
          <w:sz w:val="28"/>
          <w:szCs w:val="28"/>
        </w:rPr>
        <w:t xml:space="preserve"> К концу 2012 года ожидается увеличение показателя. Он вырастет на 10,2% по отношению к аналогичному периоду 2011 года и составит 4275 млн. руб</w:t>
      </w:r>
      <w:r>
        <w:rPr>
          <w:rFonts w:ascii="Times New Roman" w:hAnsi="Times New Roman"/>
          <w:sz w:val="28"/>
          <w:szCs w:val="28"/>
        </w:rPr>
        <w:t>лей.</w:t>
      </w:r>
    </w:p>
    <w:p w:rsidR="00E6695E" w:rsidRPr="002F7DCC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F7DCC">
        <w:rPr>
          <w:rFonts w:ascii="Times New Roman" w:hAnsi="Times New Roman"/>
          <w:sz w:val="28"/>
          <w:szCs w:val="28"/>
        </w:rPr>
        <w:t xml:space="preserve">Комитетом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2F7DCC">
        <w:rPr>
          <w:rFonts w:ascii="Times New Roman" w:hAnsi="Times New Roman"/>
          <w:sz w:val="28"/>
          <w:szCs w:val="28"/>
        </w:rPr>
        <w:t>экономическо</w:t>
      </w:r>
      <w:r>
        <w:rPr>
          <w:rFonts w:ascii="Times New Roman" w:hAnsi="Times New Roman"/>
          <w:sz w:val="28"/>
          <w:szCs w:val="28"/>
        </w:rPr>
        <w:t>му развитию</w:t>
      </w:r>
      <w:r w:rsidRPr="002F7DCC">
        <w:rPr>
          <w:rFonts w:ascii="Times New Roman" w:hAnsi="Times New Roman"/>
          <w:sz w:val="28"/>
          <w:szCs w:val="28"/>
        </w:rPr>
        <w:t xml:space="preserve"> администрации города Мурманска проводятся различные мероприятия с целью развития конкуренции на потребительском рынке города Мурманска, выявления лучших предприятий, повышения качества обслуживания населения и профессионального мастерства, распространения передового опыта, стимулирования деятельности предприятий по совершенствованию форм и методов организации услуг.</w:t>
      </w:r>
    </w:p>
    <w:p w:rsidR="00E6695E" w:rsidRPr="002F7DCC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F7DCC"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>,</w:t>
      </w:r>
      <w:r w:rsidRPr="002F7DCC">
        <w:rPr>
          <w:rFonts w:ascii="Times New Roman" w:hAnsi="Times New Roman"/>
          <w:sz w:val="28"/>
          <w:szCs w:val="28"/>
        </w:rPr>
        <w:t xml:space="preserve"> в отчетном году были организованы и проведены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Pr="002F7DCC">
        <w:rPr>
          <w:rFonts w:ascii="Times New Roman" w:hAnsi="Times New Roman"/>
          <w:sz w:val="28"/>
          <w:szCs w:val="28"/>
        </w:rPr>
        <w:t>мероприятия:</w:t>
      </w:r>
    </w:p>
    <w:p w:rsidR="00E6695E" w:rsidRPr="002F7DCC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F7DCC">
        <w:rPr>
          <w:rFonts w:ascii="Times New Roman" w:hAnsi="Times New Roman"/>
          <w:sz w:val="28"/>
          <w:szCs w:val="28"/>
        </w:rPr>
        <w:t>- праздничное открытие русского базара «Сказочные закрома» - на Ленинском рынке открылась летняя ярмарка промышленных и сельскохозяйственных товаров. Натуральный мед, мясные деликатесы, обувь, трикотаж. Участниками этого мероприятия были не только представители Мурманской области, но и гости из Республики Беларусь;</w:t>
      </w:r>
    </w:p>
    <w:p w:rsidR="00E6695E" w:rsidRPr="002F7DCC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F7DCC">
        <w:rPr>
          <w:rFonts w:ascii="Times New Roman" w:hAnsi="Times New Roman"/>
          <w:sz w:val="28"/>
          <w:szCs w:val="28"/>
        </w:rPr>
        <w:t>- третья сельскохозяйственная ярмарка «Урожай-2012» - участниками которой были предприятия, осуществляющие свою деятельность на потребительском рынке города Мурманска.</w:t>
      </w:r>
    </w:p>
    <w:p w:rsidR="00E6695E" w:rsidRPr="002F7DCC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F7DCC">
        <w:rPr>
          <w:rFonts w:ascii="Times New Roman" w:hAnsi="Times New Roman"/>
          <w:sz w:val="28"/>
          <w:szCs w:val="28"/>
        </w:rPr>
        <w:t>Планируется проведение 3 межрегиональной ярмарки «Вологодская ярмарка – 2012».</w:t>
      </w:r>
    </w:p>
    <w:p w:rsidR="00E6695E" w:rsidRPr="002F7DCC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F7DCC">
        <w:rPr>
          <w:rFonts w:ascii="Times New Roman" w:hAnsi="Times New Roman"/>
          <w:sz w:val="28"/>
          <w:szCs w:val="28"/>
        </w:rPr>
        <w:t>Рынок услуг имеет положительную динамику на протяжении всего прогнозного периода и в конце 2012 г</w:t>
      </w:r>
      <w:r>
        <w:rPr>
          <w:rFonts w:ascii="Times New Roman" w:hAnsi="Times New Roman"/>
          <w:sz w:val="28"/>
          <w:szCs w:val="28"/>
        </w:rPr>
        <w:t>ода этот показатель составит 27</w:t>
      </w:r>
      <w:r w:rsidRPr="002F7DCC">
        <w:rPr>
          <w:rFonts w:ascii="Times New Roman" w:hAnsi="Times New Roman"/>
          <w:sz w:val="28"/>
          <w:szCs w:val="28"/>
        </w:rPr>
        <w:t>247,18 млн. руб</w:t>
      </w:r>
      <w:r>
        <w:rPr>
          <w:rFonts w:ascii="Times New Roman" w:hAnsi="Times New Roman"/>
          <w:sz w:val="28"/>
          <w:szCs w:val="28"/>
        </w:rPr>
        <w:t>лей</w:t>
      </w:r>
      <w:r w:rsidRPr="002F7DCC">
        <w:rPr>
          <w:rFonts w:ascii="Times New Roman" w:hAnsi="Times New Roman"/>
          <w:sz w:val="28"/>
          <w:szCs w:val="28"/>
        </w:rPr>
        <w:t xml:space="preserve"> в ценах соответствующих лет, что превысит соответствующий период предыдущего года на 2191,18 млн. руб</w:t>
      </w:r>
      <w:r>
        <w:rPr>
          <w:rFonts w:ascii="Times New Roman" w:hAnsi="Times New Roman"/>
          <w:sz w:val="28"/>
          <w:szCs w:val="28"/>
        </w:rPr>
        <w:t>лей</w:t>
      </w:r>
      <w:r w:rsidRPr="002F7DCC">
        <w:rPr>
          <w:rFonts w:ascii="Times New Roman" w:hAnsi="Times New Roman"/>
          <w:sz w:val="28"/>
          <w:szCs w:val="28"/>
        </w:rPr>
        <w:t>. В том числе увеличение объема платных услуг населению имеет положительную динамику благодаря росту предоставленных б</w:t>
      </w:r>
      <w:r>
        <w:rPr>
          <w:rFonts w:ascii="Times New Roman" w:hAnsi="Times New Roman"/>
          <w:sz w:val="28"/>
          <w:szCs w:val="28"/>
        </w:rPr>
        <w:t>ытовых услуг на 133,65 млн. рублей, которые достигнут 3</w:t>
      </w:r>
      <w:r w:rsidRPr="002F7DCC">
        <w:rPr>
          <w:rFonts w:ascii="Times New Roman" w:hAnsi="Times New Roman"/>
          <w:sz w:val="28"/>
          <w:szCs w:val="28"/>
        </w:rPr>
        <w:t>453,36 млн. руб</w:t>
      </w:r>
      <w:r>
        <w:rPr>
          <w:rFonts w:ascii="Times New Roman" w:hAnsi="Times New Roman"/>
          <w:sz w:val="28"/>
          <w:szCs w:val="28"/>
        </w:rPr>
        <w:t>лей</w:t>
      </w:r>
      <w:r w:rsidRPr="002F7DCC">
        <w:rPr>
          <w:rFonts w:ascii="Times New Roman" w:hAnsi="Times New Roman"/>
          <w:sz w:val="28"/>
          <w:szCs w:val="28"/>
        </w:rPr>
        <w:t xml:space="preserve"> к концу 2012 года.</w:t>
      </w:r>
    </w:p>
    <w:p w:rsidR="00E6695E" w:rsidRPr="000456CF" w:rsidRDefault="00E6695E" w:rsidP="00E6695E">
      <w:pPr>
        <w:pStyle w:val="1"/>
        <w:rPr>
          <w:caps w:val="0"/>
          <w:kern w:val="32"/>
          <w:sz w:val="28"/>
          <w:szCs w:val="28"/>
        </w:rPr>
      </w:pPr>
      <w:r w:rsidRPr="000456CF">
        <w:rPr>
          <w:caps w:val="0"/>
          <w:kern w:val="32"/>
          <w:sz w:val="28"/>
          <w:szCs w:val="28"/>
        </w:rPr>
        <w:lastRenderedPageBreak/>
        <w:t>Инвестиции и строительство</w:t>
      </w:r>
    </w:p>
    <w:p w:rsidR="00E6695E" w:rsidRPr="002F7DCC" w:rsidRDefault="00E6695E" w:rsidP="00E6695E">
      <w:pPr>
        <w:keepNext/>
        <w:ind w:firstLine="709"/>
        <w:jc w:val="both"/>
        <w:rPr>
          <w:szCs w:val="28"/>
        </w:rPr>
      </w:pPr>
      <w:r w:rsidRPr="002F7DCC">
        <w:rPr>
          <w:szCs w:val="28"/>
        </w:rPr>
        <w:t>На фоне низких показателей первого полугодия 2011 года в 2012 году сохраняется тенденция динамичного роста инвестиций. В первом полугодии 2012 года их объем составил почти 4 млрд. рублей, превысив уровень прошлого года в действующих ценах в 1,8 раза (в 1 квартале в 16 раз), в сопоставимых ценах на 9,7% (в 1 квартале в 2,7 раза). За июль 2012 года объем инвестиций в действующих ценах увеличился на 266,8 млн. рублей или почти на 7% (106,7%). Рост инвестиций в производство пищевых продуктов в 1,4 раза и электрооборудования и электронного и оптического оборудования в 4,9 раза, судоремонта в 2,5 раза обеспечили рост капиталовложений в сфере обрабатывающих производств на 3,8%, на долю которых приходится 3,4% всего объема инвестиций. В результате реализации программ, направленных на повышение энергоэффективности, значительное увеличение инвестиций отмечено в сфере производства и распределения электроэнергии, газа, пара и горячей воды (в 3,5 раза), доля которых в общем объеме инвестиций увеличилась с 3,2% в первом полугодии 2011 года до 6,1% в 2012 году. В 7,4 раза увеличились инвестиции по виду деятельности «Строительство». Возобновление реконструкции гостиницы «Арктика» привело к росту инвестиционных показателей в сфере гостинично-ресторанного бизнеса в 9,3 раза. Восстанавливается инвестиционный поток в транспорт и связь – рост инвестиций в 3 раза позволил обратно увеличить долю показателя в общем объеме инвестиций с 32,6% в первом полугодии 2011 года до 54,7% в 2012 году Увеличение удельного веса капиталовложений в общем объеме инвестиций также отмечено в финансовой деятельности с 2,6% до 4,3% в результате роста инвестиций в 3 раза. В 1,8 раза возрос объем капиталовложений в сфере операций с недвижимым имуществом, арендой и предоставлением услуг, на долю которой приходиться около 9% общего объема инвестиций, в том числе за счет увеличения объема инвестиционных средств в 1,5 раза по операциям с недвижимость, в 1,6 раза в научные исследования и разработки. В 1,9 раза увеличилось финансирование инвестиций в сфере государственного управления и обеспечения военной безопасности, социального страхования, в 1,2 раза в сфере образования.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Снижение объема инвестиций в первом полугодии 2012 года зафиксировано среди обрабатывающих производств в целлюлозно-бумажном производстве и издательской и полиграфической деятельности (8,2% к уровню аналогичного периода 2011 года) и производстве готовых металлических изделий (70,5%), а также в торговле (90,7%), здравоохранении (61,9%).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По данным Мурманскстата за первое полугодие 2012 года из-за значительного роста бюджетного финансирования (в 5 раз), главным образом, за счет федеральных средств (в 11,7 раза), поменялась структура источников инвестиций – более половины инвестиций (55% против 40% в 2011 году) приходится на привлеченные средства, объем которых увеличился почти в 2,4 раза до 2,2 млрд. рублей. Доля федеральных инвестиций  сохраняет устойчивую тенденцию к росту (85% в общем объеме бюджетных источников </w:t>
      </w:r>
      <w:r w:rsidRPr="002F7DCC">
        <w:rPr>
          <w:szCs w:val="28"/>
        </w:rPr>
        <w:lastRenderedPageBreak/>
        <w:t>финансирования инвестиций в январе-июне 2012 года против 36% в аналогичном периоде прошлого года). В целом на город Мурманск приходится 79,3% федеральных инвестиций в Мурманскую область. Благодаря росту объема инвестиций в экономику города Мурманска из средств областного бюджета в первом полугодии 2012 года в 1,6 раза, доля показателя в общем объеме бюджетных источников финансирования инвестиций имеет тенденцию к росту (12% в январе-июне 2012 года против 7% в январе-марте).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Среди других привлеченных  средств отмечен заметный рост банковских кредитов (в 1,2 раза до 13,4 млн. рублей). Доля кредитов банков в составе привлеченных средств по-прежнему остается очень низкой и составляет менее 1% (0,6%) от общей суммы инвестиций. 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Объем инвестиций организаций за счет собственных средств увеличился в 1,3 раза к январю-июню 2011 года до 1,8 млрд. рублей за счет роста амортизационных о</w:t>
      </w:r>
      <w:r>
        <w:rPr>
          <w:szCs w:val="28"/>
        </w:rPr>
        <w:t>тчислений в 1,6 раза. В 2012 год</w:t>
      </w:r>
      <w:r w:rsidRPr="002F7DCC">
        <w:rPr>
          <w:szCs w:val="28"/>
        </w:rPr>
        <w:t>у показатель имеет тенденцию к росту – в первом полугодии доля собственных средств среди источников финансирования инвестиций увеличилась до 45% с 29% в первом квартале 2011 года.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Видовая структура инвестиций сохранилась на уровне аналогичного периода прошлого года – более 76% инвестиций в основной капитал направлены на модернизацию основных средств в машины, оборудование, транспортные средства, инструменты (3 млрд. рублей, в 1,7 раза больше по сравнению с аналогичным периодом прошлого года), более 22% - в здания и сооружения (887,2 млн. рублей, в 1,9 раза больше по сравнению с аналогичным периодом прошлого года).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На реализацию инвестиционных проектов, вошедших в Стратегический план социально-экономического развития города Мурманска до 2020 года, в 2012 году предусмотрено финансирование в общем объеме 26,4 млрд. рублей, в том числе 7,7 млрд. рублей за счет средств федерального бюджета, 133,3 млн. рублей из областного бюджета. Помимо проектов организаций города Мурманска, представленных в Стратегическом плане, в рамках реализации городских, областных и федеральных целевых программ в 2012 году на инвестиционные цели (приобретение и модернизацию оборудования, строительство и капитальный ремонт зданий и объектов инфраструктуры) предусмотрено 16,9 млрд. рублей, из них за счет бюджетных средств 3,2 млрд. рублей, в том числе из средств федерального бюджета - 1,6 млрд. рублей на реконструкцию дворовых территорий и проездов к дворовым территориям города, реконструкцию и ремонт объектов к 100-летию города, развитие спортивной инфраструктуры, укрепление и модернизацию материально-технической базы объектов здравоохранения и образования, реконструкцию следственного изолятора № 1 на 528 мест и строительство режимного корпуса на 200 мест; из средств областного бюджета – 1 млрд. рублей, главным образом, на развитие спортивной инфраструктуры, оснащение оборудованием медицинских учреждений, строительство жилых домов, капремонт и реконструкцию областных у</w:t>
      </w:r>
      <w:r>
        <w:rPr>
          <w:szCs w:val="28"/>
        </w:rPr>
        <w:t>чреждений и объектов культуры города</w:t>
      </w:r>
      <w:r w:rsidRPr="002F7DCC">
        <w:rPr>
          <w:szCs w:val="28"/>
        </w:rPr>
        <w:t xml:space="preserve"> Мурманска, из средств местного бюджета – 600,9 млн. рублей </w:t>
      </w:r>
      <w:r w:rsidRPr="002F7DCC">
        <w:rPr>
          <w:szCs w:val="28"/>
        </w:rPr>
        <w:lastRenderedPageBreak/>
        <w:t>на реконструкцию, ремонт и модернизацию объектов социальной, жилищной и коммунальной инфраструктуры.</w:t>
      </w:r>
    </w:p>
    <w:p w:rsidR="00E6695E" w:rsidRPr="002F7DCC" w:rsidRDefault="00E6695E" w:rsidP="00E6695E">
      <w:pPr>
        <w:ind w:firstLine="567"/>
        <w:jc w:val="both"/>
        <w:rPr>
          <w:szCs w:val="28"/>
        </w:rPr>
      </w:pPr>
      <w:r w:rsidRPr="002F7DCC">
        <w:rPr>
          <w:szCs w:val="28"/>
        </w:rPr>
        <w:t>С учетом реализации инвестиционных проектов предприятий, сложившейся динамики роста показателя к 2011 году и тенденции увеличения бюджетных инвестиций в конце отчетного периода, при условии выполнения намеченного финансирования целевых программ по итогам 2012 года ожидается рост объема инвестиций в действующих ценах в 1,5 раза, в сопоставимых ценах с учетом среднеобластного дефлятора – в 1,3 раза к 2011 году, в котором инвестиции увеличились почти в 2 раза.</w:t>
      </w:r>
    </w:p>
    <w:p w:rsidR="00E6695E" w:rsidRPr="002F7DCC" w:rsidRDefault="00E6695E" w:rsidP="00E6695E">
      <w:pPr>
        <w:ind w:firstLine="567"/>
        <w:jc w:val="both"/>
        <w:rPr>
          <w:szCs w:val="28"/>
        </w:rPr>
      </w:pPr>
      <w:r w:rsidRPr="002F7DCC">
        <w:rPr>
          <w:szCs w:val="28"/>
        </w:rPr>
        <w:t xml:space="preserve">Объем работ, выполненных по виду экономической </w:t>
      </w:r>
      <w:r>
        <w:rPr>
          <w:szCs w:val="28"/>
        </w:rPr>
        <w:t>деятельности «Строительство», не</w:t>
      </w:r>
      <w:r w:rsidRPr="002F7DCC">
        <w:rPr>
          <w:szCs w:val="28"/>
        </w:rPr>
        <w:t xml:space="preserve">смотря на активное строительство второй очереди торгового комплекса гипермаркета «Окей», продолжение строительства легкоатлетического манежа и завершение реконструкции универмага «Волна», в сопоставимых ценах в январе-июне 2012 года сократился к аналогичному периоду прошлого года в 2,7 раза и составил 310,1 млн. рублей, доля в общеобластном объеме сократилась с 24,7% до 9,6%. В январе-июле с возобновлением строительных работ по реконструкции гостиницы «Арктика» индекс физического объема увеличился к предыдущему месяцу и составил 89,4% к январю-июлю 2011 года. Объем введенного в эксплуатацию жилья за счет нового строительства в первом полугодии 2012 года увеличился в 2,8 раза к аналогичному периоду прошлого года за счет индивидуального жилищного строительства и составил около 1,5 тыс. </w:t>
      </w:r>
      <w:r>
        <w:rPr>
          <w:szCs w:val="28"/>
        </w:rPr>
        <w:t>кв.м</w:t>
      </w:r>
      <w:r w:rsidRPr="002F7DCC">
        <w:rPr>
          <w:szCs w:val="28"/>
        </w:rPr>
        <w:t>, доля показателя в объеме жилья</w:t>
      </w:r>
      <w:r>
        <w:rPr>
          <w:szCs w:val="28"/>
        </w:rPr>
        <w:t>,</w:t>
      </w:r>
      <w:r w:rsidRPr="002F7DCC">
        <w:rPr>
          <w:szCs w:val="28"/>
        </w:rPr>
        <w:t xml:space="preserve"> введенно</w:t>
      </w:r>
      <w:r>
        <w:rPr>
          <w:szCs w:val="28"/>
        </w:rPr>
        <w:t>го</w:t>
      </w:r>
      <w:r w:rsidRPr="002F7DCC">
        <w:rPr>
          <w:szCs w:val="28"/>
        </w:rPr>
        <w:t xml:space="preserve"> по области</w:t>
      </w:r>
      <w:r>
        <w:rPr>
          <w:szCs w:val="28"/>
        </w:rPr>
        <w:t>,</w:t>
      </w:r>
      <w:r w:rsidRPr="002F7DCC">
        <w:rPr>
          <w:szCs w:val="28"/>
        </w:rPr>
        <w:t xml:space="preserve"> увеличилась с 16,8% до 17,5%, в январе-июле объем вода жилья сократился и составил 93,6% к аналогичному периоду 2011 года. </w:t>
      </w:r>
    </w:p>
    <w:p w:rsidR="00E6695E" w:rsidRPr="002F7DCC" w:rsidRDefault="00E6695E" w:rsidP="00E6695E">
      <w:pPr>
        <w:ind w:firstLine="567"/>
        <w:jc w:val="both"/>
        <w:rPr>
          <w:szCs w:val="28"/>
        </w:rPr>
      </w:pPr>
      <w:r w:rsidRPr="002F7DCC">
        <w:rPr>
          <w:szCs w:val="28"/>
        </w:rPr>
        <w:t>В рамках реализации на территории города Мурманска инвестиционных проектов организаций, включенных в Стратегический план, предусмотрен объем строительных работ на сумму 3,7 млрд. рублей. В соответствии с федеральными, областными и городскими программами на 2012 год предусмотрен объем финансирования строительных работ на сумму 4,6 млрд. рублей. Самыми крупными объектами строительства, требующими наибольшего финансиро</w:t>
      </w:r>
      <w:r>
        <w:rPr>
          <w:szCs w:val="28"/>
        </w:rPr>
        <w:t>вания в текущем году, являются М</w:t>
      </w:r>
      <w:r w:rsidRPr="002F7DCC">
        <w:rPr>
          <w:szCs w:val="28"/>
        </w:rPr>
        <w:t xml:space="preserve">урманский транспортный узел, южные очистные сооружения канализации, гостиница «Арктика», объекты культуры и внешнего благоустройства, реконструируемые к 100-летию города Мурманска, «Арктическая гавань» в морском порту, строительство 3 жилых домов по ул. Генералова и другие. При условии реализации предложенных проектов до конца года на уровне 80% от запланированного на 2012 год объема, выполнения целевых программ в соответствии с установленными целевыми показателями, общий объем выполненных работ по виду деятельности «Строительство» к концу года может превысить 7,5 млрд. рублей, половина из которых (3761,3 млн. рублей) придется на крупные и средние предприятия. </w:t>
      </w:r>
    </w:p>
    <w:p w:rsidR="00E6695E" w:rsidRPr="002F7DCC" w:rsidRDefault="00E6695E" w:rsidP="00E6695E">
      <w:pPr>
        <w:ind w:firstLine="567"/>
        <w:jc w:val="both"/>
        <w:rPr>
          <w:szCs w:val="28"/>
        </w:rPr>
      </w:pPr>
      <w:r w:rsidRPr="002F7DCC">
        <w:rPr>
          <w:szCs w:val="28"/>
        </w:rPr>
        <w:t xml:space="preserve">Строительные работы в 2012 году проводятся на 13 многоквартирных жилых объектах общей площадью 139,8 тыс. </w:t>
      </w:r>
      <w:r>
        <w:rPr>
          <w:szCs w:val="28"/>
        </w:rPr>
        <w:t>кв.м</w:t>
      </w:r>
      <w:r w:rsidRPr="002F7DCC">
        <w:rPr>
          <w:szCs w:val="28"/>
        </w:rPr>
        <w:t xml:space="preserve">, из которых 2 будут введены в эксплуатацию в отчетном году. </w:t>
      </w:r>
      <w:r w:rsidRPr="002F7DCC">
        <w:t xml:space="preserve">После реконструкции поликлиники в Ленинском округе по ул. Аскольдовцев планируется ввести в эксплуатацию       </w:t>
      </w:r>
      <w:r w:rsidRPr="002F7DCC">
        <w:lastRenderedPageBreak/>
        <w:t xml:space="preserve">7-этажный 162-квартирный жилой дом общей площадью 7806 </w:t>
      </w:r>
      <w:r>
        <w:t>кв.м</w:t>
      </w:r>
      <w:r w:rsidRPr="002F7DCC">
        <w:t>, жилой площадью – 6443 кв.м., на базе общежития по ул. Новосельская,</w:t>
      </w:r>
      <w:r>
        <w:t xml:space="preserve"> </w:t>
      </w:r>
      <w:r w:rsidRPr="002F7DCC">
        <w:t xml:space="preserve">4 - жилой дом площадью 4,8 тыс. кв.м. Ожидаемый объем ввода индивидуальной жилой застройки оценочно составит около 4,8 тыс. </w:t>
      </w:r>
      <w:r>
        <w:t>кв.м</w:t>
      </w:r>
      <w:r w:rsidRPr="002F7DCC">
        <w:t xml:space="preserve"> против 1,7 </w:t>
      </w:r>
      <w:r>
        <w:t>тыс. кв.м</w:t>
      </w:r>
      <w:r w:rsidRPr="002F7DCC">
        <w:t xml:space="preserve"> в 2011 году.</w:t>
      </w:r>
    </w:p>
    <w:p w:rsidR="00E6695E" w:rsidRPr="002F7DCC" w:rsidRDefault="00E6695E" w:rsidP="00E6695E">
      <w:pPr>
        <w:ind w:firstLine="567"/>
        <w:jc w:val="both"/>
      </w:pPr>
      <w:r w:rsidRPr="002F7DCC">
        <w:rPr>
          <w:szCs w:val="28"/>
        </w:rPr>
        <w:t>В</w:t>
      </w:r>
      <w:r w:rsidRPr="002F7DCC">
        <w:t xml:space="preserve"> 2012 году ожидается ввод второй очереди областного перинатального центра в Мурманске, завершение реконструкции стационара областного противотуберкулезного диспансера на 175 коек, радиологического корпуса Мурманского областного онкологического ди</w:t>
      </w:r>
      <w:r>
        <w:t>спансера, универмага «Волна». В </w:t>
      </w:r>
      <w:r w:rsidRPr="002F7DCC">
        <w:t>рамках реализации инвестиционной программы ОАО «МГЭС»                       на 2011-2012 годы планируется завершить реконструкцию энергетических подстанций в районе Жилстроя, предусматривающую проведение мощности порядка 5-8 МВт.</w:t>
      </w:r>
    </w:p>
    <w:p w:rsidR="00E6695E" w:rsidRPr="000456CF" w:rsidRDefault="00E6695E" w:rsidP="00E6695E">
      <w:pPr>
        <w:pStyle w:val="1"/>
        <w:rPr>
          <w:caps w:val="0"/>
          <w:kern w:val="32"/>
          <w:sz w:val="28"/>
          <w:szCs w:val="28"/>
        </w:rPr>
      </w:pPr>
      <w:r w:rsidRPr="000456CF">
        <w:rPr>
          <w:caps w:val="0"/>
          <w:kern w:val="32"/>
          <w:sz w:val="28"/>
          <w:szCs w:val="28"/>
        </w:rPr>
        <w:t>Финансы</w:t>
      </w:r>
    </w:p>
    <w:p w:rsidR="00E6695E" w:rsidRPr="002F7DCC" w:rsidRDefault="00E6695E" w:rsidP="00E6695E">
      <w:pPr>
        <w:pStyle w:val="af8"/>
        <w:keepNext/>
        <w:ind w:firstLine="709"/>
        <w:jc w:val="both"/>
        <w:rPr>
          <w:rFonts w:ascii="Times New Roman" w:hAnsi="Times New Roman"/>
          <w:sz w:val="28"/>
          <w:szCs w:val="28"/>
        </w:rPr>
      </w:pPr>
      <w:r w:rsidRPr="002F7DCC">
        <w:rPr>
          <w:rFonts w:ascii="Times New Roman" w:hAnsi="Times New Roman"/>
          <w:sz w:val="28"/>
          <w:szCs w:val="28"/>
        </w:rPr>
        <w:t>В январе-мае 2012 года фи</w:t>
      </w:r>
      <w:r>
        <w:rPr>
          <w:rFonts w:ascii="Times New Roman" w:hAnsi="Times New Roman"/>
          <w:sz w:val="28"/>
          <w:szCs w:val="28"/>
        </w:rPr>
        <w:t>нансовый результат</w:t>
      </w:r>
      <w:r w:rsidRPr="0049604D">
        <w:rPr>
          <w:rFonts w:ascii="Times New Roman" w:eastAsia="Times New Roman" w:hAnsi="Times New Roman"/>
          <w:b/>
          <w:bCs/>
          <w:szCs w:val="20"/>
          <w:lang w:eastAsia="ru-RU"/>
        </w:rPr>
        <w:t xml:space="preserve"> </w:t>
      </w:r>
      <w:r w:rsidRPr="0049604D">
        <w:rPr>
          <w:rFonts w:ascii="Times New Roman" w:hAnsi="Times New Roman"/>
          <w:bCs/>
          <w:sz w:val="28"/>
          <w:szCs w:val="28"/>
        </w:rPr>
        <w:t>деятельности крупных и средних предприятий</w:t>
      </w:r>
      <w:r>
        <w:rPr>
          <w:rFonts w:ascii="Times New Roman" w:hAnsi="Times New Roman"/>
          <w:sz w:val="28"/>
          <w:szCs w:val="28"/>
        </w:rPr>
        <w:t xml:space="preserve"> составил 2</w:t>
      </w:r>
      <w:r w:rsidRPr="002F7DCC">
        <w:rPr>
          <w:rFonts w:ascii="Times New Roman" w:hAnsi="Times New Roman"/>
          <w:sz w:val="28"/>
          <w:szCs w:val="28"/>
        </w:rPr>
        <w:t>159 млн. руб</w:t>
      </w:r>
      <w:r>
        <w:rPr>
          <w:rFonts w:ascii="Times New Roman" w:hAnsi="Times New Roman"/>
          <w:sz w:val="28"/>
          <w:szCs w:val="28"/>
        </w:rPr>
        <w:t>лей</w:t>
      </w:r>
      <w:r w:rsidRPr="002F7DCC">
        <w:rPr>
          <w:rFonts w:ascii="Times New Roman" w:hAnsi="Times New Roman"/>
          <w:sz w:val="28"/>
          <w:szCs w:val="28"/>
        </w:rPr>
        <w:t>, что на 28,4% ниже показателя соответствующего периода прошлого года.</w:t>
      </w:r>
    </w:p>
    <w:p w:rsidR="00E6695E" w:rsidRPr="002F7DCC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F7DCC">
        <w:rPr>
          <w:rFonts w:ascii="Times New Roman" w:hAnsi="Times New Roman"/>
          <w:sz w:val="28"/>
          <w:szCs w:val="28"/>
        </w:rPr>
        <w:t xml:space="preserve">По состоянию на 1 июля 2012 года количество предприятий, получивших прибыль, составляет 117, что выше соответствующего показателя предыдущего года на 4 единицы. </w:t>
      </w:r>
      <w:r>
        <w:rPr>
          <w:rFonts w:ascii="Times New Roman" w:hAnsi="Times New Roman"/>
          <w:sz w:val="28"/>
          <w:szCs w:val="28"/>
        </w:rPr>
        <w:t>Так</w:t>
      </w:r>
      <w:r w:rsidRPr="002F7DCC">
        <w:rPr>
          <w:rFonts w:ascii="Times New Roman" w:hAnsi="Times New Roman"/>
          <w:sz w:val="28"/>
          <w:szCs w:val="28"/>
        </w:rPr>
        <w:t xml:space="preserve">же наблюдается положительная динамика в сокращении убыточных предприятий по отношению к июлю 2011 года на 10 предприятий, т.е. в отчетном периоде их количество составило 51 предприятие. </w:t>
      </w:r>
    </w:p>
    <w:p w:rsidR="00E6695E" w:rsidRPr="002F7DCC" w:rsidRDefault="00E6695E" w:rsidP="00E6695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F7DCC">
        <w:rPr>
          <w:rFonts w:ascii="Times New Roman" w:hAnsi="Times New Roman"/>
          <w:sz w:val="28"/>
          <w:szCs w:val="28"/>
        </w:rPr>
        <w:t xml:space="preserve">Наибольший удельный вес в сальдированном результате принадлежит отраслям экономики «рыболовство, рыбоводство» и «производство и распределение электроэнергии, газа и воды» – </w:t>
      </w:r>
      <w:r>
        <w:rPr>
          <w:rFonts w:ascii="Times New Roman" w:hAnsi="Times New Roman"/>
          <w:sz w:val="28"/>
          <w:szCs w:val="28"/>
        </w:rPr>
        <w:t>94,3% и 48,6% соответственно. В </w:t>
      </w:r>
      <w:r w:rsidRPr="002F7DCC">
        <w:rPr>
          <w:rFonts w:ascii="Times New Roman" w:hAnsi="Times New Roman"/>
          <w:sz w:val="28"/>
          <w:szCs w:val="28"/>
        </w:rPr>
        <w:t>первой половине 2012 года наблюдается рост этих показателей по сравнению с соответствующими значениями 2011 года. В целом наблюдается положительная динамика темпов роста отраслей производства. Таким образом, к концу отчетного периода сальдированный финансовый результат по отношению к соответствующему периоду прошлого года вырастет на 2,1% и составит по прогнозной оценке</w:t>
      </w:r>
      <w:r>
        <w:rPr>
          <w:rFonts w:ascii="Times New Roman" w:hAnsi="Times New Roman"/>
          <w:sz w:val="28"/>
          <w:szCs w:val="28"/>
        </w:rPr>
        <w:t xml:space="preserve"> 3</w:t>
      </w:r>
      <w:r w:rsidRPr="002F7DCC">
        <w:rPr>
          <w:rFonts w:ascii="Times New Roman" w:hAnsi="Times New Roman"/>
          <w:sz w:val="28"/>
          <w:szCs w:val="28"/>
        </w:rPr>
        <w:t>674,0 млн. руб</w:t>
      </w:r>
      <w:r>
        <w:rPr>
          <w:rFonts w:ascii="Times New Roman" w:hAnsi="Times New Roman"/>
          <w:sz w:val="28"/>
          <w:szCs w:val="28"/>
        </w:rPr>
        <w:t>лей</w:t>
      </w:r>
      <w:r w:rsidRPr="002F7DCC">
        <w:rPr>
          <w:rFonts w:ascii="Times New Roman" w:hAnsi="Times New Roman"/>
          <w:sz w:val="28"/>
          <w:szCs w:val="28"/>
        </w:rPr>
        <w:t xml:space="preserve"> в ценах соответствующего года.</w:t>
      </w:r>
    </w:p>
    <w:p w:rsidR="00E6695E" w:rsidRPr="000456CF" w:rsidRDefault="00E6695E" w:rsidP="00E6695E">
      <w:pPr>
        <w:pStyle w:val="1"/>
        <w:rPr>
          <w:caps w:val="0"/>
          <w:kern w:val="32"/>
          <w:sz w:val="28"/>
          <w:szCs w:val="28"/>
        </w:rPr>
      </w:pPr>
      <w:r w:rsidRPr="000456CF">
        <w:rPr>
          <w:caps w:val="0"/>
          <w:kern w:val="32"/>
          <w:sz w:val="28"/>
          <w:szCs w:val="28"/>
        </w:rPr>
        <w:t>Труд и занятость</w:t>
      </w:r>
    </w:p>
    <w:p w:rsidR="00E6695E" w:rsidRPr="002F7DCC" w:rsidRDefault="00E6695E" w:rsidP="00E6695E">
      <w:pPr>
        <w:keepNext/>
        <w:ind w:firstLine="709"/>
        <w:jc w:val="both"/>
        <w:rPr>
          <w:szCs w:val="28"/>
        </w:rPr>
      </w:pPr>
      <w:r w:rsidRPr="002F7DCC">
        <w:rPr>
          <w:szCs w:val="28"/>
        </w:rPr>
        <w:t>Одной из основных проблем рынка труда города Мурманска остается стремительное сокращение численности населения в трудоспособном возрасте. Так, к концу 2012 года ожидается сокращение численности данной возрастной группы населения до 193,26 тыс. человек – на 1,9% к уровню предыдущего года. При этом по итогам первого полугодия текущего года отмечено значительное сокращение численности работников организаций города (без субъектов малого предпр</w:t>
      </w:r>
      <w:r>
        <w:rPr>
          <w:szCs w:val="28"/>
        </w:rPr>
        <w:t>инимательства) – до 101,1</w:t>
      </w:r>
      <w:r w:rsidRPr="002F7DCC">
        <w:rPr>
          <w:szCs w:val="28"/>
        </w:rPr>
        <w:t xml:space="preserve"> тыс. человек или на 3,7% к</w:t>
      </w:r>
      <w:r w:rsidRPr="002F7DCC">
        <w:rPr>
          <w:color w:val="FF0000"/>
          <w:szCs w:val="28"/>
        </w:rPr>
        <w:t> </w:t>
      </w:r>
      <w:r w:rsidRPr="002F7DCC">
        <w:rPr>
          <w:szCs w:val="28"/>
        </w:rPr>
        <w:t xml:space="preserve">аналогичному периоду 2011 года (в первом полугодии 2011 года к аналогичному периоду 2010 года темп сокращения составил 1,1%). К концу </w:t>
      </w:r>
      <w:r w:rsidRPr="002F7DCC">
        <w:rPr>
          <w:szCs w:val="28"/>
        </w:rPr>
        <w:lastRenderedPageBreak/>
        <w:t>2012 года ожидается сокра</w:t>
      </w:r>
      <w:r>
        <w:rPr>
          <w:szCs w:val="28"/>
        </w:rPr>
        <w:t xml:space="preserve">щение численности работников до </w:t>
      </w:r>
      <w:r w:rsidRPr="002F7DCC">
        <w:rPr>
          <w:szCs w:val="28"/>
        </w:rPr>
        <w:t>100,45 тыс. человек.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На фоне сокращения численности работников среднемесячная начисленная заработная плата работников организаций города увеличилась в первом полугодии 2012 года на 17,64% к уровню аналогичного периода предыдущего года, в реальном выражении – на 14,1% и составила 40658,5 рублей. С учетом оценочного значения индекса потребительских цен по Мурманской области к концу текущего года ожидается увеличение размера среднемесячной реальной заработной платы работников города Мурманска на 8,24% к уровню предыдущего года.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Значительное увеличение размера заработной платы и сокращение численности работников в первом полугодии 2012 года по сравнению с аналогичным периодом 2011 года обусловлено в большей степени мероприятиями в рамках реформирования системы Министерства внутренних дел Российской Федерации.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Численность безработных, зарегистрированных в службах занятости, по итогам первого полугодия 2012 года сократилась на 30% к аналогичному периоду 2011 года и составила 1,99 тыс. человек, доля безработных города в показателе по области сократилась с 22% до 19,5%. Ожидаемый к концу текущего года уровень безработицы в городе составит 1,09% – на 0,12 процентных пункта ниже уровня 2011 года.</w:t>
      </w:r>
    </w:p>
    <w:p w:rsidR="00E6695E" w:rsidRPr="002F7DCC" w:rsidRDefault="00E6695E" w:rsidP="00E6695E">
      <w:pPr>
        <w:ind w:firstLine="540"/>
        <w:jc w:val="both"/>
        <w:rPr>
          <w:szCs w:val="28"/>
        </w:rPr>
      </w:pPr>
      <w:r w:rsidRPr="002F7DCC">
        <w:rPr>
          <w:szCs w:val="28"/>
        </w:rPr>
        <w:t>В целом, современная ситуация на рынке труда города Мурманска характеризуется несоответствием структуры вакансий профессионально-квалификационному уровню предлагаемой рабочей силы, дефицитом кадров по рабочим специальностям. В целях обеспечения занятости невостребованных вакансий, а также регулирования притока иностранной рабочей силы              Центр</w:t>
      </w:r>
      <w:r>
        <w:rPr>
          <w:szCs w:val="28"/>
        </w:rPr>
        <w:t>ом</w:t>
      </w:r>
      <w:r w:rsidRPr="002F7DCC">
        <w:rPr>
          <w:szCs w:val="28"/>
        </w:rPr>
        <w:t xml:space="preserve"> занятости населения проводятся мероприятия по рассмотрению вопросов о привлечении и использовании труда иностранных работников, консультирование работодателей, формирование банка данных предложения иностранной рабочей силы и т.д.</w:t>
      </w:r>
    </w:p>
    <w:p w:rsidR="00E6695E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 xml:space="preserve">Кроме того, в текущем году продолжается реализация целевых программ города Мурманска, направленных на повышение эффективности функционирования рынка труда в части организации  общественных работ,  социально-трудовой реабилитации молодых инвалидов и т.д., временному трудоустройству несовершеннолетних граждан. </w:t>
      </w:r>
    </w:p>
    <w:p w:rsidR="00E6695E" w:rsidRPr="000456CF" w:rsidRDefault="00E6695E" w:rsidP="00E6695E">
      <w:pPr>
        <w:pStyle w:val="1"/>
        <w:keepNext w:val="0"/>
        <w:rPr>
          <w:caps w:val="0"/>
          <w:kern w:val="32"/>
          <w:sz w:val="28"/>
          <w:szCs w:val="28"/>
        </w:rPr>
      </w:pPr>
      <w:r w:rsidRPr="000456CF">
        <w:rPr>
          <w:caps w:val="0"/>
          <w:kern w:val="32"/>
          <w:sz w:val="28"/>
          <w:szCs w:val="28"/>
        </w:rPr>
        <w:t>Туризм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Объем оказанных гостиничных услуг в первом полугодии 2012 года увеличился на 17,14% (по области на 7,9%), при этом число мест размещения увеличилось на 115 единиц или на 9% до 1340 единиц за счет увеличения количества объектов, оказывающих данные услуги</w:t>
      </w:r>
      <w:r>
        <w:rPr>
          <w:szCs w:val="28"/>
        </w:rPr>
        <w:t>,</w:t>
      </w:r>
      <w:r w:rsidRPr="002F7DCC">
        <w:rPr>
          <w:szCs w:val="28"/>
        </w:rPr>
        <w:t xml:space="preserve"> на 1 единицу до 9 объектов, а цена проживания в номере снизилась к прошлому году на 3%. Численность размещенных лиц в гостиницах и других средствах размещения в первом квартале 2012 года увеличилась в 1,7 раза (164,9% к аналогичному периоду </w:t>
      </w:r>
      <w:r w:rsidRPr="002F7DCC">
        <w:rPr>
          <w:szCs w:val="28"/>
        </w:rPr>
        <w:lastRenderedPageBreak/>
        <w:t xml:space="preserve">прошлого года) и превысила 21,7 тыс. человек. В первом полугодии 2012 года в гостиницах и других средствах размещения города число размещенных лиц составило 43,1 тыс. человек. </w:t>
      </w:r>
    </w:p>
    <w:p w:rsidR="00E6695E" w:rsidRPr="002F7DCC" w:rsidRDefault="00E6695E" w:rsidP="00E6695E">
      <w:pPr>
        <w:ind w:firstLine="709"/>
        <w:jc w:val="both"/>
        <w:rPr>
          <w:szCs w:val="28"/>
        </w:rPr>
      </w:pPr>
      <w:r w:rsidRPr="002F7DCC">
        <w:rPr>
          <w:szCs w:val="28"/>
        </w:rPr>
        <w:t>После заметного спада туристического потока в 2011 году на 4% по итогам 2012 года ожидается рост 104,4% и возврат на уровень предыдущего года (более 86 тыс. туристов). Рост числа посетителей обеспечат главным образом приезжие граждане России, как из други</w:t>
      </w:r>
      <w:r>
        <w:rPr>
          <w:szCs w:val="28"/>
        </w:rPr>
        <w:t>х регионов, так и из области. В </w:t>
      </w:r>
      <w:r w:rsidRPr="002F7DCC">
        <w:rPr>
          <w:szCs w:val="28"/>
        </w:rPr>
        <w:t xml:space="preserve">условиях высокой мобильности населения и роста миграции также ожидается приток посетителей из государств - участников СНГ. </w:t>
      </w:r>
    </w:p>
    <w:p w:rsidR="00E6695E" w:rsidRPr="000456CF" w:rsidRDefault="00E6695E" w:rsidP="00E6695E">
      <w:pPr>
        <w:ind w:firstLine="709"/>
        <w:jc w:val="both"/>
        <w:rPr>
          <w:szCs w:val="28"/>
        </w:rPr>
      </w:pPr>
    </w:p>
    <w:p w:rsidR="00E6695E" w:rsidRPr="000456CF" w:rsidRDefault="00E6695E" w:rsidP="00E6695E">
      <w:pPr>
        <w:ind w:firstLine="709"/>
        <w:jc w:val="both"/>
        <w:rPr>
          <w:szCs w:val="28"/>
        </w:rPr>
      </w:pPr>
    </w:p>
    <w:p w:rsidR="00E6695E" w:rsidRPr="000456CF" w:rsidRDefault="00E6695E" w:rsidP="00E6695E">
      <w:pPr>
        <w:ind w:firstLine="709"/>
        <w:jc w:val="both"/>
        <w:rPr>
          <w:szCs w:val="28"/>
        </w:rPr>
      </w:pPr>
      <w:r>
        <w:rPr>
          <w:szCs w:val="28"/>
        </w:rPr>
        <w:pict>
          <v:shape id="_x0000_s1027" type="#_x0000_t32" style="position:absolute;left:0;text-align:left;margin-left:185.95pt;margin-top:21.3pt;width:128pt;height:0;z-index:251661312" o:connectortype="straight"/>
        </w:pict>
      </w:r>
    </w:p>
    <w:p w:rsidR="00E6695E" w:rsidRPr="000456CF" w:rsidRDefault="00E6695E" w:rsidP="00E6695E">
      <w:pPr>
        <w:ind w:firstLine="709"/>
        <w:jc w:val="both"/>
        <w:rPr>
          <w:szCs w:val="28"/>
        </w:rPr>
      </w:pPr>
    </w:p>
    <w:p w:rsidR="007A6C24" w:rsidRPr="00984DD8" w:rsidRDefault="007A6C24" w:rsidP="00B64B0D">
      <w:pPr>
        <w:rPr>
          <w:szCs w:val="28"/>
        </w:rPr>
      </w:pPr>
    </w:p>
    <w:sectPr w:rsidR="007A6C24" w:rsidRPr="00984DD8" w:rsidSect="008C6C22">
      <w:headerReference w:type="default" r:id="rId17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426" w:rsidRDefault="00487426" w:rsidP="006468DF">
      <w:r>
        <w:separator/>
      </w:r>
    </w:p>
  </w:endnote>
  <w:endnote w:type="continuationSeparator" w:id="0">
    <w:p w:rsidR="00487426" w:rsidRDefault="00487426" w:rsidP="0064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5E" w:rsidRDefault="00E6695E" w:rsidP="0037674E">
    <w:pPr>
      <w:pStyle w:val="aa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6695E" w:rsidRDefault="00E6695E" w:rsidP="00F71FF9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426" w:rsidRDefault="00487426" w:rsidP="006468DF">
      <w:r>
        <w:separator/>
      </w:r>
    </w:p>
  </w:footnote>
  <w:footnote w:type="continuationSeparator" w:id="0">
    <w:p w:rsidR="00487426" w:rsidRDefault="00487426" w:rsidP="006468DF">
      <w:r>
        <w:continuationSeparator/>
      </w:r>
    </w:p>
  </w:footnote>
  <w:footnote w:id="1">
    <w:p w:rsidR="00E6695E" w:rsidRDefault="00E6695E" w:rsidP="00E6695E">
      <w:pPr>
        <w:pStyle w:val="ad"/>
      </w:pPr>
      <w:r>
        <w:rPr>
          <w:rStyle w:val="af"/>
        </w:rPr>
        <w:footnoteRef/>
      </w:r>
      <w:r>
        <w:t xml:space="preserve"> П</w:t>
      </w:r>
      <w:r w:rsidRPr="00642458">
        <w:t>о организациям (без субъек</w:t>
      </w:r>
      <w:r>
        <w:t>тов малого предпринимательства).</w:t>
      </w:r>
    </w:p>
  </w:footnote>
  <w:footnote w:id="2">
    <w:p w:rsidR="00E6695E" w:rsidRDefault="00E6695E" w:rsidP="00E6695E">
      <w:pPr>
        <w:pStyle w:val="ad"/>
        <w:jc w:val="both"/>
      </w:pPr>
      <w:r>
        <w:rPr>
          <w:rStyle w:val="af"/>
        </w:rPr>
        <w:t>2</w:t>
      </w:r>
      <w:r>
        <w:t xml:space="preserve"> По </w:t>
      </w:r>
      <w:r w:rsidRPr="00305E67">
        <w:t xml:space="preserve">организациям, средняя численность работников которых превышает 15 человек (без субъектов малого предпринимательства), </w:t>
      </w:r>
      <w:r>
        <w:t>по месту нахождения (если организация имеет территориально-обособленные подразделения, то по их месту нахождения).</w:t>
      </w:r>
    </w:p>
    <w:p w:rsidR="00E6695E" w:rsidRDefault="00E6695E" w:rsidP="00E6695E">
      <w:pPr>
        <w:pStyle w:val="ad"/>
        <w:jc w:val="both"/>
      </w:pPr>
      <w:r w:rsidRPr="001454B1">
        <w:t>В связи с переходом с 1 января 2010 года на учет производства продукции в натуральном выражении в соответствии с Общероссийским классификатором продукции по видам экономической деятельности (ОКПД) «ОК 034-2007» (введен в действие Приказом Федерального агентства по техническому регулированию и метрологии от 22.11.2007 № 329-ст) в разделе «Рыболовство» учитывается только рыба живая, свежая или охлажденная, а также немороженые ракообразные, устрицы, прочие водные беспозвоночные (живые, свежие или охлажденные) и водные биоресурсы. Рыбная продукция, произведенная в условиях промысла, учитывается по виду экономической деятельности «Переработка и консервирование рыбо- и морепродуктов» в составе обрабатывающей промышленности. Показатель «Улов рыбы и добыча других морепродуктов» в ОКПД отсутствует.</w:t>
      </w:r>
    </w:p>
  </w:footnote>
  <w:footnote w:id="3">
    <w:p w:rsidR="00E6695E" w:rsidRDefault="00E6695E" w:rsidP="00E6695E">
      <w:pPr>
        <w:pStyle w:val="ad"/>
      </w:pPr>
      <w:r>
        <w:rPr>
          <w:rStyle w:val="af"/>
        </w:rPr>
        <w:footnoteRef/>
      </w:r>
      <w:r>
        <w:t xml:space="preserve"> Оценочные данные п</w:t>
      </w:r>
      <w:r w:rsidRPr="00642458">
        <w:t xml:space="preserve">о </w:t>
      </w:r>
      <w:r>
        <w:t xml:space="preserve">полному кругу </w:t>
      </w:r>
      <w:r w:rsidRPr="00642458">
        <w:t>организаци</w:t>
      </w:r>
      <w:r>
        <w:t>й.</w:t>
      </w:r>
    </w:p>
  </w:footnote>
  <w:footnote w:id="4">
    <w:p w:rsidR="00E6695E" w:rsidRDefault="00E6695E" w:rsidP="00E6695E">
      <w:pPr>
        <w:pStyle w:val="ad"/>
      </w:pPr>
      <w:r>
        <w:rPr>
          <w:rStyle w:val="af"/>
        </w:rPr>
        <w:footnoteRef/>
      </w:r>
      <w:r>
        <w:t xml:space="preserve"> Учтенные в статистической части статрегистра.</w:t>
      </w:r>
    </w:p>
  </w:footnote>
  <w:footnote w:id="5">
    <w:p w:rsidR="00E6695E" w:rsidRPr="007C417C" w:rsidRDefault="00E6695E" w:rsidP="00E6695E">
      <w:pPr>
        <w:pStyle w:val="ad"/>
        <w:rPr>
          <w:color w:val="FFFFFF" w:themeColor="background1"/>
        </w:rPr>
      </w:pPr>
      <w:r>
        <w:rPr>
          <w:rStyle w:val="af"/>
        </w:rPr>
        <w:footnoteRef/>
      </w:r>
      <w:r w:rsidRPr="00E855DB">
        <w:rPr>
          <w:vertAlign w:val="superscript"/>
        </w:rPr>
        <w:t>,</w:t>
      </w:r>
      <w:r>
        <w:t>П</w:t>
      </w:r>
      <w:r w:rsidRPr="00642458">
        <w:t>о организациям (без субъек</w:t>
      </w:r>
      <w:r>
        <w:t>тов малого предпринимательства).</w:t>
      </w:r>
      <w:r w:rsidRPr="007C417C">
        <w:rPr>
          <w:color w:val="FFFFFF" w:themeColor="background1"/>
        </w:rPr>
        <w:t>По организациям (без субъектов малого предпринимательства).</w:t>
      </w:r>
    </w:p>
  </w:footnote>
  <w:footnote w:id="6">
    <w:p w:rsidR="00E6695E" w:rsidRPr="00002F7F" w:rsidRDefault="00E6695E" w:rsidP="00E6695E">
      <w:pPr>
        <w:pStyle w:val="ad"/>
      </w:pPr>
      <w:r w:rsidRPr="00002F7F">
        <w:rPr>
          <w:rStyle w:val="af"/>
        </w:rPr>
        <w:footnoteRef/>
      </w:r>
      <w:r w:rsidRPr="00002F7F">
        <w:t xml:space="preserve"> Без субъектов малого предпринимательства.</w:t>
      </w:r>
    </w:p>
  </w:footnote>
  <w:footnote w:id="7">
    <w:p w:rsidR="00E6695E" w:rsidRDefault="00E6695E" w:rsidP="00E6695E">
      <w:pPr>
        <w:pStyle w:val="ad"/>
      </w:pPr>
      <w:r>
        <w:rPr>
          <w:rStyle w:val="af"/>
        </w:rPr>
        <w:footnoteRef/>
      </w:r>
      <w:r>
        <w:t xml:space="preserve"> По муниципальным учреждениям здравоохранения.</w:t>
      </w:r>
    </w:p>
  </w:footnote>
  <w:footnote w:id="8">
    <w:p w:rsidR="00E6695E" w:rsidRDefault="00E6695E" w:rsidP="00E6695E">
      <w:pPr>
        <w:pStyle w:val="ad"/>
      </w:pPr>
      <w:r>
        <w:rPr>
          <w:rStyle w:val="af"/>
        </w:rPr>
        <w:footnoteRef/>
      </w:r>
      <w:r>
        <w:t xml:space="preserve"> По данным </w:t>
      </w:r>
      <w:r w:rsidRPr="00B8521E">
        <w:t>формы федерального статистического наблюдения № 1-МО «Сведения об объектах инфраструктуры муниципального образования»</w:t>
      </w:r>
      <w:r>
        <w:t>.</w:t>
      </w:r>
    </w:p>
  </w:footnote>
  <w:footnote w:id="9">
    <w:p w:rsidR="00E6695E" w:rsidRDefault="00E6695E" w:rsidP="00E6695E">
      <w:pPr>
        <w:pStyle w:val="ad"/>
      </w:pPr>
      <w:r>
        <w:rPr>
          <w:rStyle w:val="af"/>
        </w:rPr>
        <w:footnoteRef/>
      </w:r>
      <w:r>
        <w:t xml:space="preserve"> По данным </w:t>
      </w:r>
      <w:r w:rsidRPr="00B8521E">
        <w:t>формы федерального статистического наблюдения № 1-МО «Сведения об объектах инфраструктуры муниципального образования»</w:t>
      </w:r>
      <w:r>
        <w:t>.</w:t>
      </w:r>
    </w:p>
  </w:footnote>
  <w:footnote w:id="10">
    <w:p w:rsidR="00E6695E" w:rsidRDefault="00E6695E" w:rsidP="00E6695E">
      <w:pPr>
        <w:pStyle w:val="ad"/>
      </w:pPr>
      <w:r>
        <w:rPr>
          <w:rStyle w:val="af"/>
        </w:rPr>
        <w:footnoteRef/>
      </w:r>
      <w:r>
        <w:t xml:space="preserve"> П</w:t>
      </w:r>
      <w:r w:rsidRPr="00642458">
        <w:t>о организациям (без субъек</w:t>
      </w:r>
      <w:r>
        <w:t>тов малого предпринимательства).</w:t>
      </w:r>
    </w:p>
  </w:footnote>
  <w:footnote w:id="11">
    <w:p w:rsidR="00E6695E" w:rsidRDefault="00E6695E" w:rsidP="00E6695E">
      <w:pPr>
        <w:pStyle w:val="ad"/>
      </w:pPr>
      <w:r>
        <w:rPr>
          <w:rStyle w:val="af"/>
        </w:rPr>
        <w:footnoteRef/>
      </w:r>
      <w:r>
        <w:t xml:space="preserve"> Оценочные данные.</w:t>
      </w:r>
    </w:p>
  </w:footnote>
  <w:footnote w:id="12">
    <w:p w:rsidR="00E6695E" w:rsidRPr="00F047E9" w:rsidRDefault="00E6695E" w:rsidP="00E6695E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F047E9">
        <w:t>В</w:t>
      </w:r>
      <w:r>
        <w:t xml:space="preserve"> мае</w:t>
      </w:r>
      <w:r w:rsidRPr="00F047E9">
        <w:t xml:space="preserve"> 2012 года открыто новое производство</w:t>
      </w:r>
      <w:r>
        <w:t xml:space="preserve"> </w:t>
      </w:r>
      <w:r w:rsidRPr="00961CA4">
        <w:t>первого российско-исландского предприятия ООО «Мурманск-Апама»</w:t>
      </w:r>
      <w:r w:rsidRPr="00F047E9">
        <w:t xml:space="preserve">, в июне 2012 года комитетом градостроительства </w:t>
      </w:r>
      <w:r w:rsidRPr="00E40559">
        <w:t xml:space="preserve">и территориального развития </w:t>
      </w:r>
      <w:r w:rsidRPr="00F047E9">
        <w:t xml:space="preserve">администрации города Мурманска выдано разрешение на строительство предприятия по переработке рыбы </w:t>
      </w:r>
      <w:r>
        <w:t xml:space="preserve">ООО «Рыбоперерабатывающий комплекс» </w:t>
      </w:r>
      <w:r w:rsidRPr="00F047E9">
        <w:t>на улице Домостроительная, 7</w:t>
      </w:r>
      <w:r>
        <w:t>, к.4.</w:t>
      </w:r>
    </w:p>
  </w:footnote>
  <w:footnote w:id="13">
    <w:p w:rsidR="00E6695E" w:rsidRDefault="00E6695E" w:rsidP="00E6695E">
      <w:pPr>
        <w:ind w:firstLine="709"/>
        <w:jc w:val="both"/>
      </w:pPr>
      <w:r w:rsidRPr="002A3DFD">
        <w:rPr>
          <w:rStyle w:val="af"/>
          <w:sz w:val="20"/>
        </w:rPr>
        <w:footnoteRef/>
      </w:r>
      <w:r>
        <w:t xml:space="preserve"> </w:t>
      </w:r>
      <w:r w:rsidRPr="001125E2">
        <w:rPr>
          <w:bCs/>
          <w:sz w:val="20"/>
        </w:rPr>
        <w:t>Значение показателя, предоставляемого Мурманскстатом для разработки прогноза, рассчитано как отношение численности детей в ДОУ и количества мест в ДОУ, что не соответствует форме представления прогноза муниципальными образования (единица измерения показателя в соответствии с формой – «мест на 100 детей в возрасте 1-6 лет»</w:t>
      </w:r>
      <w:r>
        <w:rPr>
          <w:bCs/>
          <w:sz w:val="20"/>
        </w:rPr>
        <w:t>)</w:t>
      </w:r>
      <w:r w:rsidRPr="001125E2">
        <w:rPr>
          <w:bCs/>
          <w:sz w:val="20"/>
        </w:rPr>
        <w:t>. В связи с этим показатель рассчитан в единицах измерения по форме представления прогноза.</w:t>
      </w:r>
    </w:p>
  </w:footnote>
  <w:footnote w:id="14">
    <w:p w:rsidR="00E6695E" w:rsidRDefault="00E6695E" w:rsidP="00E6695E">
      <w:pPr>
        <w:pStyle w:val="ad"/>
      </w:pPr>
      <w:r>
        <w:rPr>
          <w:rStyle w:val="af"/>
        </w:rPr>
        <w:footnoteRef/>
      </w:r>
      <w:r w:rsidRPr="00261290">
        <w:rPr>
          <w:vertAlign w:val="superscript"/>
        </w:rPr>
        <w:t>,</w:t>
      </w:r>
      <w:r>
        <w:rPr>
          <w:vertAlign w:val="superscript"/>
        </w:rPr>
        <w:t>15</w:t>
      </w:r>
      <w:r w:rsidRPr="00261290">
        <w:rPr>
          <w:vertAlign w:val="superscript"/>
        </w:rPr>
        <w:t xml:space="preserve"> </w:t>
      </w:r>
      <w:r>
        <w:t>Значения показателей рассчитываются по итогам года.</w:t>
      </w:r>
    </w:p>
  </w:footnote>
  <w:footnote w:id="15">
    <w:p w:rsidR="00E6695E" w:rsidRDefault="00E6695E" w:rsidP="00E6695E">
      <w:pPr>
        <w:pStyle w:val="ad"/>
      </w:pPr>
      <w:r w:rsidRPr="00926AE0">
        <w:rPr>
          <w:vertAlign w:val="superscript"/>
        </w:rPr>
        <w:t xml:space="preserve">16 </w:t>
      </w:r>
      <w:r>
        <w:t>Б</w:t>
      </w:r>
      <w:r w:rsidRPr="008C1978">
        <w:t>ез субъектов малого предпринимательства</w:t>
      </w:r>
      <w:r>
        <w:t>.</w:t>
      </w:r>
    </w:p>
  </w:footnote>
  <w:footnote w:id="16">
    <w:p w:rsidR="00E6695E" w:rsidRPr="00926AE0" w:rsidRDefault="00E6695E" w:rsidP="00E6695E">
      <w:pPr>
        <w:pStyle w:val="ad"/>
        <w:rPr>
          <w:color w:val="FFFFFF" w:themeColor="background1"/>
        </w:rPr>
      </w:pPr>
      <w:r w:rsidRPr="00926AE0">
        <w:rPr>
          <w:rStyle w:val="af"/>
          <w:color w:val="FFFFFF" w:themeColor="background1"/>
        </w:rPr>
        <w:footnoteRef/>
      </w:r>
      <w:r w:rsidRPr="00926AE0">
        <w:rPr>
          <w:color w:val="FFFFFF" w:themeColor="background1"/>
        </w:rPr>
        <w:t xml:space="preserve"> </w:t>
      </w:r>
    </w:p>
  </w:footnote>
  <w:footnote w:id="17">
    <w:p w:rsidR="00E6695E" w:rsidRDefault="00E6695E" w:rsidP="00E6695E">
      <w:pPr>
        <w:pStyle w:val="ad"/>
      </w:pPr>
      <w:r>
        <w:rPr>
          <w:rStyle w:val="af"/>
        </w:rPr>
        <w:footnoteRef/>
      </w:r>
      <w:r w:rsidRPr="003D0159">
        <w:rPr>
          <w:vertAlign w:val="superscript"/>
        </w:rPr>
        <w:t>,</w:t>
      </w:r>
      <w:r w:rsidRPr="00926AE0">
        <w:rPr>
          <w:vertAlign w:val="superscript"/>
        </w:rPr>
        <w:t>1</w:t>
      </w:r>
      <w:r>
        <w:rPr>
          <w:vertAlign w:val="superscript"/>
        </w:rPr>
        <w:t>8</w:t>
      </w:r>
      <w:r>
        <w:t xml:space="preserve"> Б</w:t>
      </w:r>
      <w:r w:rsidRPr="008C1978">
        <w:t>ез субъектов малого предпринимательства</w:t>
      </w:r>
      <w:r>
        <w:t>.</w:t>
      </w:r>
    </w:p>
  </w:footnote>
  <w:footnote w:id="18">
    <w:p w:rsidR="00E6695E" w:rsidRPr="00926AE0" w:rsidRDefault="00E6695E" w:rsidP="00E6695E">
      <w:pPr>
        <w:pStyle w:val="ad"/>
        <w:rPr>
          <w:color w:val="FFFFFF" w:themeColor="background1"/>
        </w:rPr>
      </w:pPr>
      <w:r w:rsidRPr="00926AE0">
        <w:rPr>
          <w:rStyle w:val="af"/>
          <w:color w:val="FFFFFF" w:themeColor="background1"/>
        </w:rPr>
        <w:footnoteRef/>
      </w:r>
      <w:r w:rsidRPr="00926AE0">
        <w:rPr>
          <w:color w:val="FFFFFF" w:themeColor="background1"/>
        </w:rPr>
        <w:t xml:space="preserve"> </w:t>
      </w:r>
    </w:p>
  </w:footnote>
  <w:footnote w:id="19">
    <w:p w:rsidR="00E6695E" w:rsidRDefault="00E6695E" w:rsidP="00E6695E">
      <w:pPr>
        <w:pStyle w:val="ad"/>
      </w:pPr>
      <w:r>
        <w:rPr>
          <w:vertAlign w:val="superscript"/>
        </w:rPr>
        <w:t>19</w:t>
      </w:r>
      <w:r w:rsidRPr="00261290">
        <w:rPr>
          <w:vertAlign w:val="superscript"/>
        </w:rPr>
        <w:t xml:space="preserve"> </w:t>
      </w:r>
      <w:r w:rsidRPr="00926AE0">
        <w:t>З</w:t>
      </w:r>
      <w:r>
        <w:t>начения показателей рассчитываются по итогам года.</w:t>
      </w:r>
    </w:p>
  </w:footnote>
  <w:footnote w:id="20">
    <w:p w:rsidR="00E6695E" w:rsidRDefault="00E6695E" w:rsidP="00E6695E">
      <w:pPr>
        <w:pStyle w:val="ad"/>
      </w:pPr>
      <w:r>
        <w:rPr>
          <w:vertAlign w:val="superscript"/>
        </w:rPr>
        <w:t>20,21,22</w:t>
      </w:r>
      <w:r>
        <w:t xml:space="preserve"> Б</w:t>
      </w:r>
      <w:r w:rsidRPr="008C1978">
        <w:t>ез субъектов малого предпринимательства</w:t>
      </w:r>
      <w:r>
        <w:t>.</w:t>
      </w:r>
    </w:p>
  </w:footnote>
  <w:footnote w:id="21">
    <w:p w:rsidR="00E6695E" w:rsidRDefault="00E6695E" w:rsidP="00E6695E">
      <w:pPr>
        <w:pStyle w:val="ad"/>
      </w:pPr>
    </w:p>
  </w:footnote>
  <w:footnote w:id="22">
    <w:p w:rsidR="00E6695E" w:rsidRDefault="00E6695E" w:rsidP="00E6695E">
      <w:pPr>
        <w:pStyle w:val="ad"/>
      </w:pPr>
    </w:p>
  </w:footnote>
  <w:footnote w:id="23">
    <w:p w:rsidR="00E6695E" w:rsidRDefault="00E6695E" w:rsidP="00E6695E">
      <w:pPr>
        <w:pStyle w:val="ad"/>
      </w:pPr>
      <w:r>
        <w:rPr>
          <w:vertAlign w:val="superscript"/>
        </w:rPr>
        <w:t>23</w:t>
      </w:r>
      <w:r>
        <w:t xml:space="preserve"> Б</w:t>
      </w:r>
      <w:r w:rsidRPr="008C1978">
        <w:t>ез субъектов малого предпринимательства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813"/>
      <w:docPartObj>
        <w:docPartGallery w:val="Page Numbers (Top of Page)"/>
        <w:docPartUnique/>
      </w:docPartObj>
    </w:sdtPr>
    <w:sdtContent>
      <w:p w:rsidR="00FD1798" w:rsidRDefault="009618DB">
        <w:pPr>
          <w:pStyle w:val="a8"/>
          <w:jc w:val="center"/>
        </w:pPr>
        <w:fldSimple w:instr=" PAGE   \* MERGEFORMAT ">
          <w:r w:rsidR="00E6695E">
            <w:rPr>
              <w:noProof/>
            </w:rPr>
            <w:t>2</w:t>
          </w:r>
        </w:fldSimple>
      </w:p>
    </w:sdtContent>
  </w:sdt>
  <w:p w:rsidR="00FD1798" w:rsidRDefault="00FD179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798" w:rsidRDefault="00FD1798">
    <w:pPr>
      <w:pStyle w:val="a8"/>
      <w:jc w:val="center"/>
    </w:pPr>
  </w:p>
  <w:p w:rsidR="00FD1798" w:rsidRDefault="00FD179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5E" w:rsidRDefault="00E6695E" w:rsidP="007713AA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6695E" w:rsidRDefault="00E6695E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5E" w:rsidRDefault="00E6695E" w:rsidP="007713AA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4</w:t>
    </w:r>
    <w:r>
      <w:rPr>
        <w:rStyle w:val="af4"/>
      </w:rPr>
      <w:fldChar w:fldCharType="end"/>
    </w:r>
  </w:p>
  <w:p w:rsidR="00E6695E" w:rsidRDefault="00E6695E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5E" w:rsidRDefault="00E6695E" w:rsidP="00BE2E0D">
    <w:pPr>
      <w:pStyle w:val="a8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5E" w:rsidRDefault="00E6695E">
    <w:pPr>
      <w:pStyle w:val="a8"/>
      <w:jc w:val="center"/>
    </w:pPr>
    <w:fldSimple w:instr=" PAGE   \* MERGEFORMAT ">
      <w:r>
        <w:rPr>
          <w:noProof/>
        </w:rPr>
        <w:t>15</w:t>
      </w:r>
    </w:fldSimple>
  </w:p>
  <w:p w:rsidR="00E6695E" w:rsidRDefault="00E6695E">
    <w:pPr>
      <w:pStyle w:val="a8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5E" w:rsidRDefault="00E6695E">
    <w:pPr>
      <w:pStyle w:val="a8"/>
      <w:jc w:val="center"/>
    </w:pPr>
    <w:fldSimple w:instr=" PAGE   \* MERGEFORMAT ">
      <w:r>
        <w:rPr>
          <w:noProof/>
        </w:rPr>
        <w:t>39</w:t>
      </w:r>
    </w:fldSimple>
  </w:p>
  <w:p w:rsidR="00E6695E" w:rsidRDefault="00E6695E">
    <w:pPr>
      <w:pStyle w:val="a8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4FC" w:rsidRPr="00B866FF" w:rsidRDefault="0048742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695E">
      <w:rPr>
        <w:noProof/>
      </w:rPr>
      <w:t>45</w:t>
    </w:r>
    <w:r>
      <w:fldChar w:fldCharType="end"/>
    </w:r>
  </w:p>
  <w:p w:rsidR="006244FC" w:rsidRPr="00ED3C00" w:rsidRDefault="0048742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87C19"/>
    <w:multiLevelType w:val="hybridMultilevel"/>
    <w:tmpl w:val="F6EEAD16"/>
    <w:lvl w:ilvl="0" w:tplc="488A352A">
      <w:start w:val="4"/>
      <w:numFmt w:val="bullet"/>
      <w:lvlText w:val="-"/>
      <w:lvlJc w:val="left"/>
      <w:pPr>
        <w:tabs>
          <w:tab w:val="num" w:pos="1692"/>
        </w:tabs>
        <w:ind w:left="1692" w:hanging="97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175AD"/>
    <w:multiLevelType w:val="hybridMultilevel"/>
    <w:tmpl w:val="5BA43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376FFB"/>
    <w:multiLevelType w:val="hybridMultilevel"/>
    <w:tmpl w:val="6FF6BBAE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7C23458"/>
    <w:multiLevelType w:val="hybridMultilevel"/>
    <w:tmpl w:val="C90C7D8C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C42F7D"/>
    <w:multiLevelType w:val="hybridMultilevel"/>
    <w:tmpl w:val="1EA06B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1725856"/>
    <w:multiLevelType w:val="hybridMultilevel"/>
    <w:tmpl w:val="CC544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424795B"/>
    <w:multiLevelType w:val="hybridMultilevel"/>
    <w:tmpl w:val="5B9021C8"/>
    <w:lvl w:ilvl="0" w:tplc="52DC321A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BD118E"/>
    <w:multiLevelType w:val="hybridMultilevel"/>
    <w:tmpl w:val="2C146288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>
    <w:nsid w:val="71F34446"/>
    <w:multiLevelType w:val="hybridMultilevel"/>
    <w:tmpl w:val="9328EAE6"/>
    <w:lvl w:ilvl="0" w:tplc="A64AE01A">
      <w:start w:val="1"/>
      <w:numFmt w:val="bullet"/>
      <w:pStyle w:val="-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E243A1"/>
    <w:multiLevelType w:val="singleLevel"/>
    <w:tmpl w:val="EE8C1200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4"/>
  </w:num>
  <w:num w:numId="2">
    <w:abstractNumId w:val="20"/>
  </w:num>
  <w:num w:numId="3">
    <w:abstractNumId w:val="16"/>
  </w:num>
  <w:num w:numId="4">
    <w:abstractNumId w:val="1"/>
  </w:num>
  <w:num w:numId="5">
    <w:abstractNumId w:val="21"/>
  </w:num>
  <w:num w:numId="6">
    <w:abstractNumId w:val="12"/>
  </w:num>
  <w:num w:numId="7">
    <w:abstractNumId w:val="11"/>
  </w:num>
  <w:num w:numId="8">
    <w:abstractNumId w:val="19"/>
  </w:num>
  <w:num w:numId="9">
    <w:abstractNumId w:val="4"/>
  </w:num>
  <w:num w:numId="10">
    <w:abstractNumId w:val="5"/>
  </w:num>
  <w:num w:numId="11">
    <w:abstractNumId w:val="24"/>
  </w:num>
  <w:num w:numId="12">
    <w:abstractNumId w:val="23"/>
  </w:num>
  <w:num w:numId="13">
    <w:abstractNumId w:val="7"/>
  </w:num>
  <w:num w:numId="14">
    <w:abstractNumId w:val="2"/>
  </w:num>
  <w:num w:numId="15">
    <w:abstractNumId w:val="0"/>
  </w:num>
  <w:num w:numId="16">
    <w:abstractNumId w:val="8"/>
  </w:num>
  <w:num w:numId="17">
    <w:abstractNumId w:val="10"/>
  </w:num>
  <w:num w:numId="18">
    <w:abstractNumId w:val="25"/>
  </w:num>
  <w:num w:numId="19">
    <w:abstractNumId w:val="22"/>
  </w:num>
  <w:num w:numId="20">
    <w:abstractNumId w:val="6"/>
  </w:num>
  <w:num w:numId="21">
    <w:abstractNumId w:val="15"/>
  </w:num>
  <w:num w:numId="22">
    <w:abstractNumId w:val="17"/>
  </w:num>
  <w:num w:numId="23">
    <w:abstractNumId w:val="18"/>
  </w:num>
  <w:num w:numId="24">
    <w:abstractNumId w:val="13"/>
  </w:num>
  <w:num w:numId="25">
    <w:abstractNumId w:val="3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843"/>
    <w:rsid w:val="00002C43"/>
    <w:rsid w:val="0001068C"/>
    <w:rsid w:val="00010BB7"/>
    <w:rsid w:val="00013C43"/>
    <w:rsid w:val="0001465B"/>
    <w:rsid w:val="00015A63"/>
    <w:rsid w:val="00017469"/>
    <w:rsid w:val="0002215E"/>
    <w:rsid w:val="00025BDF"/>
    <w:rsid w:val="00027D11"/>
    <w:rsid w:val="00044E88"/>
    <w:rsid w:val="000516C1"/>
    <w:rsid w:val="00055458"/>
    <w:rsid w:val="00055A0E"/>
    <w:rsid w:val="00057E9C"/>
    <w:rsid w:val="00060521"/>
    <w:rsid w:val="0006187B"/>
    <w:rsid w:val="00062172"/>
    <w:rsid w:val="00063813"/>
    <w:rsid w:val="000652E8"/>
    <w:rsid w:val="00065817"/>
    <w:rsid w:val="00066573"/>
    <w:rsid w:val="00067149"/>
    <w:rsid w:val="00067EFC"/>
    <w:rsid w:val="00071AB9"/>
    <w:rsid w:val="00074A48"/>
    <w:rsid w:val="00074E88"/>
    <w:rsid w:val="00075388"/>
    <w:rsid w:val="00076C6E"/>
    <w:rsid w:val="0008382E"/>
    <w:rsid w:val="000924EC"/>
    <w:rsid w:val="00096E2C"/>
    <w:rsid w:val="00096F8D"/>
    <w:rsid w:val="00097D84"/>
    <w:rsid w:val="000A2B97"/>
    <w:rsid w:val="000B1838"/>
    <w:rsid w:val="000B3322"/>
    <w:rsid w:val="000B3E56"/>
    <w:rsid w:val="000B593A"/>
    <w:rsid w:val="000C08B8"/>
    <w:rsid w:val="000D6F3B"/>
    <w:rsid w:val="000E3A00"/>
    <w:rsid w:val="000F17B8"/>
    <w:rsid w:val="000F4145"/>
    <w:rsid w:val="00100AF8"/>
    <w:rsid w:val="0010189A"/>
    <w:rsid w:val="00102B59"/>
    <w:rsid w:val="00105DFB"/>
    <w:rsid w:val="00105EF3"/>
    <w:rsid w:val="0011023D"/>
    <w:rsid w:val="00112323"/>
    <w:rsid w:val="00113F93"/>
    <w:rsid w:val="00114C8E"/>
    <w:rsid w:val="001151EF"/>
    <w:rsid w:val="00115385"/>
    <w:rsid w:val="00115657"/>
    <w:rsid w:val="001208D9"/>
    <w:rsid w:val="00125839"/>
    <w:rsid w:val="0013668F"/>
    <w:rsid w:val="00140D0A"/>
    <w:rsid w:val="00146BC9"/>
    <w:rsid w:val="001476B7"/>
    <w:rsid w:val="00150795"/>
    <w:rsid w:val="00156699"/>
    <w:rsid w:val="00156857"/>
    <w:rsid w:val="00160D66"/>
    <w:rsid w:val="0016219F"/>
    <w:rsid w:val="001664EC"/>
    <w:rsid w:val="00170CAA"/>
    <w:rsid w:val="00175BD7"/>
    <w:rsid w:val="00175C5F"/>
    <w:rsid w:val="00181695"/>
    <w:rsid w:val="001831C4"/>
    <w:rsid w:val="00184077"/>
    <w:rsid w:val="00186107"/>
    <w:rsid w:val="001867EB"/>
    <w:rsid w:val="00191E77"/>
    <w:rsid w:val="00193A0B"/>
    <w:rsid w:val="00193D77"/>
    <w:rsid w:val="001A3D23"/>
    <w:rsid w:val="001A487C"/>
    <w:rsid w:val="001A5376"/>
    <w:rsid w:val="001A61D9"/>
    <w:rsid w:val="001A75C8"/>
    <w:rsid w:val="001B33CF"/>
    <w:rsid w:val="001B44BA"/>
    <w:rsid w:val="001B594F"/>
    <w:rsid w:val="001B6A90"/>
    <w:rsid w:val="001B7A32"/>
    <w:rsid w:val="001C1DFA"/>
    <w:rsid w:val="001C7762"/>
    <w:rsid w:val="001E3026"/>
    <w:rsid w:val="001E7800"/>
    <w:rsid w:val="001F6266"/>
    <w:rsid w:val="001F6EFB"/>
    <w:rsid w:val="002031FE"/>
    <w:rsid w:val="002046A2"/>
    <w:rsid w:val="00206CFE"/>
    <w:rsid w:val="00211830"/>
    <w:rsid w:val="0021189F"/>
    <w:rsid w:val="00213579"/>
    <w:rsid w:val="0022011E"/>
    <w:rsid w:val="002202C2"/>
    <w:rsid w:val="00230CC4"/>
    <w:rsid w:val="00231EB8"/>
    <w:rsid w:val="00242697"/>
    <w:rsid w:val="00242FED"/>
    <w:rsid w:val="0024616F"/>
    <w:rsid w:val="002475AB"/>
    <w:rsid w:val="002516EA"/>
    <w:rsid w:val="00252E07"/>
    <w:rsid w:val="00253FE8"/>
    <w:rsid w:val="00256180"/>
    <w:rsid w:val="00257984"/>
    <w:rsid w:val="00261627"/>
    <w:rsid w:val="00265C9D"/>
    <w:rsid w:val="00266842"/>
    <w:rsid w:val="00267471"/>
    <w:rsid w:val="002762E6"/>
    <w:rsid w:val="00282E32"/>
    <w:rsid w:val="00285011"/>
    <w:rsid w:val="00292D48"/>
    <w:rsid w:val="00295166"/>
    <w:rsid w:val="002A0ECD"/>
    <w:rsid w:val="002A388C"/>
    <w:rsid w:val="002A396F"/>
    <w:rsid w:val="002A416B"/>
    <w:rsid w:val="002A5429"/>
    <w:rsid w:val="002A63D3"/>
    <w:rsid w:val="002A7A1D"/>
    <w:rsid w:val="002B0056"/>
    <w:rsid w:val="002B0270"/>
    <w:rsid w:val="002B17C8"/>
    <w:rsid w:val="002B49F1"/>
    <w:rsid w:val="002B68BC"/>
    <w:rsid w:val="002B6D26"/>
    <w:rsid w:val="002D1986"/>
    <w:rsid w:val="002D230B"/>
    <w:rsid w:val="002D3917"/>
    <w:rsid w:val="002E2F6A"/>
    <w:rsid w:val="002E3B46"/>
    <w:rsid w:val="002E4EAA"/>
    <w:rsid w:val="002E7FA2"/>
    <w:rsid w:val="002F116F"/>
    <w:rsid w:val="002F4C5A"/>
    <w:rsid w:val="002F58F9"/>
    <w:rsid w:val="002F604A"/>
    <w:rsid w:val="002F7250"/>
    <w:rsid w:val="003019B2"/>
    <w:rsid w:val="00301E5A"/>
    <w:rsid w:val="003156A8"/>
    <w:rsid w:val="00317B7F"/>
    <w:rsid w:val="00324194"/>
    <w:rsid w:val="003317A2"/>
    <w:rsid w:val="0033307F"/>
    <w:rsid w:val="00337418"/>
    <w:rsid w:val="0034110D"/>
    <w:rsid w:val="00344879"/>
    <w:rsid w:val="003457BD"/>
    <w:rsid w:val="00345E34"/>
    <w:rsid w:val="00350F2B"/>
    <w:rsid w:val="003537C5"/>
    <w:rsid w:val="003575C8"/>
    <w:rsid w:val="00363D25"/>
    <w:rsid w:val="00366892"/>
    <w:rsid w:val="00371353"/>
    <w:rsid w:val="0037257D"/>
    <w:rsid w:val="00383F24"/>
    <w:rsid w:val="00387181"/>
    <w:rsid w:val="00393EB1"/>
    <w:rsid w:val="00396048"/>
    <w:rsid w:val="003A1B9B"/>
    <w:rsid w:val="003A4365"/>
    <w:rsid w:val="003B1C3B"/>
    <w:rsid w:val="003B2BAB"/>
    <w:rsid w:val="003B45FB"/>
    <w:rsid w:val="003B610A"/>
    <w:rsid w:val="003D2B51"/>
    <w:rsid w:val="003D2F8F"/>
    <w:rsid w:val="003D3275"/>
    <w:rsid w:val="003D781E"/>
    <w:rsid w:val="003E097F"/>
    <w:rsid w:val="003E3CB1"/>
    <w:rsid w:val="003E5C89"/>
    <w:rsid w:val="003E64A7"/>
    <w:rsid w:val="003F2AF6"/>
    <w:rsid w:val="00413463"/>
    <w:rsid w:val="00421F9A"/>
    <w:rsid w:val="00424303"/>
    <w:rsid w:val="00426D31"/>
    <w:rsid w:val="00426E04"/>
    <w:rsid w:val="0043106E"/>
    <w:rsid w:val="00431793"/>
    <w:rsid w:val="00436D94"/>
    <w:rsid w:val="004428BB"/>
    <w:rsid w:val="004440DB"/>
    <w:rsid w:val="0044556C"/>
    <w:rsid w:val="00452AA0"/>
    <w:rsid w:val="00466713"/>
    <w:rsid w:val="00472766"/>
    <w:rsid w:val="004746D4"/>
    <w:rsid w:val="00474A32"/>
    <w:rsid w:val="00477532"/>
    <w:rsid w:val="0048444F"/>
    <w:rsid w:val="00484D38"/>
    <w:rsid w:val="00484DE5"/>
    <w:rsid w:val="004862AB"/>
    <w:rsid w:val="00487426"/>
    <w:rsid w:val="004927C3"/>
    <w:rsid w:val="00493AFF"/>
    <w:rsid w:val="00493CEE"/>
    <w:rsid w:val="00495EB2"/>
    <w:rsid w:val="004A142D"/>
    <w:rsid w:val="004A57F4"/>
    <w:rsid w:val="004B1D11"/>
    <w:rsid w:val="004B2BFC"/>
    <w:rsid w:val="004B536A"/>
    <w:rsid w:val="004B566A"/>
    <w:rsid w:val="004C1627"/>
    <w:rsid w:val="004C20BA"/>
    <w:rsid w:val="004C258F"/>
    <w:rsid w:val="004C5B67"/>
    <w:rsid w:val="004D0557"/>
    <w:rsid w:val="004D2073"/>
    <w:rsid w:val="004E25F0"/>
    <w:rsid w:val="004E3CF9"/>
    <w:rsid w:val="004E59CA"/>
    <w:rsid w:val="004E6FE7"/>
    <w:rsid w:val="004F0906"/>
    <w:rsid w:val="004F1DB5"/>
    <w:rsid w:val="004F2132"/>
    <w:rsid w:val="004F44A5"/>
    <w:rsid w:val="004F7CA3"/>
    <w:rsid w:val="00505B86"/>
    <w:rsid w:val="00513023"/>
    <w:rsid w:val="00515C57"/>
    <w:rsid w:val="00537B27"/>
    <w:rsid w:val="00537BF7"/>
    <w:rsid w:val="00544CE8"/>
    <w:rsid w:val="00546E2B"/>
    <w:rsid w:val="005500D1"/>
    <w:rsid w:val="00553A30"/>
    <w:rsid w:val="005543C9"/>
    <w:rsid w:val="00554952"/>
    <w:rsid w:val="0055613C"/>
    <w:rsid w:val="005564C7"/>
    <w:rsid w:val="00560B2D"/>
    <w:rsid w:val="005675D8"/>
    <w:rsid w:val="00567A1E"/>
    <w:rsid w:val="00571B29"/>
    <w:rsid w:val="005777B1"/>
    <w:rsid w:val="00581137"/>
    <w:rsid w:val="00584ED2"/>
    <w:rsid w:val="00586F4B"/>
    <w:rsid w:val="005926F7"/>
    <w:rsid w:val="00594614"/>
    <w:rsid w:val="005978A5"/>
    <w:rsid w:val="005A14D9"/>
    <w:rsid w:val="005A42AD"/>
    <w:rsid w:val="005A4894"/>
    <w:rsid w:val="005B032D"/>
    <w:rsid w:val="005B0C46"/>
    <w:rsid w:val="005C1539"/>
    <w:rsid w:val="005C4EB5"/>
    <w:rsid w:val="005D28B9"/>
    <w:rsid w:val="005D4645"/>
    <w:rsid w:val="005D57F5"/>
    <w:rsid w:val="005D67C3"/>
    <w:rsid w:val="005E0439"/>
    <w:rsid w:val="005F1222"/>
    <w:rsid w:val="005F7886"/>
    <w:rsid w:val="00600678"/>
    <w:rsid w:val="006023FE"/>
    <w:rsid w:val="00602D3C"/>
    <w:rsid w:val="0060366F"/>
    <w:rsid w:val="0060416D"/>
    <w:rsid w:val="006064D1"/>
    <w:rsid w:val="00606D01"/>
    <w:rsid w:val="00612961"/>
    <w:rsid w:val="00613165"/>
    <w:rsid w:val="00615CD4"/>
    <w:rsid w:val="00616A4F"/>
    <w:rsid w:val="0062257D"/>
    <w:rsid w:val="00624857"/>
    <w:rsid w:val="00631E25"/>
    <w:rsid w:val="0063323A"/>
    <w:rsid w:val="006335CC"/>
    <w:rsid w:val="00634312"/>
    <w:rsid w:val="0063641B"/>
    <w:rsid w:val="00637324"/>
    <w:rsid w:val="006374A8"/>
    <w:rsid w:val="0064194B"/>
    <w:rsid w:val="006468DF"/>
    <w:rsid w:val="006559A6"/>
    <w:rsid w:val="00657524"/>
    <w:rsid w:val="00662422"/>
    <w:rsid w:val="00662F3B"/>
    <w:rsid w:val="00667EFC"/>
    <w:rsid w:val="006726C5"/>
    <w:rsid w:val="00677013"/>
    <w:rsid w:val="00677278"/>
    <w:rsid w:val="00681EE3"/>
    <w:rsid w:val="00682419"/>
    <w:rsid w:val="00683208"/>
    <w:rsid w:val="0068417A"/>
    <w:rsid w:val="006852A8"/>
    <w:rsid w:val="00685CD0"/>
    <w:rsid w:val="006923C3"/>
    <w:rsid w:val="00693D56"/>
    <w:rsid w:val="006948F8"/>
    <w:rsid w:val="00696425"/>
    <w:rsid w:val="006A077B"/>
    <w:rsid w:val="006A181A"/>
    <w:rsid w:val="006B2152"/>
    <w:rsid w:val="006B44A4"/>
    <w:rsid w:val="006B4E0C"/>
    <w:rsid w:val="006B5F2C"/>
    <w:rsid w:val="006C4C37"/>
    <w:rsid w:val="006C68BF"/>
    <w:rsid w:val="006D3573"/>
    <w:rsid w:val="006E28E9"/>
    <w:rsid w:val="006E29B3"/>
    <w:rsid w:val="006E511E"/>
    <w:rsid w:val="006E6A4A"/>
    <w:rsid w:val="006F1EF6"/>
    <w:rsid w:val="006F4E06"/>
    <w:rsid w:val="00701EBB"/>
    <w:rsid w:val="00702066"/>
    <w:rsid w:val="00705ACC"/>
    <w:rsid w:val="007172B7"/>
    <w:rsid w:val="00717F39"/>
    <w:rsid w:val="0072060F"/>
    <w:rsid w:val="00721B14"/>
    <w:rsid w:val="00723999"/>
    <w:rsid w:val="007321FB"/>
    <w:rsid w:val="00736A77"/>
    <w:rsid w:val="00737EB3"/>
    <w:rsid w:val="00743008"/>
    <w:rsid w:val="00747C94"/>
    <w:rsid w:val="007518ED"/>
    <w:rsid w:val="0075390A"/>
    <w:rsid w:val="00756048"/>
    <w:rsid w:val="007639C9"/>
    <w:rsid w:val="007652C3"/>
    <w:rsid w:val="00766410"/>
    <w:rsid w:val="00770DF2"/>
    <w:rsid w:val="00773C4A"/>
    <w:rsid w:val="007742C5"/>
    <w:rsid w:val="0077527C"/>
    <w:rsid w:val="00780913"/>
    <w:rsid w:val="007845D5"/>
    <w:rsid w:val="00784640"/>
    <w:rsid w:val="007877E1"/>
    <w:rsid w:val="00792030"/>
    <w:rsid w:val="007944BA"/>
    <w:rsid w:val="007A38B0"/>
    <w:rsid w:val="007A3E8D"/>
    <w:rsid w:val="007A6C24"/>
    <w:rsid w:val="007A6F97"/>
    <w:rsid w:val="007A7491"/>
    <w:rsid w:val="007A7D8B"/>
    <w:rsid w:val="007B2AC8"/>
    <w:rsid w:val="007B2D16"/>
    <w:rsid w:val="007C2356"/>
    <w:rsid w:val="007C3EC2"/>
    <w:rsid w:val="007C4CA9"/>
    <w:rsid w:val="007D2477"/>
    <w:rsid w:val="007D4BEE"/>
    <w:rsid w:val="007E0292"/>
    <w:rsid w:val="007E0BE4"/>
    <w:rsid w:val="007F3096"/>
    <w:rsid w:val="007F4B69"/>
    <w:rsid w:val="007F4BA9"/>
    <w:rsid w:val="007F5174"/>
    <w:rsid w:val="00801131"/>
    <w:rsid w:val="00804AD7"/>
    <w:rsid w:val="008109F0"/>
    <w:rsid w:val="0081184A"/>
    <w:rsid w:val="00812484"/>
    <w:rsid w:val="008151E0"/>
    <w:rsid w:val="0081669B"/>
    <w:rsid w:val="00822C8F"/>
    <w:rsid w:val="00822C97"/>
    <w:rsid w:val="00823959"/>
    <w:rsid w:val="00824CC4"/>
    <w:rsid w:val="00824DB5"/>
    <w:rsid w:val="008324CE"/>
    <w:rsid w:val="00841FE3"/>
    <w:rsid w:val="00843AEE"/>
    <w:rsid w:val="00844ECC"/>
    <w:rsid w:val="00850DC0"/>
    <w:rsid w:val="008517CC"/>
    <w:rsid w:val="0085257C"/>
    <w:rsid w:val="00852EB8"/>
    <w:rsid w:val="00856F43"/>
    <w:rsid w:val="00861CAF"/>
    <w:rsid w:val="00865457"/>
    <w:rsid w:val="00867AEB"/>
    <w:rsid w:val="008707C8"/>
    <w:rsid w:val="00871BB6"/>
    <w:rsid w:val="00875F28"/>
    <w:rsid w:val="008876D1"/>
    <w:rsid w:val="008904B8"/>
    <w:rsid w:val="00892130"/>
    <w:rsid w:val="00892FAF"/>
    <w:rsid w:val="008A61A9"/>
    <w:rsid w:val="008B784B"/>
    <w:rsid w:val="008C40B1"/>
    <w:rsid w:val="008C600A"/>
    <w:rsid w:val="008D2C53"/>
    <w:rsid w:val="008E30E2"/>
    <w:rsid w:val="008E510B"/>
    <w:rsid w:val="008F0183"/>
    <w:rsid w:val="008F77FB"/>
    <w:rsid w:val="009000DC"/>
    <w:rsid w:val="00907122"/>
    <w:rsid w:val="00911C74"/>
    <w:rsid w:val="00913D32"/>
    <w:rsid w:val="00915905"/>
    <w:rsid w:val="00916005"/>
    <w:rsid w:val="0092096C"/>
    <w:rsid w:val="0092796F"/>
    <w:rsid w:val="00930883"/>
    <w:rsid w:val="009402B5"/>
    <w:rsid w:val="00940983"/>
    <w:rsid w:val="00951FE5"/>
    <w:rsid w:val="00955E26"/>
    <w:rsid w:val="009618DB"/>
    <w:rsid w:val="00965DAC"/>
    <w:rsid w:val="00967917"/>
    <w:rsid w:val="00974878"/>
    <w:rsid w:val="00984DD8"/>
    <w:rsid w:val="00987702"/>
    <w:rsid w:val="00990198"/>
    <w:rsid w:val="009976F0"/>
    <w:rsid w:val="009A3C1C"/>
    <w:rsid w:val="009A7AFB"/>
    <w:rsid w:val="009A7FF5"/>
    <w:rsid w:val="009B3DD1"/>
    <w:rsid w:val="009B4F06"/>
    <w:rsid w:val="009B73CA"/>
    <w:rsid w:val="009C11F9"/>
    <w:rsid w:val="009C6F22"/>
    <w:rsid w:val="009D223D"/>
    <w:rsid w:val="009D2B11"/>
    <w:rsid w:val="009D2BA5"/>
    <w:rsid w:val="009D3F26"/>
    <w:rsid w:val="009D4266"/>
    <w:rsid w:val="009E0AF2"/>
    <w:rsid w:val="009E1E6D"/>
    <w:rsid w:val="009E2472"/>
    <w:rsid w:val="009E25D9"/>
    <w:rsid w:val="009F0D31"/>
    <w:rsid w:val="009F0D87"/>
    <w:rsid w:val="009F10BB"/>
    <w:rsid w:val="00A068FF"/>
    <w:rsid w:val="00A14869"/>
    <w:rsid w:val="00A14D89"/>
    <w:rsid w:val="00A16658"/>
    <w:rsid w:val="00A16B84"/>
    <w:rsid w:val="00A21D32"/>
    <w:rsid w:val="00A24494"/>
    <w:rsid w:val="00A25B05"/>
    <w:rsid w:val="00A32E5E"/>
    <w:rsid w:val="00A35393"/>
    <w:rsid w:val="00A404A2"/>
    <w:rsid w:val="00A405F1"/>
    <w:rsid w:val="00A421E0"/>
    <w:rsid w:val="00A44604"/>
    <w:rsid w:val="00A469AE"/>
    <w:rsid w:val="00A52544"/>
    <w:rsid w:val="00A535D6"/>
    <w:rsid w:val="00A558B3"/>
    <w:rsid w:val="00A6525A"/>
    <w:rsid w:val="00A67247"/>
    <w:rsid w:val="00A7082B"/>
    <w:rsid w:val="00A70D16"/>
    <w:rsid w:val="00A73271"/>
    <w:rsid w:val="00A76E05"/>
    <w:rsid w:val="00A81DD2"/>
    <w:rsid w:val="00A91303"/>
    <w:rsid w:val="00A967A8"/>
    <w:rsid w:val="00AA29EB"/>
    <w:rsid w:val="00AA67C4"/>
    <w:rsid w:val="00AB05FC"/>
    <w:rsid w:val="00AB0BFA"/>
    <w:rsid w:val="00AB11EB"/>
    <w:rsid w:val="00AC1F25"/>
    <w:rsid w:val="00AC23F6"/>
    <w:rsid w:val="00AC43FB"/>
    <w:rsid w:val="00AC7CE8"/>
    <w:rsid w:val="00AD18CC"/>
    <w:rsid w:val="00AD4FCA"/>
    <w:rsid w:val="00AE37DD"/>
    <w:rsid w:val="00AE3C9A"/>
    <w:rsid w:val="00AF0516"/>
    <w:rsid w:val="00AF3412"/>
    <w:rsid w:val="00AF5810"/>
    <w:rsid w:val="00AF5F21"/>
    <w:rsid w:val="00B00FC6"/>
    <w:rsid w:val="00B064B5"/>
    <w:rsid w:val="00B072D5"/>
    <w:rsid w:val="00B07628"/>
    <w:rsid w:val="00B2339C"/>
    <w:rsid w:val="00B302D0"/>
    <w:rsid w:val="00B32B6E"/>
    <w:rsid w:val="00B35AFC"/>
    <w:rsid w:val="00B436DA"/>
    <w:rsid w:val="00B4587B"/>
    <w:rsid w:val="00B4669A"/>
    <w:rsid w:val="00B51248"/>
    <w:rsid w:val="00B51812"/>
    <w:rsid w:val="00B518C8"/>
    <w:rsid w:val="00B52D55"/>
    <w:rsid w:val="00B55FD0"/>
    <w:rsid w:val="00B567D3"/>
    <w:rsid w:val="00B64B0D"/>
    <w:rsid w:val="00B6759B"/>
    <w:rsid w:val="00B72345"/>
    <w:rsid w:val="00B72B55"/>
    <w:rsid w:val="00B72D1D"/>
    <w:rsid w:val="00B759E4"/>
    <w:rsid w:val="00B77ADC"/>
    <w:rsid w:val="00B86485"/>
    <w:rsid w:val="00B866DE"/>
    <w:rsid w:val="00B91055"/>
    <w:rsid w:val="00B91555"/>
    <w:rsid w:val="00B93BE9"/>
    <w:rsid w:val="00B9497D"/>
    <w:rsid w:val="00B96EFB"/>
    <w:rsid w:val="00B9731E"/>
    <w:rsid w:val="00BA0B1D"/>
    <w:rsid w:val="00BA3D39"/>
    <w:rsid w:val="00BA51E5"/>
    <w:rsid w:val="00BB0502"/>
    <w:rsid w:val="00BB2916"/>
    <w:rsid w:val="00BB7381"/>
    <w:rsid w:val="00BC0E9F"/>
    <w:rsid w:val="00BC3850"/>
    <w:rsid w:val="00BC4039"/>
    <w:rsid w:val="00BC503C"/>
    <w:rsid w:val="00BD7869"/>
    <w:rsid w:val="00BE1539"/>
    <w:rsid w:val="00BE3D1E"/>
    <w:rsid w:val="00BE4F59"/>
    <w:rsid w:val="00BF1FBE"/>
    <w:rsid w:val="00BF4BDB"/>
    <w:rsid w:val="00C03ED1"/>
    <w:rsid w:val="00C0406F"/>
    <w:rsid w:val="00C04534"/>
    <w:rsid w:val="00C06483"/>
    <w:rsid w:val="00C065A8"/>
    <w:rsid w:val="00C1088C"/>
    <w:rsid w:val="00C1120F"/>
    <w:rsid w:val="00C1345D"/>
    <w:rsid w:val="00C164A3"/>
    <w:rsid w:val="00C2166F"/>
    <w:rsid w:val="00C22446"/>
    <w:rsid w:val="00C30E54"/>
    <w:rsid w:val="00C32145"/>
    <w:rsid w:val="00C32B95"/>
    <w:rsid w:val="00C35452"/>
    <w:rsid w:val="00C36056"/>
    <w:rsid w:val="00C360EA"/>
    <w:rsid w:val="00C40953"/>
    <w:rsid w:val="00C434B7"/>
    <w:rsid w:val="00C4381D"/>
    <w:rsid w:val="00C44C17"/>
    <w:rsid w:val="00C469BF"/>
    <w:rsid w:val="00C55E75"/>
    <w:rsid w:val="00C62A3D"/>
    <w:rsid w:val="00C633FC"/>
    <w:rsid w:val="00C6366B"/>
    <w:rsid w:val="00C64942"/>
    <w:rsid w:val="00C77855"/>
    <w:rsid w:val="00C77AB9"/>
    <w:rsid w:val="00C87039"/>
    <w:rsid w:val="00C9309D"/>
    <w:rsid w:val="00C9407B"/>
    <w:rsid w:val="00C94168"/>
    <w:rsid w:val="00C95B79"/>
    <w:rsid w:val="00C96B80"/>
    <w:rsid w:val="00CA3D40"/>
    <w:rsid w:val="00CB2CDA"/>
    <w:rsid w:val="00CB7F25"/>
    <w:rsid w:val="00CC2885"/>
    <w:rsid w:val="00CC37C8"/>
    <w:rsid w:val="00CC6FD6"/>
    <w:rsid w:val="00CD397F"/>
    <w:rsid w:val="00CE19EA"/>
    <w:rsid w:val="00CE30C0"/>
    <w:rsid w:val="00CE416A"/>
    <w:rsid w:val="00CE4B91"/>
    <w:rsid w:val="00CE5F8B"/>
    <w:rsid w:val="00CE6C27"/>
    <w:rsid w:val="00CF0A04"/>
    <w:rsid w:val="00CF155D"/>
    <w:rsid w:val="00CF1B17"/>
    <w:rsid w:val="00CF3338"/>
    <w:rsid w:val="00CF6F33"/>
    <w:rsid w:val="00D0207D"/>
    <w:rsid w:val="00D11344"/>
    <w:rsid w:val="00D1374A"/>
    <w:rsid w:val="00D14302"/>
    <w:rsid w:val="00D1633E"/>
    <w:rsid w:val="00D22FD4"/>
    <w:rsid w:val="00D23CE4"/>
    <w:rsid w:val="00D300EE"/>
    <w:rsid w:val="00D31072"/>
    <w:rsid w:val="00D31558"/>
    <w:rsid w:val="00D315EA"/>
    <w:rsid w:val="00D421AB"/>
    <w:rsid w:val="00D53597"/>
    <w:rsid w:val="00D64AD4"/>
    <w:rsid w:val="00D7514A"/>
    <w:rsid w:val="00D76798"/>
    <w:rsid w:val="00D8680E"/>
    <w:rsid w:val="00D878BA"/>
    <w:rsid w:val="00D910F5"/>
    <w:rsid w:val="00D91CE3"/>
    <w:rsid w:val="00D9261B"/>
    <w:rsid w:val="00D95320"/>
    <w:rsid w:val="00D968DE"/>
    <w:rsid w:val="00DA3847"/>
    <w:rsid w:val="00DA6260"/>
    <w:rsid w:val="00DB6B38"/>
    <w:rsid w:val="00DC0610"/>
    <w:rsid w:val="00DC630E"/>
    <w:rsid w:val="00DC6AB2"/>
    <w:rsid w:val="00DD0136"/>
    <w:rsid w:val="00DE2895"/>
    <w:rsid w:val="00DF3204"/>
    <w:rsid w:val="00E002B8"/>
    <w:rsid w:val="00E01C2C"/>
    <w:rsid w:val="00E07498"/>
    <w:rsid w:val="00E10B87"/>
    <w:rsid w:val="00E1584A"/>
    <w:rsid w:val="00E15C82"/>
    <w:rsid w:val="00E229D6"/>
    <w:rsid w:val="00E23588"/>
    <w:rsid w:val="00E244D1"/>
    <w:rsid w:val="00E26CDD"/>
    <w:rsid w:val="00E27C4A"/>
    <w:rsid w:val="00E35C2C"/>
    <w:rsid w:val="00E37843"/>
    <w:rsid w:val="00E41E48"/>
    <w:rsid w:val="00E51FC5"/>
    <w:rsid w:val="00E567C8"/>
    <w:rsid w:val="00E56DC3"/>
    <w:rsid w:val="00E60E23"/>
    <w:rsid w:val="00E62A01"/>
    <w:rsid w:val="00E6381F"/>
    <w:rsid w:val="00E664F4"/>
    <w:rsid w:val="00E6695E"/>
    <w:rsid w:val="00E74167"/>
    <w:rsid w:val="00E75563"/>
    <w:rsid w:val="00E75C35"/>
    <w:rsid w:val="00E77626"/>
    <w:rsid w:val="00E777D2"/>
    <w:rsid w:val="00E80432"/>
    <w:rsid w:val="00E81659"/>
    <w:rsid w:val="00E961E1"/>
    <w:rsid w:val="00EA1FB6"/>
    <w:rsid w:val="00EA5533"/>
    <w:rsid w:val="00EA7A7C"/>
    <w:rsid w:val="00EB0EE2"/>
    <w:rsid w:val="00EB21DC"/>
    <w:rsid w:val="00EB2F59"/>
    <w:rsid w:val="00EB32AD"/>
    <w:rsid w:val="00EB36BE"/>
    <w:rsid w:val="00EB45BC"/>
    <w:rsid w:val="00EB74FB"/>
    <w:rsid w:val="00EC1E4A"/>
    <w:rsid w:val="00EC2E30"/>
    <w:rsid w:val="00EC617A"/>
    <w:rsid w:val="00EC7D77"/>
    <w:rsid w:val="00ED364D"/>
    <w:rsid w:val="00ED4A8E"/>
    <w:rsid w:val="00ED4B70"/>
    <w:rsid w:val="00EE221C"/>
    <w:rsid w:val="00EF0009"/>
    <w:rsid w:val="00EF075F"/>
    <w:rsid w:val="00EF1461"/>
    <w:rsid w:val="00EF3398"/>
    <w:rsid w:val="00F0215A"/>
    <w:rsid w:val="00F11B8E"/>
    <w:rsid w:val="00F200F1"/>
    <w:rsid w:val="00F20492"/>
    <w:rsid w:val="00F32567"/>
    <w:rsid w:val="00F32BCD"/>
    <w:rsid w:val="00F40901"/>
    <w:rsid w:val="00F424F4"/>
    <w:rsid w:val="00F42C08"/>
    <w:rsid w:val="00F444CF"/>
    <w:rsid w:val="00F571AD"/>
    <w:rsid w:val="00F617B7"/>
    <w:rsid w:val="00F61E05"/>
    <w:rsid w:val="00F707B0"/>
    <w:rsid w:val="00F767E5"/>
    <w:rsid w:val="00F81851"/>
    <w:rsid w:val="00F824CE"/>
    <w:rsid w:val="00F831CF"/>
    <w:rsid w:val="00F90469"/>
    <w:rsid w:val="00F93729"/>
    <w:rsid w:val="00F95D2E"/>
    <w:rsid w:val="00FA7891"/>
    <w:rsid w:val="00FB0B70"/>
    <w:rsid w:val="00FC03FC"/>
    <w:rsid w:val="00FC1DC8"/>
    <w:rsid w:val="00FD1798"/>
    <w:rsid w:val="00FD2CE3"/>
    <w:rsid w:val="00FD6CD6"/>
    <w:rsid w:val="00FE0E2A"/>
    <w:rsid w:val="00FE421C"/>
    <w:rsid w:val="00FF2F59"/>
    <w:rsid w:val="00FF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695E"/>
    <w:pPr>
      <w:keepNext/>
      <w:spacing w:before="360" w:after="120"/>
      <w:ind w:firstLine="709"/>
      <w:jc w:val="both"/>
      <w:outlineLvl w:val="0"/>
    </w:pPr>
    <w:rPr>
      <w:b/>
      <w:bCs/>
      <w:caps/>
      <w:sz w:val="24"/>
    </w:rPr>
  </w:style>
  <w:style w:type="paragraph" w:styleId="2">
    <w:name w:val="heading 2"/>
    <w:basedOn w:val="a"/>
    <w:next w:val="a"/>
    <w:link w:val="20"/>
    <w:qFormat/>
    <w:rsid w:val="00E6695E"/>
    <w:pPr>
      <w:keepNext/>
      <w:jc w:val="center"/>
      <w:outlineLvl w:val="1"/>
    </w:pPr>
    <w:rPr>
      <w:b/>
      <w:bCs/>
      <w:i/>
      <w:iCs/>
      <w:sz w:val="24"/>
    </w:rPr>
  </w:style>
  <w:style w:type="paragraph" w:styleId="3">
    <w:name w:val="heading 3"/>
    <w:basedOn w:val="a"/>
    <w:next w:val="a"/>
    <w:link w:val="30"/>
    <w:qFormat/>
    <w:rsid w:val="00E37843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6695E"/>
    <w:pPr>
      <w:keepNext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E6695E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7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78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0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rsid w:val="00DD0136"/>
    <w:rPr>
      <w:sz w:val="20"/>
    </w:rPr>
  </w:style>
  <w:style w:type="character" w:customStyle="1" w:styleId="ae">
    <w:name w:val="Текст сноски Знак"/>
    <w:basedOn w:val="a0"/>
    <w:link w:val="ad"/>
    <w:uiPriority w:val="99"/>
    <w:rsid w:val="00DD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D0136"/>
    <w:rPr>
      <w:vertAlign w:val="superscript"/>
    </w:rPr>
  </w:style>
  <w:style w:type="character" w:customStyle="1" w:styleId="10">
    <w:name w:val="Заголовок 1 Знак"/>
    <w:basedOn w:val="a0"/>
    <w:link w:val="1"/>
    <w:rsid w:val="00E6695E"/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695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669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6695E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-">
    <w:name w:val="Список -"/>
    <w:basedOn w:val="a"/>
    <w:rsid w:val="00E6695E"/>
    <w:pPr>
      <w:numPr>
        <w:numId w:val="19"/>
      </w:numPr>
      <w:overflowPunct w:val="0"/>
      <w:autoSpaceDE w:val="0"/>
      <w:autoSpaceDN w:val="0"/>
      <w:adjustRightInd w:val="0"/>
      <w:textAlignment w:val="baseline"/>
    </w:pPr>
  </w:style>
  <w:style w:type="paragraph" w:styleId="af0">
    <w:name w:val="Body Text"/>
    <w:basedOn w:val="a"/>
    <w:link w:val="af1"/>
    <w:rsid w:val="00E6695E"/>
    <w:pPr>
      <w:overflowPunct w:val="0"/>
      <w:autoSpaceDE w:val="0"/>
      <w:autoSpaceDN w:val="0"/>
      <w:adjustRightInd w:val="0"/>
      <w:spacing w:after="120"/>
      <w:ind w:firstLine="709"/>
      <w:jc w:val="both"/>
      <w:textAlignment w:val="baseline"/>
    </w:pPr>
  </w:style>
  <w:style w:type="character" w:customStyle="1" w:styleId="af1">
    <w:name w:val="Основной текст Знак"/>
    <w:basedOn w:val="a0"/>
    <w:link w:val="af0"/>
    <w:rsid w:val="00E669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E6695E"/>
    <w:pPr>
      <w:overflowPunct w:val="0"/>
      <w:autoSpaceDE w:val="0"/>
      <w:autoSpaceDN w:val="0"/>
      <w:adjustRightInd w:val="0"/>
      <w:ind w:firstLine="600"/>
      <w:jc w:val="both"/>
      <w:textAlignment w:val="baseline"/>
    </w:pPr>
  </w:style>
  <w:style w:type="character" w:customStyle="1" w:styleId="af3">
    <w:name w:val="Основной текст с отступом Знак"/>
    <w:basedOn w:val="a0"/>
    <w:link w:val="af2"/>
    <w:rsid w:val="00E669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rsid w:val="00E6695E"/>
  </w:style>
  <w:style w:type="paragraph" w:styleId="af5">
    <w:name w:val="endnote text"/>
    <w:basedOn w:val="a"/>
    <w:link w:val="af6"/>
    <w:rsid w:val="00E6695E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f6">
    <w:name w:val="Текст концевой сноски Знак"/>
    <w:basedOn w:val="a0"/>
    <w:link w:val="af5"/>
    <w:rsid w:val="00E669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rsid w:val="00E6695E"/>
    <w:rPr>
      <w:vertAlign w:val="superscript"/>
    </w:rPr>
  </w:style>
  <w:style w:type="paragraph" w:styleId="af8">
    <w:name w:val="No Spacing"/>
    <w:uiPriority w:val="1"/>
    <w:qFormat/>
    <w:rsid w:val="00E669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a0"/>
    <w:rsid w:val="00E6695E"/>
  </w:style>
  <w:style w:type="character" w:styleId="af9">
    <w:name w:val="Emphasis"/>
    <w:basedOn w:val="a0"/>
    <w:uiPriority w:val="20"/>
    <w:qFormat/>
    <w:rsid w:val="00E669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44ED6-94D8-4A47-86B6-BEB1A333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60</Pages>
  <Words>20667</Words>
  <Characters>117802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138193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М.А. 458320</dc:creator>
  <cp:keywords/>
  <dc:description/>
  <cp:lastModifiedBy>Андрей Кузьмин</cp:lastModifiedBy>
  <cp:revision>4</cp:revision>
  <cp:lastPrinted>2012-10-04T13:38:00Z</cp:lastPrinted>
  <dcterms:created xsi:type="dcterms:W3CDTF">2012-10-22T07:48:00Z</dcterms:created>
  <dcterms:modified xsi:type="dcterms:W3CDTF">2012-12-06T05:52:00Z</dcterms:modified>
</cp:coreProperties>
</file>