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81E7D" w:rsidRPr="00181E7D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8E12DF" w:rsidRPr="008E12DF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</w:t>
      </w:r>
      <w:proofErr w:type="gramEnd"/>
      <w:r w:rsidR="008E12DF" w:rsidRPr="008E12DF">
        <w:rPr>
          <w:rFonts w:ascii="Times New Roman" w:hAnsi="Times New Roman" w:cs="Times New Roman"/>
          <w:sz w:val="28"/>
          <w:szCs w:val="28"/>
        </w:rPr>
        <w:t xml:space="preserve">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</w:t>
      </w:r>
      <w:r w:rsidR="008E12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8E12DF" w:rsidRPr="008E12DF">
        <w:rPr>
          <w:rFonts w:ascii="Times New Roman" w:hAnsi="Times New Roman" w:cs="Times New Roman"/>
          <w:sz w:val="28"/>
          <w:szCs w:val="28"/>
        </w:rPr>
        <w:t>от 21.06.2022 № 1662 (в ред. постановлений от 16.12.2022 № 4155, от 25.01.2023 № 174</w:t>
      </w:r>
      <w:r w:rsidR="00181E7D" w:rsidRPr="00181E7D">
        <w:rPr>
          <w:rFonts w:ascii="Times New Roman" w:hAnsi="Times New Roman" w:cs="Times New Roman"/>
          <w:sz w:val="28"/>
          <w:szCs w:val="28"/>
        </w:rPr>
        <w:t>)»</w:t>
      </w:r>
      <w:r w:rsidR="00181E7D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B20D0">
        <w:rPr>
          <w:rFonts w:ascii="Times New Roman" w:hAnsi="Times New Roman" w:cs="Times New Roman"/>
          <w:color w:val="000000" w:themeColor="text1"/>
          <w:sz w:val="28"/>
          <w:szCs w:val="28"/>
        </w:rPr>
        <w:t>09.02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B20D0"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7B20D0">
        <w:rPr>
          <w:rFonts w:ascii="Times New Roman" w:hAnsi="Times New Roman" w:cs="Times New Roman"/>
          <w:sz w:val="28"/>
          <w:szCs w:val="28"/>
        </w:rPr>
        <w:t>13.02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9E2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81E7D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7B20D0"/>
    <w:rsid w:val="00801434"/>
    <w:rsid w:val="00804437"/>
    <w:rsid w:val="00895FB9"/>
    <w:rsid w:val="008B6AFA"/>
    <w:rsid w:val="008E12DF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C559E2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26</cp:revision>
  <cp:lastPrinted>2019-07-05T11:11:00Z</cp:lastPrinted>
  <dcterms:created xsi:type="dcterms:W3CDTF">2019-11-25T12:22:00Z</dcterms:created>
  <dcterms:modified xsi:type="dcterms:W3CDTF">2023-02-08T09:47:00Z</dcterms:modified>
</cp:coreProperties>
</file>