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829B" w14:textId="77777777" w:rsidR="00F7757C" w:rsidRDefault="00F7757C" w:rsidP="00F7757C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E1ADDC" wp14:editId="4BD7B194">
            <wp:simplePos x="0" y="0"/>
            <wp:positionH relativeFrom="column">
              <wp:posOffset>2821940</wp:posOffset>
            </wp:positionH>
            <wp:positionV relativeFrom="paragraph">
              <wp:posOffset>-269875</wp:posOffset>
            </wp:positionV>
            <wp:extent cx="640080" cy="717550"/>
            <wp:effectExtent l="0" t="0" r="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7055F0" w14:textId="77777777" w:rsidR="00F7757C" w:rsidRDefault="00F7757C" w:rsidP="00F7757C">
      <w:pPr>
        <w:spacing w:after="0" w:line="240" w:lineRule="auto"/>
        <w:jc w:val="center"/>
        <w:rPr>
          <w:sz w:val="32"/>
          <w:szCs w:val="32"/>
        </w:rPr>
      </w:pPr>
    </w:p>
    <w:p w14:paraId="7E9DCC06" w14:textId="77777777" w:rsidR="00F7757C" w:rsidRPr="00200532" w:rsidRDefault="00F7757C" w:rsidP="00F7757C">
      <w:pPr>
        <w:spacing w:after="0" w:line="240" w:lineRule="auto"/>
        <w:jc w:val="center"/>
        <w:rPr>
          <w:sz w:val="32"/>
          <w:szCs w:val="32"/>
        </w:rPr>
      </w:pPr>
    </w:p>
    <w:p w14:paraId="06A8FB58" w14:textId="77777777" w:rsidR="00F7757C" w:rsidRPr="00451559" w:rsidRDefault="00F7757C" w:rsidP="00F7757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BBF0782" w14:textId="77777777" w:rsidR="00F7757C" w:rsidRPr="00D074C1" w:rsidRDefault="00F7757C" w:rsidP="00F7757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8FC3F9" w14:textId="77777777" w:rsidR="00F7757C" w:rsidRPr="00451559" w:rsidRDefault="00F7757C" w:rsidP="00F7757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5DCE58" w14:textId="77777777" w:rsidR="00F7757C" w:rsidRPr="006C713C" w:rsidRDefault="00F7757C" w:rsidP="00F7757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1C1EA39" w14:textId="77777777" w:rsidR="00F7757C" w:rsidRPr="006C713C" w:rsidRDefault="00F7757C" w:rsidP="00F7757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4367E6" w14:textId="45909612" w:rsidR="00F7757C" w:rsidRPr="0018720B" w:rsidRDefault="00F7757C" w:rsidP="00F7757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</w:t>
      </w:r>
      <w:r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</w:t>
      </w:r>
      <w:r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      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             №      </w:t>
      </w:r>
    </w:p>
    <w:p w14:paraId="0FF59835" w14:textId="77777777" w:rsidR="00F7757C" w:rsidRDefault="00F7757C" w:rsidP="00F7757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5BDCDED4" w14:textId="77777777" w:rsidR="00F7757C" w:rsidRPr="006C713C" w:rsidRDefault="00F7757C" w:rsidP="00F7757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418AC12200A74534A51B9D05E9891086"/>
        </w:placeholder>
      </w:sdtPr>
      <w:sdtEndPr>
        <w:rPr>
          <w:rFonts w:ascii="Calibri" w:eastAsia="Times New Roman" w:hAnsi="Calibri" w:cs="Calibri"/>
          <w:sz w:val="22"/>
          <w:szCs w:val="20"/>
          <w:lang w:eastAsia="ru-RU"/>
        </w:rPr>
      </w:sdtEndPr>
      <w:sdtContent>
        <w:p w14:paraId="435D3FFC" w14:textId="291F9994" w:rsidR="00F7757C" w:rsidRPr="00C469E6" w:rsidRDefault="00F7757C" w:rsidP="00F7757C">
          <w:pPr>
            <w:pStyle w:val="ConsPlusTitle"/>
            <w:jc w:val="center"/>
            <w:rPr>
              <w:b w:val="0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 прогнозе социально-экономического развития муниципального образования город Мурманск на среднесрочный период 2024-2028 годов</w:t>
          </w:r>
        </w:p>
      </w:sdtContent>
    </w:sdt>
    <w:p w14:paraId="6B6C7FA2" w14:textId="77777777" w:rsidR="00F7757C" w:rsidRDefault="00F7757C" w:rsidP="00F7757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6968EE" w14:textId="77777777" w:rsidR="00F7757C" w:rsidRDefault="00F7757C" w:rsidP="00F7757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EB4EB3" w14:textId="07D84CEB" w:rsidR="00F7757C" w:rsidRPr="004C3C24" w:rsidRDefault="00F7757C" w:rsidP="00F7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4"/>
          <w:szCs w:val="28"/>
        </w:rPr>
      </w:pPr>
      <w:r w:rsidRPr="0089746F">
        <w:rPr>
          <w:spacing w:val="4"/>
          <w:szCs w:val="28"/>
        </w:rPr>
        <w:t xml:space="preserve">В соответствии со статьей 173 Бюджетного кодекса Российской Федерации, статьей 17 Федерального закона от </w:t>
      </w:r>
      <w:r>
        <w:rPr>
          <w:spacing w:val="4"/>
          <w:szCs w:val="28"/>
        </w:rPr>
        <w:t xml:space="preserve">06.10.2003 № 131-ФЗ </w:t>
      </w:r>
      <w:r>
        <w:rPr>
          <w:spacing w:val="4"/>
          <w:szCs w:val="28"/>
        </w:rPr>
        <w:br/>
        <w:t xml:space="preserve">«Об </w:t>
      </w:r>
      <w:r w:rsidRPr="0089746F">
        <w:rPr>
          <w:spacing w:val="4"/>
          <w:szCs w:val="28"/>
        </w:rPr>
        <w:t>общих принципах организации местного самоуправления в Российской Федерации», Федеральным законом от 28.06.2014 № 172-ФЗ</w:t>
      </w:r>
      <w:r>
        <w:rPr>
          <w:spacing w:val="4"/>
          <w:szCs w:val="28"/>
        </w:rPr>
        <w:t xml:space="preserve"> </w:t>
      </w:r>
      <w:r w:rsidRPr="0089746F">
        <w:rPr>
          <w:spacing w:val="4"/>
          <w:szCs w:val="28"/>
        </w:rPr>
        <w:t xml:space="preserve">«О стратегическом планировании в Российской Федерации», статьей 46 Устава муниципального образования </w:t>
      </w:r>
      <w:r w:rsidR="003821FC">
        <w:rPr>
          <w:spacing w:val="4"/>
          <w:szCs w:val="28"/>
        </w:rPr>
        <w:t xml:space="preserve">городской округ </w:t>
      </w:r>
      <w:r w:rsidRPr="0089746F">
        <w:rPr>
          <w:spacing w:val="4"/>
          <w:szCs w:val="28"/>
        </w:rPr>
        <w:t>город</w:t>
      </w:r>
      <w:r w:rsidR="003821FC">
        <w:rPr>
          <w:spacing w:val="4"/>
          <w:szCs w:val="28"/>
        </w:rPr>
        <w:t>-герой</w:t>
      </w:r>
      <w:r w:rsidRPr="0089746F">
        <w:rPr>
          <w:spacing w:val="4"/>
          <w:szCs w:val="28"/>
        </w:rPr>
        <w:t xml:space="preserve"> Мурманск, решениями Совета депутатов города Мурма</w:t>
      </w:r>
      <w:r>
        <w:rPr>
          <w:spacing w:val="4"/>
          <w:szCs w:val="28"/>
        </w:rPr>
        <w:t xml:space="preserve">нска от 26.05.2008 № 50-618 «Об </w:t>
      </w:r>
      <w:r w:rsidRPr="0089746F">
        <w:rPr>
          <w:spacing w:val="4"/>
          <w:szCs w:val="28"/>
        </w:rPr>
        <w:t xml:space="preserve">утверждении «Положения о бюджетном устройстве и бюджетном процессе </w:t>
      </w:r>
      <w:r>
        <w:rPr>
          <w:spacing w:val="4"/>
          <w:szCs w:val="28"/>
        </w:rPr>
        <w:br/>
      </w:r>
      <w:r w:rsidRPr="0089746F">
        <w:rPr>
          <w:spacing w:val="4"/>
          <w:szCs w:val="28"/>
        </w:rPr>
        <w:t xml:space="preserve">в муниципальном образовании город Мурманск», </w:t>
      </w:r>
      <w:r>
        <w:rPr>
          <w:spacing w:val="4"/>
          <w:szCs w:val="28"/>
        </w:rPr>
        <w:t xml:space="preserve">от 27.03.2015 № </w:t>
      </w:r>
      <w:r w:rsidRPr="0089746F">
        <w:rPr>
          <w:spacing w:val="4"/>
          <w:szCs w:val="28"/>
        </w:rPr>
        <w:t>10-135</w:t>
      </w:r>
      <w:r>
        <w:rPr>
          <w:spacing w:val="4"/>
          <w:szCs w:val="28"/>
        </w:rPr>
        <w:t xml:space="preserve"> </w:t>
      </w:r>
      <w:r w:rsidRPr="0089746F">
        <w:rPr>
          <w:spacing w:val="4"/>
          <w:szCs w:val="28"/>
        </w:rPr>
        <w:t xml:space="preserve">«Об </w:t>
      </w:r>
      <w:r w:rsidRPr="004C3C24">
        <w:rPr>
          <w:spacing w:val="4"/>
          <w:szCs w:val="28"/>
        </w:rPr>
        <w:t>утверждении</w:t>
      </w:r>
      <w:r>
        <w:rPr>
          <w:spacing w:val="4"/>
          <w:szCs w:val="28"/>
        </w:rPr>
        <w:t xml:space="preserve"> П</w:t>
      </w:r>
      <w:r w:rsidRPr="0089746F">
        <w:rPr>
          <w:spacing w:val="4"/>
          <w:szCs w:val="28"/>
        </w:rPr>
        <w:t>оложения о стратегическом планировании в городе Мурманске», постановлением администрации города Мурманска</w:t>
      </w:r>
      <w:r>
        <w:rPr>
          <w:spacing w:val="4"/>
          <w:szCs w:val="28"/>
        </w:rPr>
        <w:t xml:space="preserve"> </w:t>
      </w:r>
      <w:r>
        <w:rPr>
          <w:spacing w:val="4"/>
          <w:szCs w:val="28"/>
        </w:rPr>
        <w:br/>
      </w:r>
      <w:r w:rsidRPr="0089746F">
        <w:rPr>
          <w:spacing w:val="4"/>
          <w:szCs w:val="28"/>
        </w:rPr>
        <w:t xml:space="preserve">от 10.06.2015 № 1524 «Об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периоды», в целях осуществления бюджетного процесса в муниципальном образовании город Мурманск </w:t>
      </w:r>
      <w:r w:rsidRPr="006E1296">
        <w:rPr>
          <w:b/>
          <w:szCs w:val="28"/>
        </w:rPr>
        <w:t>п о с т а н о в л я ю</w:t>
      </w:r>
      <w:r w:rsidRPr="0089746F">
        <w:rPr>
          <w:b/>
          <w:spacing w:val="20"/>
          <w:szCs w:val="28"/>
        </w:rPr>
        <w:t>:</w:t>
      </w:r>
      <w:r w:rsidRPr="00A919EC">
        <w:rPr>
          <w:szCs w:val="28"/>
        </w:rPr>
        <w:t xml:space="preserve"> </w:t>
      </w:r>
    </w:p>
    <w:p w14:paraId="0836F383" w14:textId="77777777" w:rsidR="00F7757C" w:rsidRDefault="00F7757C" w:rsidP="00F7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F288AD5" w14:textId="68A6CE5E" w:rsidR="00F7757C" w:rsidRPr="008D2B35" w:rsidRDefault="00F7757C" w:rsidP="00F7757C">
      <w:pPr>
        <w:spacing w:after="12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1.</w:t>
      </w:r>
      <w:r>
        <w:rPr>
          <w:szCs w:val="28"/>
        </w:rPr>
        <w:t xml:space="preserve"> Одобрить прогноз социально-экономического развития муниципального образования город Мурманск на среднесрочный период </w:t>
      </w:r>
      <w:r>
        <w:rPr>
          <w:szCs w:val="28"/>
        </w:rPr>
        <w:br/>
        <w:t xml:space="preserve">2024-2028 годов </w:t>
      </w:r>
      <w:r w:rsidRPr="00A919EC">
        <w:rPr>
          <w:szCs w:val="28"/>
        </w:rPr>
        <w:t>согласно приложению к настоящему постановлению</w:t>
      </w:r>
      <w:r>
        <w:rPr>
          <w:szCs w:val="28"/>
        </w:rPr>
        <w:t>.</w:t>
      </w:r>
    </w:p>
    <w:p w14:paraId="1162E799" w14:textId="77777777" w:rsidR="00F7757C" w:rsidRDefault="00F7757C" w:rsidP="00F7757C">
      <w:pPr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86392">
        <w:rPr>
          <w:szCs w:val="28"/>
        </w:rPr>
        <w:t>.</w:t>
      </w:r>
      <w:r>
        <w:rPr>
          <w:szCs w:val="28"/>
        </w:rPr>
        <w:t> </w:t>
      </w:r>
      <w:r w:rsidRPr="00B86392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с приложением</w:t>
      </w:r>
      <w:r w:rsidRPr="00B86392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1A5B805F" w14:textId="2311C0F4" w:rsidR="00F7757C" w:rsidRDefault="00F7757C" w:rsidP="00F7757C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86392">
        <w:rPr>
          <w:szCs w:val="28"/>
        </w:rPr>
        <w:t>.</w:t>
      </w:r>
      <w:r>
        <w:rPr>
          <w:szCs w:val="28"/>
        </w:rPr>
        <w:t> </w:t>
      </w:r>
      <w:r w:rsidRPr="00B86392">
        <w:rPr>
          <w:szCs w:val="28"/>
        </w:rPr>
        <w:t>Редакции газеты «Вечерний Мурманск» (</w:t>
      </w:r>
      <w:r w:rsidR="003821FC">
        <w:rPr>
          <w:szCs w:val="28"/>
        </w:rPr>
        <w:t>Сирица Д.В.</w:t>
      </w:r>
      <w:r w:rsidRPr="00B86392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приложением</w:t>
      </w:r>
      <w:r w:rsidRPr="00B86392">
        <w:rPr>
          <w:szCs w:val="28"/>
        </w:rPr>
        <w:t>.</w:t>
      </w:r>
    </w:p>
    <w:p w14:paraId="4358814C" w14:textId="77777777" w:rsidR="00F7757C" w:rsidRDefault="00F7757C" w:rsidP="00F7757C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szCs w:val="28"/>
        </w:rPr>
        <w:sectPr w:rsidR="00F7757C" w:rsidSect="00E86816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Cs w:val="28"/>
        </w:rPr>
        <w:t>4</w:t>
      </w:r>
      <w:r w:rsidRPr="00B86392">
        <w:rPr>
          <w:szCs w:val="28"/>
        </w:rPr>
        <w:t>.</w:t>
      </w:r>
      <w:r>
        <w:rPr>
          <w:szCs w:val="28"/>
        </w:rPr>
        <w:t> </w:t>
      </w:r>
      <w:r w:rsidRPr="00B86392">
        <w:rPr>
          <w:szCs w:val="28"/>
        </w:rPr>
        <w:t>Настоящее постановление вступает в силу со дня официального опубликования.</w:t>
      </w:r>
    </w:p>
    <w:p w14:paraId="356510B5" w14:textId="77777777" w:rsidR="00F7757C" w:rsidRDefault="00F7757C" w:rsidP="00F7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5. </w:t>
      </w:r>
      <w:r w:rsidRPr="00B86392">
        <w:rPr>
          <w:szCs w:val="28"/>
        </w:rPr>
        <w:t>Контроль за выполнением настоящего постановления</w:t>
      </w:r>
      <w:r>
        <w:rPr>
          <w:szCs w:val="28"/>
        </w:rPr>
        <w:t xml:space="preserve"> оставляю за собой.</w:t>
      </w:r>
    </w:p>
    <w:p w14:paraId="013ED044" w14:textId="77777777" w:rsidR="00F7757C" w:rsidRDefault="00F7757C" w:rsidP="00F7757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1C87261" w14:textId="77777777" w:rsidR="00F7757C" w:rsidRDefault="00F7757C" w:rsidP="00F7757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1D8DD7C" w14:textId="77777777" w:rsidR="00F7757C" w:rsidRPr="00FD3B16" w:rsidRDefault="00F7757C" w:rsidP="00F7757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196"/>
        <w:gridCol w:w="2551"/>
      </w:tblGrid>
      <w:tr w:rsidR="00F7757C" w:rsidRPr="00B86392" w14:paraId="06E0747E" w14:textId="77777777" w:rsidTr="00F7757C">
        <w:tc>
          <w:tcPr>
            <w:tcW w:w="7196" w:type="dxa"/>
          </w:tcPr>
          <w:p w14:paraId="7655B7D8" w14:textId="3E158A82" w:rsidR="00F7757C" w:rsidRPr="00A66E1C" w:rsidRDefault="00F7757C" w:rsidP="005C5E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Глава администрации</w:t>
            </w:r>
            <w:r>
              <w:rPr>
                <w:b/>
                <w:szCs w:val="28"/>
              </w:rPr>
              <w:br/>
              <w:t>города Мурманска</w:t>
            </w:r>
            <w:r w:rsidRPr="00A66E1C">
              <w:rPr>
                <w:b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6D8AF4DB" w14:textId="41477710" w:rsidR="00F7757C" w:rsidRPr="00A66E1C" w:rsidRDefault="00F7757C" w:rsidP="005C5E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br/>
              <w:t>Ю.В. Сердечкин</w:t>
            </w:r>
          </w:p>
        </w:tc>
      </w:tr>
    </w:tbl>
    <w:p w14:paraId="3A5499CB" w14:textId="77777777" w:rsidR="00F7757C" w:rsidRDefault="00F7757C" w:rsidP="0016161F">
      <w:pPr>
        <w:keepNext/>
        <w:keepLines/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14:paraId="4EBC9B30" w14:textId="77777777" w:rsidR="00F7757C" w:rsidRDefault="00F7757C" w:rsidP="0016161F">
      <w:pPr>
        <w:keepNext/>
        <w:keepLines/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14:paraId="7E851B48" w14:textId="77777777" w:rsidR="00F7757C" w:rsidRDefault="00F7757C" w:rsidP="0016161F">
      <w:pPr>
        <w:keepNext/>
        <w:keepLines/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  <w:sectPr w:rsidR="00F7757C" w:rsidSect="00F7757C">
          <w:headerReference w:type="default" r:id="rId11"/>
          <w:pgSz w:w="11906" w:h="16838"/>
          <w:pgMar w:top="1134" w:right="1701" w:bottom="1134" w:left="567" w:header="709" w:footer="709" w:gutter="0"/>
          <w:cols w:space="708"/>
          <w:docGrid w:linePitch="381"/>
        </w:sectPr>
      </w:pPr>
    </w:p>
    <w:tbl>
      <w:tblPr>
        <w:tblStyle w:val="af1"/>
        <w:tblpPr w:leftFromText="180" w:rightFromText="180" w:vertAnchor="text" w:horzAnchor="margin" w:tblpY="236"/>
        <w:tblW w:w="15134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4678"/>
      </w:tblGrid>
      <w:tr w:rsidR="00F7757C" w14:paraId="1A3C7CB9" w14:textId="77777777" w:rsidTr="00F7757C">
        <w:tc>
          <w:tcPr>
            <w:tcW w:w="10456" w:type="dxa"/>
          </w:tcPr>
          <w:p w14:paraId="349A6E22" w14:textId="77777777" w:rsidR="00F7757C" w:rsidRDefault="00F7757C" w:rsidP="005C5E27">
            <w:pPr>
              <w:keepNext/>
              <w:keepLines/>
              <w:rPr>
                <w:szCs w:val="28"/>
              </w:rPr>
            </w:pPr>
          </w:p>
        </w:tc>
        <w:tc>
          <w:tcPr>
            <w:tcW w:w="4678" w:type="dxa"/>
          </w:tcPr>
          <w:p w14:paraId="237FE532" w14:textId="6B6E3DEB" w:rsidR="00F7757C" w:rsidRDefault="00F7757C" w:rsidP="005C5E27">
            <w:pPr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br/>
              <w:t xml:space="preserve">к постановлению администрации </w:t>
            </w:r>
            <w:r>
              <w:rPr>
                <w:szCs w:val="28"/>
              </w:rPr>
              <w:br/>
              <w:t>города Мурманска</w:t>
            </w:r>
          </w:p>
          <w:p w14:paraId="7C8876A4" w14:textId="77777777" w:rsidR="00F7757C" w:rsidRDefault="00F7757C" w:rsidP="005C5E27">
            <w:pPr>
              <w:keepNext/>
              <w:keepLines/>
              <w:rPr>
                <w:szCs w:val="28"/>
                <w:highlight w:val="yellow"/>
              </w:rPr>
            </w:pPr>
            <w:r>
              <w:rPr>
                <w:szCs w:val="28"/>
              </w:rPr>
              <w:t>от __________ №__________</w:t>
            </w:r>
          </w:p>
        </w:tc>
      </w:tr>
    </w:tbl>
    <w:p w14:paraId="45187B9F" w14:textId="77777777" w:rsidR="00F7757C" w:rsidRDefault="00F7757C" w:rsidP="0016161F">
      <w:pPr>
        <w:keepNext/>
        <w:keepLines/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14:paraId="59F2E797" w14:textId="348DF5B9" w:rsidR="006D16A3" w:rsidRPr="003B2ABF" w:rsidRDefault="00DF1B2C" w:rsidP="0016161F">
      <w:pPr>
        <w:keepNext/>
        <w:keepLines/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  <w:r w:rsidRPr="003B2ABF">
        <w:rPr>
          <w:rFonts w:eastAsia="Times New Roman"/>
          <w:bCs/>
          <w:color w:val="000000"/>
          <w:szCs w:val="28"/>
          <w:lang w:eastAsia="ru-RU"/>
        </w:rPr>
        <w:t xml:space="preserve">Прогноз социально-экономического развития муниципального образования город Мурманск </w:t>
      </w:r>
    </w:p>
    <w:p w14:paraId="56AB84DD" w14:textId="77777777" w:rsidR="006D16A3" w:rsidRPr="003B2ABF" w:rsidRDefault="00DF1B2C" w:rsidP="0016161F">
      <w:pPr>
        <w:keepNext/>
        <w:keepLines/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  <w:r w:rsidRPr="003B2ABF">
        <w:rPr>
          <w:rFonts w:eastAsia="Times New Roman"/>
          <w:bCs/>
          <w:color w:val="000000"/>
          <w:szCs w:val="28"/>
          <w:lang w:eastAsia="ru-RU"/>
        </w:rPr>
        <w:t>на среднесрочный период 2024-2028 годов</w:t>
      </w:r>
    </w:p>
    <w:p w14:paraId="0D14F98A" w14:textId="77777777" w:rsidR="006D16A3" w:rsidRPr="003B2ABF" w:rsidRDefault="006D16A3" w:rsidP="0016161F">
      <w:pPr>
        <w:keepNext/>
        <w:keepLines/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tbl>
      <w:tblPr>
        <w:tblW w:w="29514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138"/>
        <w:gridCol w:w="850"/>
        <w:gridCol w:w="851"/>
        <w:gridCol w:w="835"/>
        <w:gridCol w:w="997"/>
        <w:gridCol w:w="993"/>
        <w:gridCol w:w="992"/>
        <w:gridCol w:w="845"/>
        <w:gridCol w:w="993"/>
        <w:gridCol w:w="992"/>
        <w:gridCol w:w="992"/>
        <w:gridCol w:w="992"/>
        <w:gridCol w:w="1003"/>
        <w:gridCol w:w="992"/>
        <w:gridCol w:w="25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51"/>
      </w:tblGrid>
      <w:tr w:rsidR="006D16A3" w:rsidRPr="003B2ABF" w14:paraId="3C977CB6" w14:textId="77777777">
        <w:trPr>
          <w:gridAfter w:val="13"/>
          <w:wAfter w:w="13804" w:type="dxa"/>
          <w:trHeight w:val="285"/>
          <w:tblHeader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5E225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4B19C6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CCAEC8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BF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465B6C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D1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Отчет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653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Оценка</w:t>
            </w:r>
            <w:r w:rsidRPr="003B2AB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D8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Прогноз</w:t>
            </w:r>
          </w:p>
        </w:tc>
      </w:tr>
      <w:tr w:rsidR="006D16A3" w:rsidRPr="003B2ABF" w14:paraId="5BAB0C7A" w14:textId="77777777">
        <w:trPr>
          <w:gridAfter w:val="13"/>
          <w:wAfter w:w="13804" w:type="dxa"/>
          <w:trHeight w:val="137"/>
          <w:tblHeader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2EF5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280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CD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77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B7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5072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2024 г.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0493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5D25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2599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50DB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2028 г.</w:t>
            </w:r>
          </w:p>
        </w:tc>
      </w:tr>
      <w:tr w:rsidR="006D16A3" w:rsidRPr="003B2ABF" w14:paraId="6E5BF2B5" w14:textId="77777777">
        <w:trPr>
          <w:gridAfter w:val="13"/>
          <w:wAfter w:w="13804" w:type="dxa"/>
          <w:trHeight w:val="338"/>
          <w:tblHeader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819B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F69E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E70A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23BB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025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E2A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1-й вариант</w:t>
            </w:r>
            <w:r w:rsidRPr="003B2ABF">
              <w:rPr>
                <w:rStyle w:val="aff8"/>
                <w:rFonts w:eastAsia="Times New Roman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2315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2-й</w:t>
            </w:r>
          </w:p>
          <w:p w14:paraId="760C403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  <w:r w:rsidRPr="003B2ABF">
              <w:rPr>
                <w:rStyle w:val="aff8"/>
                <w:rFonts w:eastAsia="Times New Roman"/>
                <w:sz w:val="20"/>
                <w:szCs w:val="20"/>
                <w:lang w:eastAsia="ru-RU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8FF0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1-й</w:t>
            </w:r>
          </w:p>
          <w:p w14:paraId="272DC46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3A69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2-й вариант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AB12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1-й</w:t>
            </w:r>
          </w:p>
          <w:p w14:paraId="625B8EF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7A8F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2-й</w:t>
            </w:r>
          </w:p>
          <w:p w14:paraId="0869D76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99C4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1-й</w:t>
            </w:r>
          </w:p>
          <w:p w14:paraId="576E28E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464E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2-й</w:t>
            </w:r>
          </w:p>
          <w:p w14:paraId="6740188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AFE9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1-й</w:t>
            </w:r>
          </w:p>
          <w:p w14:paraId="5805BC1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EE63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2-й</w:t>
            </w:r>
          </w:p>
          <w:p w14:paraId="29A3074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вариант</w:t>
            </w:r>
          </w:p>
        </w:tc>
      </w:tr>
      <w:tr w:rsidR="006D16A3" w:rsidRPr="003B2ABF" w14:paraId="01762468" w14:textId="77777777">
        <w:trPr>
          <w:gridAfter w:val="13"/>
          <w:wAfter w:w="13804" w:type="dxa"/>
          <w:trHeight w:val="133"/>
          <w:tblHeader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7AEC8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020A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16FF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089A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CC2D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BE51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13AB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51C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ED89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90E5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93EB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78AA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028C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82B0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7D79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  <w:tr w:rsidR="006D16A3" w:rsidRPr="003B2ABF" w14:paraId="75B61FC3" w14:textId="77777777">
        <w:trPr>
          <w:gridAfter w:val="13"/>
          <w:wAfter w:w="13804" w:type="dxa"/>
          <w:trHeight w:val="20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F62E1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1. Демографические показатели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14F3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0F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5936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689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F4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0A5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8D83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8407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C52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ED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90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1F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6A9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D11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16A3" w:rsidRPr="003B2ABF" w14:paraId="0D19E859" w14:textId="77777777">
        <w:trPr>
          <w:gridAfter w:val="13"/>
          <w:wAfter w:w="13804" w:type="dxa"/>
          <w:trHeight w:val="203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6CD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Численность населения (среднегодовая) -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DE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тыс.</w:t>
            </w:r>
          </w:p>
          <w:p w14:paraId="4C3E18B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A6A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280,96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8C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268,57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12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266,42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B5F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6E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4EA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262,39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45F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65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CD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EAC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16B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258,47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56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6A9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256,49</w:t>
            </w:r>
          </w:p>
        </w:tc>
      </w:tr>
      <w:tr w:rsidR="006D16A3" w:rsidRPr="003B2ABF" w14:paraId="1C5A1C1E" w14:textId="77777777">
        <w:trPr>
          <w:gridAfter w:val="13"/>
          <w:wAfter w:w="13804" w:type="dxa"/>
          <w:trHeight w:val="305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3539B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0C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в % к предыду-щему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88C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18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95,59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928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FB7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649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7AB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55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14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1A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14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5DE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1D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</w:tr>
      <w:tr w:rsidR="006D16A3" w:rsidRPr="003B2ABF" w14:paraId="5F7758BD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56F28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3D94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DC2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40E6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6DBA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5EED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238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DA0F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183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540C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01BD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E08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F8F5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B91A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C13" w14:textId="77777777" w:rsidR="006D16A3" w:rsidRPr="003B2ABF" w:rsidRDefault="006D16A3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6A3" w:rsidRPr="003B2ABF" w14:paraId="71F49380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443D3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 xml:space="preserve">    городского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9E1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9BA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280,96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25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268,57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0FB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266,42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278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23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0D6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262,39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47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07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314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260,50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47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10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258,47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19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710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256,49</w:t>
            </w:r>
          </w:p>
        </w:tc>
      </w:tr>
      <w:tr w:rsidR="006D16A3" w:rsidRPr="003B2ABF" w14:paraId="1DFCE30A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B93E7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F3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в 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EDB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D4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95,59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1B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220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C66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9E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23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84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5BD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75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C62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2E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66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99,28</w:t>
            </w:r>
          </w:p>
        </w:tc>
      </w:tr>
      <w:tr w:rsidR="006D16A3" w:rsidRPr="003B2ABF" w14:paraId="50A8771F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B90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Число родившихся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C1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91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2 273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C68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2 116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DDF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2 094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34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3B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2 061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316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1 988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1C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2 008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F71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1 938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44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1 976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875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1 888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D4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1 926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5D6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1 840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05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1 895</w:t>
            </w:r>
          </w:p>
        </w:tc>
      </w:tr>
      <w:tr w:rsidR="006D16A3" w:rsidRPr="003B2ABF" w14:paraId="50B9C328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BEF8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Число умерших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20B7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C02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4 869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B4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3 597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2E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3 422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3F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1ED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F8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3 278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17A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E4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6E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3B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18A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3 077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213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2C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3 012</w:t>
            </w:r>
          </w:p>
        </w:tc>
      </w:tr>
      <w:tr w:rsidR="006D16A3" w:rsidRPr="003B2ABF" w14:paraId="0864D649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0C31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Общий коэффициент рождаемости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F2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AB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13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7,88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C28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09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88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BB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E0D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D3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34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CE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2D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FD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0C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7,39</w:t>
            </w:r>
          </w:p>
        </w:tc>
      </w:tr>
      <w:tr w:rsidR="006D16A3" w14:paraId="10C91864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D5FE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Общий коэффициент смертности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8EE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C2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7E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13,39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5A8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0B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5D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E7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B7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8E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D4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55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DB6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11,91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FED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8B0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11,74</w:t>
            </w:r>
          </w:p>
        </w:tc>
      </w:tr>
      <w:tr w:rsidR="006D16A3" w14:paraId="280AF6D6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95D51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Число прибывших</w:t>
            </w:r>
            <w:r w:rsidRPr="003B2ABF">
              <w:rPr>
                <w:bCs/>
                <w:sz w:val="20"/>
                <w:szCs w:val="20"/>
              </w:rPr>
              <w:t xml:space="preserve"> – </w:t>
            </w:r>
            <w:r w:rsidRPr="003B2ABF">
              <w:rPr>
                <w:sz w:val="20"/>
                <w:szCs w:val="20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AD9E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AE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63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9 803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283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10 033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BFC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5E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1E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10 279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E50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6BD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44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32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005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10 594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69D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0FF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10 734</w:t>
            </w:r>
          </w:p>
        </w:tc>
      </w:tr>
      <w:tr w:rsidR="006D16A3" w14:paraId="3121C751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C43B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Число прибывших трудоспособного возраста</w:t>
            </w:r>
            <w:r w:rsidRPr="003B2ABF">
              <w:rPr>
                <w:bCs/>
                <w:sz w:val="20"/>
                <w:szCs w:val="20"/>
              </w:rPr>
              <w:t xml:space="preserve"> – </w:t>
            </w:r>
            <w:r w:rsidRPr="003B2ABF">
              <w:rPr>
                <w:sz w:val="20"/>
                <w:szCs w:val="20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74E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06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A3B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6 941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B58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7 915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D5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B9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EB8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8 120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0F1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4B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C6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E4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0E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8 369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01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69A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8 480</w:t>
            </w:r>
          </w:p>
        </w:tc>
      </w:tr>
      <w:tr w:rsidR="006D16A3" w14:paraId="3D364A83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8493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 xml:space="preserve">Число выбывших </w:t>
            </w:r>
            <w:r w:rsidRPr="003B2ABF">
              <w:rPr>
                <w:bCs/>
                <w:sz w:val="20"/>
                <w:szCs w:val="20"/>
              </w:rPr>
              <w:t xml:space="preserve">– </w:t>
            </w:r>
            <w:r w:rsidRPr="003B2ABF">
              <w:rPr>
                <w:sz w:val="20"/>
                <w:szCs w:val="20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8B2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EE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77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10 613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3E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10 716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1F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04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1E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11 009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2B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10 899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0D0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57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8A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FA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11 186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946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70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11 326</w:t>
            </w:r>
          </w:p>
        </w:tc>
      </w:tr>
      <w:tr w:rsidR="006D16A3" w14:paraId="4794637A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5570F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Число выбывших трудоспособного возраста</w:t>
            </w:r>
            <w:r w:rsidRPr="003B2ABF">
              <w:rPr>
                <w:bCs/>
                <w:sz w:val="20"/>
                <w:szCs w:val="20"/>
              </w:rPr>
              <w:t xml:space="preserve"> – </w:t>
            </w:r>
            <w:r w:rsidRPr="003B2ABF">
              <w:rPr>
                <w:sz w:val="20"/>
                <w:szCs w:val="20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1A1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58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D8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7 392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552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6 453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04C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6 517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BAE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ED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6 605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3A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AF2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50C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13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AA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D95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341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6 784</w:t>
            </w:r>
          </w:p>
        </w:tc>
      </w:tr>
      <w:tr w:rsidR="006D16A3" w14:paraId="6402899B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90D79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FBE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0C2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E1C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-5,51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A9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968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B54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448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FA8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BF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F96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99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56F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21F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FCC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-4,35</w:t>
            </w:r>
          </w:p>
        </w:tc>
      </w:tr>
      <w:tr w:rsidR="006D16A3" w14:paraId="13B8CEC4" w14:textId="77777777">
        <w:trPr>
          <w:gridAfter w:val="13"/>
          <w:wAfter w:w="13804" w:type="dxa"/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5FB9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Коэффициент миграционного прироста (убыли)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9CF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F6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-4,24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46B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-3,02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BE5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880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44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276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FD2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675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C06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F7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A3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E8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4E8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-2,31</w:t>
            </w:r>
          </w:p>
        </w:tc>
      </w:tr>
      <w:tr w:rsidR="006D16A3" w14:paraId="38765A8E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0E562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bCs/>
                <w:sz w:val="20"/>
                <w:szCs w:val="20"/>
                <w:lang w:eastAsia="ru-RU"/>
              </w:rPr>
              <w:t>2. Производство товаров и услуг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292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04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E13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4285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64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A5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71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7AB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7D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B3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F36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11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319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B3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</w:tr>
      <w:tr w:rsidR="006D16A3" w14:paraId="6D25082C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CCA23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2.1. Промышленное производство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E4E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C0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AB97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73E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548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AB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65E3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50C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3DF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CC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45C3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34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0F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FC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6D16A3" w14:paraId="5DC7901F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76E81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1B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E43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197576,7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B69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138389,1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0B0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146685,0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AE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153654,1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B6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155754,8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7A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160801,8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B74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166640,4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1B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168399,8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2D8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178334,8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C6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181721,9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8A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192634,8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C9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195772,0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B3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208176,2</w:t>
            </w:r>
          </w:p>
        </w:tc>
      </w:tr>
      <w:tr w:rsidR="006D16A3" w14:paraId="1BCCC82A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0DF5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Темп роста промышленного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E0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C9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34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27B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528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E3B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A9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C0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B44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E4E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4FD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824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CB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D3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108,1</w:t>
            </w:r>
          </w:p>
        </w:tc>
      </w:tr>
      <w:tr w:rsidR="006D16A3" w14:paraId="68BD003F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7B44C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491" w14:textId="77777777" w:rsidR="006D16A3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0B2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1F9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665B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9649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7A6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28C9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AAD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D8A7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549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AA75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3BA5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D6C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20B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16A3" w14:paraId="357D92E9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F7031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bCs/>
                <w:sz w:val="20"/>
                <w:szCs w:val="20"/>
                <w:lang w:eastAsia="ru-RU"/>
              </w:rPr>
              <w:t>Раздел B: Добыча полезных ископаемых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295" w14:textId="2A8F19B3" w:rsidR="006D16A3" w:rsidRPr="003B2ABF" w:rsidRDefault="00DC1C0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bCs/>
                <w:sz w:val="20"/>
              </w:rPr>
              <w:t>м</w:t>
            </w:r>
            <w:r w:rsidR="00DF1B2C" w:rsidRPr="003B2ABF">
              <w:rPr>
                <w:bCs/>
                <w:sz w:val="20"/>
              </w:rPr>
              <w:t>лн</w:t>
            </w:r>
            <w:r>
              <w:rPr>
                <w:bCs/>
                <w:sz w:val="20"/>
              </w:rPr>
              <w:t>.</w:t>
            </w:r>
            <w:r w:rsidR="00DF1B2C" w:rsidRPr="003B2ABF">
              <w:rPr>
                <w:bCs/>
                <w:sz w:val="20"/>
              </w:rPr>
              <w:t xml:space="preserve"> рублей в ценах соответствующих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C4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7 983,40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69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3 305,20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B0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2 998,12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686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3 170,98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1A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3 211,55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723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3 341,20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865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3 440,29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F3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3 568,57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63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3 706,71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A0D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3 807,75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434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3 986,07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AE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4 059,06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EE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4 286,49</w:t>
            </w:r>
          </w:p>
        </w:tc>
      </w:tr>
      <w:tr w:rsidR="006D16A3" w14:paraId="7974A068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9C592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bCs/>
                <w:sz w:val="20"/>
                <w:szCs w:val="20"/>
                <w:lang w:eastAsia="ru-RU"/>
              </w:rPr>
              <w:t>Темп роста производства – Раздел B: Добыча полезных ископаемых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2C1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F3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BE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41,4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90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3F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9FF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FB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E8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A8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B9D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2B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96B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D9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03E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107,5</w:t>
            </w:r>
          </w:p>
        </w:tc>
      </w:tr>
      <w:tr w:rsidR="006D16A3" w14:paraId="1F46C03D" w14:textId="77777777">
        <w:trPr>
          <w:gridAfter w:val="13"/>
          <w:wAfter w:w="13804" w:type="dxa"/>
          <w:trHeight w:val="98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AB5B0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 xml:space="preserve">Раздел </w:t>
            </w:r>
            <w:r w:rsidRPr="003B2ABF">
              <w:rPr>
                <w:rFonts w:eastAsia="Arial Unicode MS"/>
                <w:sz w:val="20"/>
                <w:szCs w:val="20"/>
                <w:lang w:val="en-US" w:eastAsia="ru-RU"/>
              </w:rPr>
              <w:t>C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>: Обрабатывающие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6D1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B40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172 647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29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118 968,7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382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126 776,7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B0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132 893,9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02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134 861,7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B8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139 152,3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DA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144 673,3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849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145 763,4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8BA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155 202,6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28A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158 019,8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E9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168 250,4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2F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170 949,9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CD0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182 471,8</w:t>
            </w:r>
          </w:p>
        </w:tc>
      </w:tr>
      <w:tr w:rsidR="006D16A3" w14:paraId="4F8A469F" w14:textId="77777777">
        <w:trPr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996F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Темп роста – Раздел </w:t>
            </w:r>
            <w:r w:rsidRPr="003B2ABF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: Обрабатывающие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68E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761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85F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68,9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36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C3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E6F8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29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58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B9C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849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A6B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939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108,4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46D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CB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108,5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22ED9408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0F54BCD1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40DC6376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61E06EEC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7A0C3164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40CFCB7B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7EBDF4C9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5864D1AF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2ECCFA6C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08AFBE88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592D0AD9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14:paraId="3005FD73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Align w:val="center"/>
          </w:tcPr>
          <w:p w14:paraId="70D8FDB7" w14:textId="77777777" w:rsidR="006D16A3" w:rsidRDefault="006D16A3" w:rsidP="0016161F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16A3" w14:paraId="54B8D57D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4266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 xml:space="preserve">Раздел </w:t>
            </w:r>
            <w:r w:rsidRPr="003B2ABF">
              <w:rPr>
                <w:rFonts w:eastAsia="Arial Unicode MS"/>
                <w:sz w:val="20"/>
                <w:szCs w:val="20"/>
                <w:lang w:val="en-US" w:eastAsia="ru-RU"/>
              </w:rPr>
              <w:t>D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>: Обеспечение электрической энергией, газом и паром; кондиционирование воздуха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1FF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7B0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10 958,7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2C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11 240,3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F28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11 830,2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D1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12 316,2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C1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12 377,6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80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12 834,9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67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12 988,9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424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13 375,4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3EA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13 643,6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FC0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13 938,8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2A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14 331,2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3C5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14 525,8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C0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15 039,0</w:t>
            </w:r>
          </w:p>
        </w:tc>
      </w:tr>
      <w:tr w:rsidR="006D16A3" w14:paraId="76449C8B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2F14E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Темп роста производства - 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 xml:space="preserve">Раздел </w:t>
            </w:r>
            <w:r w:rsidRPr="003B2ABF">
              <w:rPr>
                <w:rFonts w:eastAsia="Arial Unicode MS"/>
                <w:sz w:val="20"/>
                <w:szCs w:val="20"/>
                <w:lang w:val="en-US" w:eastAsia="ru-RU"/>
              </w:rPr>
              <w:t>D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>: Обеспечение электрической энергией, газом и паром; кондиционирование воздуха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0F7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D85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D7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102,6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9297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105,2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E6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A4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BB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40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DA8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8A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AA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B47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23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2A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104,9</w:t>
            </w:r>
          </w:p>
        </w:tc>
      </w:tr>
      <w:tr w:rsidR="006D16A3" w14:paraId="60244194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68113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 xml:space="preserve">Раздел </w:t>
            </w:r>
            <w:r w:rsidRPr="003B2ABF">
              <w:rPr>
                <w:rFonts w:eastAsia="Arial Unicode MS"/>
                <w:sz w:val="20"/>
                <w:szCs w:val="20"/>
                <w:lang w:val="en-US" w:eastAsia="ru-RU"/>
              </w:rPr>
              <w:t>E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 xml:space="preserve">: Водоснабжение; водоотведение, организация сбора и утилизации отходов, деятельность по 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lastRenderedPageBreak/>
              <w:t>ликвидации загрязнений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840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1D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5 987,6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81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4 874,9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AC2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5 080,0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D2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5 273,1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46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5 304,0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A9E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5 473,5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115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5 537,8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B55D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5 692,4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A7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5 781,9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09B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5 955,6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C43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6 067,1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04BE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6 237,2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75A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6 378,9</w:t>
            </w:r>
          </w:p>
        </w:tc>
      </w:tr>
      <w:tr w:rsidR="006D16A3" w14:paraId="16ADFFA3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B93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Темп роста производства – 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 xml:space="preserve">Раздел </w:t>
            </w:r>
            <w:r w:rsidRPr="003B2ABF">
              <w:rPr>
                <w:rFonts w:eastAsia="Arial Unicode MS"/>
                <w:sz w:val="20"/>
                <w:szCs w:val="20"/>
                <w:lang w:val="en-US" w:eastAsia="ru-RU"/>
              </w:rPr>
              <w:t>E</w:t>
            </w:r>
            <w:r w:rsidRPr="003B2ABF">
              <w:rPr>
                <w:rFonts w:eastAsia="Arial Unicode MS"/>
                <w:sz w:val="20"/>
                <w:szCs w:val="20"/>
                <w:lang w:eastAsia="ru-RU"/>
              </w:rPr>
              <w:t>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C6A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F981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B26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81,4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8CB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EBA6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6C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0D7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103,8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02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41F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C94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239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90FC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9F0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695" w14:textId="77777777" w:rsidR="006D16A3" w:rsidRPr="003B2ABF" w:rsidRDefault="00DF1B2C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105,1</w:t>
            </w:r>
          </w:p>
        </w:tc>
      </w:tr>
      <w:tr w:rsidR="006D16A3" w14:paraId="79056B20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4CD35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 Рынок товаров и услуг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E8D" w14:textId="77777777" w:rsidR="006D16A3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67F6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1FD0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C91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922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65D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BA3F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245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53C0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A8B1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421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A0F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3A4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84BF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16A3" w14:paraId="722DF705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9F5D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Оборот розничной торговли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C9F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A7C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0AB0">
              <w:rPr>
                <w:sz w:val="20"/>
                <w:szCs w:val="20"/>
              </w:rPr>
              <w:t>101808,9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16A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117104,8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BA77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125665,6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514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134156,4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55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134797,8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642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140602,2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A6A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143669,7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B44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147357,7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5D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152222,1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74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154437,7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96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161129,6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20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161858,0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36F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170558,4</w:t>
            </w:r>
          </w:p>
        </w:tc>
      </w:tr>
      <w:tr w:rsidR="006D16A3" w14:paraId="7EEA7A91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A667C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Индекс физического объема оборота розничной торговли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3FF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EA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D0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99,5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8DE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BFA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46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AE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CC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9DB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F3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CCB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CB7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A5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61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101,1</w:t>
            </w:r>
          </w:p>
        </w:tc>
      </w:tr>
      <w:tr w:rsidR="006D16A3" w14:paraId="0D2BD346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CF834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Оборот розничной торговли без субъектов малого предпринимательства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892D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млн рублей в ценах соответствующих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C9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61423,0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5E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68227,0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7D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73214,4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B25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78238,8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9C63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78534,9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C7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82308,3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A0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83703,8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C0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86262,9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D1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88686,5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BB9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92947,6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8E1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93876,2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EAB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97413,4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F4F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99369,9</w:t>
            </w:r>
          </w:p>
        </w:tc>
      </w:tr>
      <w:tr w:rsidR="006D16A3" w14:paraId="4146101C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E8D6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Оборот общественного питания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3BB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млн рублей в ценах соответствующих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553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80F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8336,1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0C8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8884,4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531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9432,8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D0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9965,7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D5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10074,1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AA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10706,4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BD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11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11311,3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13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11486,5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E53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12267,9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D1A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12189,6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5C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131025,1</w:t>
            </w:r>
          </w:p>
        </w:tc>
      </w:tr>
      <w:tr w:rsidR="006D16A3" w14:paraId="031EF997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4C9F4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Индекс физического объема оборота общественного питания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FED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29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5ECB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623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B5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F5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5C2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50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B9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69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DB5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C90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57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30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102,4</w:t>
            </w:r>
          </w:p>
        </w:tc>
      </w:tr>
      <w:tr w:rsidR="006D16A3" w14:paraId="72572789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9BFBD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объектов розничной торговли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41B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69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09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1886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D4B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1889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F12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3E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63B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8E5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68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1390" w14:textId="131CAC6E" w:rsidR="006D16A3" w:rsidRPr="002D0AB0" w:rsidRDefault="00DF1B2C" w:rsidP="002D0AB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4E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38" w14:textId="4E0FBB8C" w:rsidR="006D16A3" w:rsidRPr="002D0AB0" w:rsidRDefault="00DF1B2C" w:rsidP="002D0AB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15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76A" w14:textId="4C9ABD8E" w:rsidR="006D16A3" w:rsidRPr="002D0AB0" w:rsidRDefault="00DF1B2C" w:rsidP="002D0AB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1912</w:t>
            </w:r>
          </w:p>
        </w:tc>
      </w:tr>
      <w:tr w:rsidR="006D16A3" w14:paraId="4A74E07C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49E4B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объектов общественного питания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FE6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9D6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3463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B95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36B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AD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045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79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67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F0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8B7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ED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DB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E4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310</w:t>
            </w:r>
          </w:p>
        </w:tc>
      </w:tr>
      <w:tr w:rsidR="006D16A3" w14:paraId="21F98308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4D4F6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объектов бытового обслуживания населения, оказывающих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81A8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154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09F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599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BF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FB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82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8A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E7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BA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87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EB0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5C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B67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7C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610</w:t>
            </w:r>
          </w:p>
        </w:tc>
      </w:tr>
      <w:tr w:rsidR="006D16A3" w14:paraId="7A166A7B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481CD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82A5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072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24238,1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9A5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24786,4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65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25109,7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C7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25411,4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72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26047,3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BB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25436,8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57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26913,5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1D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25462,3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A1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28138,0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2D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26748,8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53B3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29705,2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49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28100,3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7B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bCs/>
                <w:sz w:val="20"/>
                <w:szCs w:val="20"/>
              </w:rPr>
              <w:t>31450,6</w:t>
            </w:r>
          </w:p>
        </w:tc>
      </w:tr>
      <w:tr w:rsidR="006D16A3" w14:paraId="2B869A57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FFC93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Индекс физического объема платных услуг населению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20A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CE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918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ADE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27C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34F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D63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100,1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57F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6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D2D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DD0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BFAB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51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FD8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102,0</w:t>
            </w:r>
          </w:p>
        </w:tc>
      </w:tr>
      <w:tr w:rsidR="006D16A3" w14:paraId="2D691CC8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D046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торгового зала объектов розничной торговли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F103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2E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311241,6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D8D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308088,0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25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308228,6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F27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308490,7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7576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308250,6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5D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308550,7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E17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F45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308600,7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510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832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308600,7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7E2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308350,0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E0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308600,7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695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308350,0</w:t>
            </w:r>
          </w:p>
        </w:tc>
      </w:tr>
      <w:tr w:rsidR="0045472E" w14:paraId="2A78A1C4" w14:textId="77777777" w:rsidTr="00D6192A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1F235" w14:textId="77777777" w:rsidR="0045472E" w:rsidRPr="00D6192A" w:rsidRDefault="0045472E" w:rsidP="0045472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192A">
              <w:rPr>
                <w:rFonts w:eastAsia="Times New Roman"/>
                <w:sz w:val="20"/>
                <w:szCs w:val="20"/>
                <w:lang w:eastAsia="ru-RU"/>
              </w:rPr>
              <w:t>Обеспеченность населения торговыми площадями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B504" w14:textId="77777777" w:rsidR="0045472E" w:rsidRPr="00D6192A" w:rsidRDefault="0045472E" w:rsidP="0045472E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192A">
              <w:rPr>
                <w:rFonts w:eastAsia="Times New Roman"/>
                <w:sz w:val="20"/>
                <w:szCs w:val="20"/>
                <w:lang w:eastAsia="ru-RU"/>
              </w:rPr>
              <w:t>кв.м на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B85" w14:textId="74168B7A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AE8" w14:textId="15D9FB89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1147,1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14BE" w14:textId="41E3D31A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1156,9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1D0" w14:textId="453AD234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4986" w14:textId="799ADDB2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ECE" w14:textId="0D986624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1175,9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065C" w14:textId="6C9F2BB5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E57" w14:textId="4EB4A7B6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AE0E" w14:textId="340D6D52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2FBF" w14:textId="4734B86A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200" w14:textId="53813096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1193,0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C02" w14:textId="7673C07B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1203,8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2AF" w14:textId="515C7C94" w:rsidR="0045472E" w:rsidRPr="0045472E" w:rsidRDefault="0045472E" w:rsidP="0045472E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45472E">
              <w:rPr>
                <w:color w:val="000000"/>
                <w:sz w:val="20"/>
                <w:szCs w:val="20"/>
              </w:rPr>
              <w:t>1202,2</w:t>
            </w:r>
          </w:p>
        </w:tc>
      </w:tr>
      <w:tr w:rsidR="006D16A3" w14:paraId="04D1CCF9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2ACE6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Число коллективных средств размещения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572" w14:textId="77777777" w:rsidR="006D16A3" w:rsidRPr="00DC1C0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1C03">
              <w:rPr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3D9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914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7A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E9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2C7B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8B1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602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E0D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B9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033C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8C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EFA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E63" w14:textId="77777777" w:rsidR="006D16A3" w:rsidRPr="002D0AB0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48</w:t>
            </w:r>
          </w:p>
        </w:tc>
      </w:tr>
      <w:tr w:rsidR="006D16A3" w14:paraId="59919246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12EFB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4. Малое и среднее предпринимательство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F84" w14:textId="77777777" w:rsidR="006D16A3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6952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DFD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54D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321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F89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D99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6D3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A3D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9AFA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A57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633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04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0FA" w14:textId="77777777" w:rsidR="006D16A3" w:rsidRPr="002D0AB0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3912" w14:paraId="75B7F82B" w14:textId="77777777" w:rsidTr="00603542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55DE6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малых предприятий – всего по состоянию на конец года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B8F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FF8" w14:textId="663F8B46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6 311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F0D3" w14:textId="53CD5AE5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6176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F6E" w14:textId="0C8A87B0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6 175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B19" w14:textId="1F83982B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D109" w14:textId="1A490900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87" w14:textId="1A1CB189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3EC" w14:textId="2346E8C0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9FA" w14:textId="47D97FAB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9DD" w14:textId="6DAEC3C2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60D" w14:textId="574FA0B8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E22" w14:textId="2FF30234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6330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4AD" w14:textId="0D1EEAEE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EC5" w14:textId="5FE5E85E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6330</w:t>
            </w:r>
          </w:p>
        </w:tc>
      </w:tr>
      <w:tr w:rsidR="00773912" w14:paraId="05AD2E7C" w14:textId="77777777" w:rsidTr="00603542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88C86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Среднесписочная численность работников (без внешних совместителей) по малым предприятиям -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B0BF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E79" w14:textId="13C4F0A3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20 613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5E9" w14:textId="757964DE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18 341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286" w14:textId="4CD39BFF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18 876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138" w14:textId="45235483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18 901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035" w14:textId="54095852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A4E" w14:textId="369BCE9C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F24" w14:textId="723BF8A7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286" w14:textId="1D1896DD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2C3C" w14:textId="32876181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D33" w14:textId="3A5B2CA6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83C" w14:textId="073DB210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19 300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CF1" w14:textId="39D6A084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19 350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DC4" w14:textId="0CC00CB6" w:rsidR="00773912" w:rsidRPr="002D0AB0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20 300</w:t>
            </w:r>
          </w:p>
        </w:tc>
      </w:tr>
      <w:tr w:rsidR="006D16A3" w14:paraId="57675A87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FC33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Численность индивидуальных предпринимателей - по состоянию на конец года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105C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F79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DEF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7 644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FBC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7 664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C4D5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7 666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870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C7FD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7 673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A55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C46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DAC4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2CE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C1E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7 837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9839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DEE" w14:textId="77777777" w:rsidR="006D16A3" w:rsidRPr="002D0AB0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D0AB0">
              <w:rPr>
                <w:sz w:val="20"/>
                <w:szCs w:val="20"/>
              </w:rPr>
              <w:t>7 837</w:t>
            </w:r>
          </w:p>
        </w:tc>
      </w:tr>
      <w:tr w:rsidR="00773912" w14:paraId="004CF3C2" w14:textId="77777777" w:rsidTr="00603542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C96E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Среднесписочная численность работников индивидуальных предпринимателей</w:t>
            </w:r>
            <w:r>
              <w:rPr>
                <w:rStyle w:val="aff8"/>
                <w:rFonts w:eastAsia="Times New Roman"/>
                <w:sz w:val="20"/>
                <w:szCs w:val="20"/>
                <w:lang w:eastAsia="ru-RU"/>
              </w:rPr>
              <w:footnoteReference w:id="5"/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5960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9E9A" w14:textId="08D07539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4FC" w14:textId="387EE38E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7 644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5A0" w14:textId="6B27FBB8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7 664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8F1" w14:textId="682930EF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7 666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9C6" w14:textId="3A6B88AA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AB3" w14:textId="632363A6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7 673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096" w14:textId="664B1E37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959" w14:textId="3BFB6BFA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2BD" w14:textId="00C72BA8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A79" w14:textId="5165455E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752" w14:textId="1B9BF391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7 837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395" w14:textId="31A4551D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6D8" w14:textId="3537DF6D" w:rsidR="00773912" w:rsidRPr="002D0AB0" w:rsidRDefault="00773912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B0">
              <w:rPr>
                <w:sz w:val="20"/>
                <w:szCs w:val="20"/>
              </w:rPr>
              <w:t>7 837</w:t>
            </w:r>
          </w:p>
        </w:tc>
      </w:tr>
      <w:tr w:rsidR="00773912" w14:paraId="1B757690" w14:textId="77777777" w:rsidTr="00603542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0138C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средних предприятий –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2F0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137" w14:textId="16DE8D03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561" w14:textId="5C56E1D3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162" w14:textId="1873688D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998" w14:textId="7AE989B6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084" w14:textId="16B40E20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8B1" w14:textId="3C2BE16E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5BE" w14:textId="5069E682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2E4" w14:textId="2FC444D0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8A3" w14:textId="243CCC14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DDD1" w14:textId="50111024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6447" w14:textId="0D98CF45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154" w14:textId="4C1D56ED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EEF8" w14:textId="41953B26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31</w:t>
            </w:r>
          </w:p>
        </w:tc>
      </w:tr>
      <w:tr w:rsidR="00773912" w14:paraId="03CCC1B0" w14:textId="77777777" w:rsidTr="00603542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23D52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Среднесписочная численность работников (без внешних совместителей) по средним предприятиям -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F72" w14:textId="77777777" w:rsidR="00773912" w:rsidRDefault="00773912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C25" w14:textId="620D544D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3 113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837" w14:textId="12AA976D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87A" w14:textId="067FFD07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9A2" w14:textId="53184A67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978" w14:textId="0CF5317A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6E7" w14:textId="4E0BDB0B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2 616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4D9" w14:textId="015A8FAA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EF7A" w14:textId="3C3BD2E8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4E6" w14:textId="2E3A2167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C7C" w14:textId="78AD8C41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0BFA" w14:textId="257DCB4C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2 503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1E0" w14:textId="4D89D160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FDD" w14:textId="0DAB0C56" w:rsidR="00773912" w:rsidRDefault="00773912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2 503</w:t>
            </w:r>
          </w:p>
        </w:tc>
      </w:tr>
      <w:tr w:rsidR="006D16A3" w14:paraId="16F0FF84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F2C97" w14:textId="77777777" w:rsidR="006D16A3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5. Инвестиции и строительство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AC6" w14:textId="77777777" w:rsidR="006D16A3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9AD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354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36B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4AE8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AB9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906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F67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C31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900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1D7D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07D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3D2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9528" w14:textId="77777777" w:rsidR="006D16A3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760D" w14:paraId="5B9A68BB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73894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667F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0316" w14:textId="0CEB0DAE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57 146,5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AA" w14:textId="1B094621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49 935,6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406" w14:textId="5BBC50BF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48 691,2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F2F8" w14:textId="610CB076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48 862,2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74D" w14:textId="62159E3B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49 234,8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B55" w14:textId="057EA2DD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52 151,3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84DB" w14:textId="73B9AB1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52 480,2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29E" w14:textId="39A82C0D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53 633,7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E0F2" w14:textId="62D5738B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54 013,3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A93" w14:textId="76262DB1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54 648,5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648" w14:textId="5A28255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54 999,9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993" w14:textId="53890586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137C5">
              <w:rPr>
                <w:color w:val="000000"/>
                <w:sz w:val="20"/>
                <w:szCs w:val="20"/>
              </w:rPr>
              <w:t>55 711,0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F79" w14:textId="55D06A8B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137C5">
              <w:rPr>
                <w:color w:val="000000"/>
                <w:sz w:val="20"/>
                <w:szCs w:val="20"/>
              </w:rPr>
              <w:t>56 073,0</w:t>
            </w:r>
          </w:p>
        </w:tc>
      </w:tr>
      <w:tr w:rsidR="00A6760D" w14:paraId="6B6CF4B6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0BB7A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Объем инвестиций (в основной капитал) за счет всех источников финансирования</w:t>
            </w:r>
            <w:r w:rsidRPr="003B2ABF">
              <w:rPr>
                <w:rStyle w:val="aff8"/>
                <w:rFonts w:eastAsia="Times New Roman"/>
                <w:bCs/>
                <w:sz w:val="20"/>
                <w:szCs w:val="20"/>
                <w:lang w:eastAsia="ru-RU"/>
              </w:rPr>
              <w:footnoteReference w:id="6"/>
            </w: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-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698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E95" w14:textId="4F001785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91 563,5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97CB" w14:textId="16595474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90 845,3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364" w14:textId="19B598C9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88 004,8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BB4" w14:textId="7F83A656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89 140,0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335" w14:textId="7608A9D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90 291,6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16C" w14:textId="2EBC9CE3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91 293,7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CC7" w14:textId="41BAED86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92 097,4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189" w14:textId="461D4E09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92 469,5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3D67" w14:textId="6CF6623F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93 289,1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358" w14:textId="55FBA36F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94 318,9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22A" w14:textId="3C40824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95 154,9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BC5" w14:textId="31449E0F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137C5">
              <w:rPr>
                <w:color w:val="000000"/>
                <w:sz w:val="20"/>
                <w:szCs w:val="20"/>
              </w:rPr>
              <w:t>96 205,3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751F" w14:textId="639710AB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137C5">
              <w:rPr>
                <w:color w:val="000000"/>
                <w:sz w:val="20"/>
                <w:szCs w:val="20"/>
              </w:rPr>
              <w:t>97 058,0</w:t>
            </w:r>
          </w:p>
        </w:tc>
      </w:tr>
      <w:tr w:rsidR="00A6760D" w14:paraId="22BA5091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4CAC6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Объем инвестиций (в основной капитал) за счет субъектов малого и среднего предпринимательства - всего</w:t>
            </w:r>
            <w:r w:rsidRPr="003B2ABF"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F40F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D07" w14:textId="5B419DDA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D9F" w14:textId="76A3225C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0BC8" w14:textId="62E2777D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A1EA" w14:textId="4879C954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78EE" w14:textId="049C9779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2418" w14:textId="6B8204D1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7A46" w14:textId="6D9BC5A3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2D5" w14:textId="0ED6355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F015" w14:textId="75981523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3324" w14:textId="69141866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9ED" w14:textId="64BDBDA4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AEBB" w14:textId="371530A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308" w14:textId="4DB6600F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60D" w14:paraId="36F39A0C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1892A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Объем инвестиций, </w:t>
            </w: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осуществляемый организациями, находящимися на территории муниципального образования без субъектов малого предпринимательства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CD5" w14:textId="20FC7E46" w:rsidR="00A6760D" w:rsidRPr="003B2ABF" w:rsidRDefault="00DC1C03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</w:t>
            </w:r>
            <w:r w:rsidR="00A6760D" w:rsidRPr="003B2ABF">
              <w:rPr>
                <w:rFonts w:eastAsia="Times New Roman"/>
                <w:sz w:val="20"/>
                <w:szCs w:val="20"/>
                <w:lang w:eastAsia="ru-RU"/>
              </w:rPr>
              <w:t>лн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A6760D"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 рублей </w:t>
            </w:r>
            <w:r w:rsidR="00A6760D" w:rsidRPr="003B2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ценах соответствующих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326B" w14:textId="768C3B5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91 563,5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82C" w14:textId="03CE3DA5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90 845,3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8DB" w14:textId="4B5E3B93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88 004,8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AE3A" w14:textId="6745F11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89 140,0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AA7" w14:textId="0045551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90 291,6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B93" w14:textId="4429E375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91 293,7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E7A" w14:textId="473DCA3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92 097,4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2C67" w14:textId="66474DC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92 469,5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3A18" w14:textId="3E65E27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93 289,1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79EA" w14:textId="7E88023D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94 318,9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5FD" w14:textId="7C34625B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95 154,9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7AD" w14:textId="36B62D92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96 205,3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0D9B" w14:textId="21D647F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97 058,0</w:t>
            </w:r>
          </w:p>
        </w:tc>
      </w:tr>
      <w:tr w:rsidR="00A6760D" w14:paraId="470A8F16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94AD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 xml:space="preserve">Индекс физического объема </w:t>
            </w: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за счет всех источников финансирования -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446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 в сопоста-вимых ценах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30D" w14:textId="2D91DB20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338" w14:textId="66F230A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ACE" w14:textId="1C04BEB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B44" w14:textId="37A19A7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86A" w14:textId="0D99B65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5F6" w14:textId="5FEF005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4D5" w14:textId="38C092B9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0C0" w14:textId="24534CC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268" w14:textId="20A731A1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382" w14:textId="12DAD870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95C" w14:textId="5C0F85D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748" w14:textId="299DE8B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7E8B" w14:textId="4D13E971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A6760D" w14:paraId="1164B205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00ABE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0D5E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9D1" w14:textId="713A7FC5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F961" w14:textId="20B52332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202" w14:textId="7915531F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DC31" w14:textId="4DB42FD6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16C0" w14:textId="4111F9D3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A26" w14:textId="375C28B2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8B2" w14:textId="2E8864F1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1D26" w14:textId="174EEEF1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7A4" w14:textId="62F12183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A70" w14:textId="1BEA44FD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F0C" w14:textId="1D8816C4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12EF" w14:textId="4B32895F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332A" w14:textId="0C7D610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137C5">
              <w:rPr>
                <w:color w:val="000000"/>
                <w:sz w:val="20"/>
                <w:szCs w:val="20"/>
              </w:rPr>
              <w:t>104,6</w:t>
            </w:r>
          </w:p>
        </w:tc>
      </w:tr>
      <w:tr w:rsidR="00A6760D" w14:paraId="50392B30" w14:textId="77777777" w:rsidTr="00A6760D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E2289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Инвестиции в основной капитал по источникам финансирования: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EDE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01B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5442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49C3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2E3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F63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0240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E50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D78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263A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83C5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A6B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DA25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E05" w14:textId="7777777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760D" w14:paraId="67063425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AB691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собственные средства предприятий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242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7FB1" w14:textId="570550A2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37 600,2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683E" w14:textId="6C0CAC09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26 296,6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C2E" w14:textId="143E39D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25 511,2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065" w14:textId="2149751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26 021,42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ACF" w14:textId="0885F89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26 541,85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20E" w14:textId="67782935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26 281,64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82C" w14:textId="149F2066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27 072,69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E598" w14:textId="298B64D4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26 807,27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83F" w14:textId="3868236B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27 614,14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C10" w14:textId="06C9CCE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27 343,42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5DF9" w14:textId="22AB1BF4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28 166,43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0355" w14:textId="0080A79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27 890,28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09A" w14:textId="353B466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28 729,75</w:t>
            </w:r>
          </w:p>
        </w:tc>
      </w:tr>
      <w:tr w:rsidR="00A6760D" w14:paraId="51AC2E1B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B678C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привлеченные средства: из них: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C94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5A62" w14:textId="7FF2724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53 963,3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3BBD" w14:textId="75B78A6F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64 548,7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F35" w14:textId="3D25354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62 493,6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4D28" w14:textId="74F7B9F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63 118,54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D9E" w14:textId="53717BD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63 749,72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A6E" w14:textId="5B278EB5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65 012,09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451" w14:textId="1EE57301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65 024,72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86C5" w14:textId="51438E6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65 662,21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0A42" w14:textId="5C3E24D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65 674,96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5E2" w14:textId="7F8FB61A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66 975,46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7C1F" w14:textId="7B27C3B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66 988,46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631" w14:textId="2C962405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68 314,97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A2F9" w14:textId="2A3FF7D6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68 328,23</w:t>
            </w:r>
          </w:p>
        </w:tc>
      </w:tr>
      <w:tr w:rsidR="00A6760D" w14:paraId="7C52DA52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1A131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769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C1F" w14:textId="4EB78FA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34 417,0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4D9" w14:textId="4180B680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40 909,7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385" w14:textId="7587A735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39 313,6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690C" w14:textId="101A0D8D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40 277,7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C222" w14:textId="0E8F625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41 056,8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4DA" w14:textId="494F90C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39 142,5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225" w14:textId="28452F17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39 617,2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2311" w14:textId="1AFFB8DC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38 835,8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F826" w14:textId="0AFC177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39 275,8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3C2" w14:textId="691B0614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39 670,4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6F6" w14:textId="42BECE28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40 155,0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8A8" w14:textId="3245C294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40 494,3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0B2" w14:textId="5C7D3BCE" w:rsidR="00A6760D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77ED6">
              <w:rPr>
                <w:color w:val="000000"/>
                <w:sz w:val="20"/>
                <w:szCs w:val="20"/>
              </w:rPr>
              <w:t>40 985,0</w:t>
            </w:r>
          </w:p>
        </w:tc>
      </w:tr>
      <w:tr w:rsidR="00A6760D" w14:paraId="3E37D5DB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E7DF1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DA9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в % к предыду-щему году в сопоста-вимых ценах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0E54" w14:textId="1068BBF2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6B9" w14:textId="782D0F44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103,7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AF0" w14:textId="34272D58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108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C9F5" w14:textId="3EFE9E65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4DD" w14:textId="6D1E9A44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B9A" w14:textId="0E2473A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A33" w14:textId="62EDCE58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9CC4" w14:textId="41FD2BC6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6CF" w14:textId="187B78BF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13C" w14:textId="0780A872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A49" w14:textId="1BA50B02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65E" w14:textId="20797471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C171" w14:textId="1540C90E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A6760D" w14:paraId="3111305F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4092C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DC4A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DBD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90BE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500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ABC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ECD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CE1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17B3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E33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202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45B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8A7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03B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DECD" w14:textId="7777777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760D" w14:paraId="32B9105B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97471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B46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FBF" w14:textId="2151A1D8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31 830,5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2AD8" w14:textId="3807A035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34 260,1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6CBE" w14:textId="0430A82D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33 322,8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B1C7" w14:textId="5FAF02CF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33 656,03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9C5" w14:textId="52BE067D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34 329,15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263" w14:textId="648A1AAD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34 665,71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62B" w14:textId="058C464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35 015,73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02B" w14:textId="672DFC4F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35 012,37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593" w14:textId="18D03B41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35 365,89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6E3A" w14:textId="04695441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35 712,61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A181" w14:textId="2C07CCCA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36 073,21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40F" w14:textId="64D330E2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36 426,87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B740" w14:textId="4F6310E9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36 794,67</w:t>
            </w:r>
          </w:p>
        </w:tc>
      </w:tr>
      <w:tr w:rsidR="00A6760D" w14:paraId="2BA805A5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54183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средства бюджета субъекта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8E2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DC15" w14:textId="7B9ED9E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1 896,4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8BD" w14:textId="49E1BC75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5 000,2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C99" w14:textId="6508DF8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4 341,3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9D6D" w14:textId="23E426D3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3595,70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241" w14:textId="073F5B63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3 667,61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16C" w14:textId="6708C83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3631,66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C7D" w14:textId="2D8334CA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3740,97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E05A" w14:textId="417D2486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3 595,34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A779" w14:textId="0326C6AB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3 667,25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170" w14:textId="79387C53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3631,29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DF6B" w14:textId="202D9835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3740,59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DB85" w14:textId="58A590DA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3703,92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5A61" w14:textId="040210A8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3815,40</w:t>
            </w:r>
          </w:p>
        </w:tc>
      </w:tr>
      <w:tr w:rsidR="00A6760D" w14:paraId="67152CC0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D4C94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81A" w14:textId="77777777" w:rsidR="00A6760D" w:rsidRPr="003B2ABF" w:rsidRDefault="00A6760D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BB39" w14:textId="346B879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690,1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4204" w14:textId="52C4EF98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1 649,3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1CB" w14:textId="75C4F4EA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1 649,5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761" w14:textId="0B3A3A89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DE4" w14:textId="7940526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BA6" w14:textId="5F13343A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845,1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582" w14:textId="44A04AB0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860,5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CC7" w14:textId="375CC9FC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BE3" w14:textId="6FAC7A64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62C7" w14:textId="260F0AB5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58CA" w14:textId="56B3ABB6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341,2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17D3" w14:textId="3EF63D67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B658" w14:textId="64EB3BA3" w:rsidR="00A6760D" w:rsidRPr="003B2ABF" w:rsidRDefault="00A6760D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color w:val="000000"/>
                <w:sz w:val="20"/>
                <w:szCs w:val="20"/>
              </w:rPr>
              <w:t>374,9</w:t>
            </w:r>
          </w:p>
        </w:tc>
      </w:tr>
      <w:tr w:rsidR="006D16A3" w14:paraId="3CE359C6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2B956" w14:textId="77777777" w:rsidR="006D16A3" w:rsidRPr="003B2ABF" w:rsidRDefault="00DF1B2C" w:rsidP="0016161F">
            <w:pPr>
              <w:keepNext/>
              <w:keepLines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6. Сальдированный финансовый результат (прибыль, убыток) деятельности крупных и средних предприятий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E30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млн. рублей в ценах соответст-вующих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6807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103 563,5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9E0C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62 019,3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1378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91 133,1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5A7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95 689,8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E750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100 474,2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444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99 517,3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420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105 498,0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0E24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102 502,9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849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110 772,9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5013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105 578,0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D4A6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116 311,5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C5C9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108 745,3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95EC" w14:textId="77777777" w:rsidR="006D16A3" w:rsidRPr="003B2ABF" w:rsidRDefault="00DF1B2C" w:rsidP="0016161F">
            <w:pPr>
              <w:keepNext/>
              <w:keepLines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2ABF">
              <w:rPr>
                <w:color w:val="000000"/>
                <w:sz w:val="20"/>
                <w:szCs w:val="20"/>
              </w:rPr>
              <w:t>122 127,1</w:t>
            </w:r>
          </w:p>
        </w:tc>
      </w:tr>
      <w:tr w:rsidR="006D16A3" w14:paraId="523B2229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7CF00" w14:textId="77777777" w:rsidR="006D16A3" w:rsidRPr="003B2ABF" w:rsidRDefault="00DF1B2C" w:rsidP="0016161F">
            <w:pPr>
              <w:keepNext/>
              <w:keepLines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7. Труд и занятость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D8B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1CA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197C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17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147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749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208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43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53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345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861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D4D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AAC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EA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D16A3" w14:paraId="23603BCD" w14:textId="77777777">
        <w:trPr>
          <w:gridAfter w:val="13"/>
          <w:wAfter w:w="13804" w:type="dxa"/>
          <w:trHeight w:val="6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A6266" w14:textId="77777777" w:rsidR="006D16A3" w:rsidRPr="003B2ABF" w:rsidRDefault="00DF1B2C" w:rsidP="0016161F">
            <w:pPr>
              <w:keepNext/>
              <w:keepLines/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  <w:lang w:eastAsia="ru-RU"/>
              </w:rPr>
              <w:t xml:space="preserve">Численность населения в трудоспособном возрасте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C549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061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163,36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16E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158,73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AC9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154,84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1F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4687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C0F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147,34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E65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0575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080A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1365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D72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140,90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5F6A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136,90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AB2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137,45</w:t>
            </w:r>
          </w:p>
        </w:tc>
      </w:tr>
      <w:tr w:rsidR="006D16A3" w14:paraId="6D944FA0" w14:textId="77777777">
        <w:trPr>
          <w:gridAfter w:val="13"/>
          <w:wAfter w:w="13804" w:type="dxa"/>
          <w:trHeight w:val="30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2F8D8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5A59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70A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B4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05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63A4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579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A4A8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895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705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AF4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F0F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6C49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ED56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B44A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0,85</w:t>
            </w:r>
          </w:p>
        </w:tc>
      </w:tr>
      <w:tr w:rsidR="006D16A3" w14:paraId="30DB9739" w14:textId="77777777">
        <w:trPr>
          <w:gridAfter w:val="13"/>
          <w:wAfter w:w="13804" w:type="dxa"/>
          <w:trHeight w:val="61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F97A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6B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DD3D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674C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8516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27E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9C7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7E24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36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FA1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292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A822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C2D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C7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01C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6D16A3" w14:paraId="06DCC94C" w14:textId="77777777">
        <w:trPr>
          <w:gridAfter w:val="13"/>
          <w:wAfter w:w="13804" w:type="dxa"/>
          <w:trHeight w:val="126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53042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lastRenderedPageBreak/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49EA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C4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FB5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881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92F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6C04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BB49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98B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887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A9EE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1BC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DB4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C6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DA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89,6</w:t>
            </w:r>
          </w:p>
        </w:tc>
      </w:tr>
      <w:tr w:rsidR="006D16A3" w14:paraId="14DDE57C" w14:textId="77777777" w:rsidTr="00723F80">
        <w:trPr>
          <w:gridAfter w:val="13"/>
          <w:wAfter w:w="13804" w:type="dxa"/>
          <w:trHeight w:val="20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317B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Среднемесячная начисленная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12A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 xml:space="preserve">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DA7D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86 801,7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C46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97 004,9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B43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105 683,4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4C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113 774,5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D7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114 002,0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7C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122 607,3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DD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122 852,5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31BB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132 257,7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7B5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132 522,3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F7F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142 810,0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5B0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143 095,6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FCE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154 357,8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486" w14:textId="77777777" w:rsidR="006D16A3" w:rsidRPr="003B2ABF" w:rsidRDefault="00DF1B2C" w:rsidP="0016161F">
            <w:pPr>
              <w:keepNext/>
              <w:keepLines/>
              <w:jc w:val="center"/>
              <w:rPr>
                <w:bCs/>
                <w:color w:val="000000"/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154 666,5</w:t>
            </w:r>
          </w:p>
        </w:tc>
      </w:tr>
      <w:tr w:rsidR="006D16A3" w14:paraId="0191415D" w14:textId="77777777">
        <w:trPr>
          <w:gridAfter w:val="13"/>
          <w:wAfter w:w="13804" w:type="dxa"/>
          <w:trHeight w:val="33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9807E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bCs/>
                <w:sz w:val="20"/>
                <w:szCs w:val="20"/>
                <w:lang w:eastAsia="ru-RU"/>
              </w:rPr>
              <w:t>8. Развитие социальной сферы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2F53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CEC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E1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C6A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C5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4B3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513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CE6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353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A5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039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3003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CC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41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</w:tr>
      <w:tr w:rsidR="006D16A3" w14:paraId="7FE2A9E2" w14:textId="77777777">
        <w:trPr>
          <w:gridAfter w:val="13"/>
          <w:wAfter w:w="13804" w:type="dxa"/>
          <w:trHeight w:val="35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5307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Численность детей в дошкольных</w:t>
            </w:r>
            <w:r w:rsidRPr="003B2ABF">
              <w:rPr>
                <w:sz w:val="20"/>
                <w:szCs w:val="20"/>
              </w:rPr>
              <w:t xml:space="preserve"> </w:t>
            </w:r>
            <w:r w:rsidRPr="003B2ABF">
              <w:rPr>
                <w:bCs/>
                <w:sz w:val="20"/>
                <w:szCs w:val="20"/>
              </w:rPr>
              <w:t>образовательных учреждениях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E4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706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16 205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9C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15 035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3A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13 815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C8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67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13 130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934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12 900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F82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13 029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0F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12 800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9A0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13 952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3C7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12 700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C9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13 716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499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12 550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E4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14 676,12</w:t>
            </w:r>
          </w:p>
        </w:tc>
      </w:tr>
      <w:tr w:rsidR="006D16A3" w14:paraId="6BC2D256" w14:textId="77777777">
        <w:trPr>
          <w:gridAfter w:val="13"/>
          <w:wAfter w:w="13804" w:type="dxa"/>
          <w:trHeight w:val="35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C421B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Численность учащихся в учреждениях: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DB27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CB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2C5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DA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3515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3B4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63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8A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FF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2C35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B8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094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E38F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FE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6D16A3" w14:paraId="22ADACB9" w14:textId="77777777">
        <w:trPr>
          <w:gridAfter w:val="13"/>
          <w:wAfter w:w="13804" w:type="dxa"/>
          <w:trHeight w:val="35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08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общеобразовательных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B21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B7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30 473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A7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30 875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A8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30 688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B52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30 809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5F6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31 733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D6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30 963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87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31 891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A5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31 124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28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32 058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77A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31 296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AC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32 235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EF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31 481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CD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32 426</w:t>
            </w:r>
          </w:p>
        </w:tc>
      </w:tr>
      <w:tr w:rsidR="006D16A3" w14:paraId="3EE6B2C0" w14:textId="77777777">
        <w:trPr>
          <w:gridAfter w:val="13"/>
          <w:wAfter w:w="13804" w:type="dxa"/>
          <w:trHeight w:val="35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80AC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среднего профессионального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867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A59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10 588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B2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10 754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E15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10 295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DA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4EF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DFA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0A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F35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F3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57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3F4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10 429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D45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EA9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10 463</w:t>
            </w:r>
          </w:p>
        </w:tc>
      </w:tr>
      <w:tr w:rsidR="006D16A3" w14:paraId="6000B397" w14:textId="77777777">
        <w:trPr>
          <w:gridAfter w:val="13"/>
          <w:wAfter w:w="13804" w:type="dxa"/>
          <w:trHeight w:val="5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3343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высшего профессионального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5E11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C0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5 661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472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5 711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00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4 951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7A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9F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5 044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4B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4 843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4C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57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6B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30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33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4 880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AF6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F36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4 826</w:t>
            </w:r>
          </w:p>
        </w:tc>
      </w:tr>
      <w:tr w:rsidR="006D16A3" w14:paraId="2492F239" w14:textId="77777777">
        <w:trPr>
          <w:gridAfter w:val="13"/>
          <w:wAfter w:w="13804" w:type="dxa"/>
          <w:trHeight w:val="5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6A28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Обеспеченность: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2B1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7B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CE4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4ACA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F78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A1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3BD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F6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087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8C0C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A4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FDE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58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91A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6D16A3" w14:paraId="3D0E82F3" w14:textId="77777777">
        <w:trPr>
          <w:gridAfter w:val="13"/>
          <w:wAfter w:w="13804" w:type="dxa"/>
          <w:trHeight w:val="32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33E3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общедоступными библиотеками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7EB9" w14:textId="77777777" w:rsidR="006D16A3" w:rsidRPr="003B2ABF" w:rsidRDefault="00DF1B2C" w:rsidP="0016161F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учреждений на 100 тыс.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8A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D82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C8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31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23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B6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54A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D6F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C39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FCA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5E1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A1B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4E1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12,48</w:t>
            </w:r>
          </w:p>
        </w:tc>
      </w:tr>
      <w:tr w:rsidR="006D16A3" w14:paraId="04EC72D3" w14:textId="77777777">
        <w:trPr>
          <w:gridAfter w:val="13"/>
          <w:wAfter w:w="13804" w:type="dxa"/>
          <w:trHeight w:val="32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27FC3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учреждениями культурно-досугового типа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3B9" w14:textId="77777777" w:rsidR="006D16A3" w:rsidRPr="003B2ABF" w:rsidRDefault="00DF1B2C" w:rsidP="0016161F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учреждений на 100 тыс.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20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6B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B92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89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8CC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7B8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67C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C1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91F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9E6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C5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C2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815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2,34</w:t>
            </w:r>
          </w:p>
        </w:tc>
      </w:tr>
      <w:tr w:rsidR="006D16A3" w14:paraId="3B71AD7D" w14:textId="77777777">
        <w:trPr>
          <w:gridAfter w:val="13"/>
          <w:wAfter w:w="13804" w:type="dxa"/>
          <w:trHeight w:val="32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DAD10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дошкольными образовательными учреждениями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49A9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мест на 100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BD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83,23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75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D5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96,24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3A8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98,22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4C2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439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100,24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E65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99,24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C7A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C59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BC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24A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17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BD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102,30</w:t>
            </w:r>
          </w:p>
        </w:tc>
      </w:tr>
      <w:tr w:rsidR="006D16A3" w14:paraId="02E44FBC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9661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0D0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470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97,56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3CC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98,68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DB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97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BA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80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2B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1A1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D6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30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CC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9C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B1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98,92</w:t>
            </w:r>
          </w:p>
        </w:tc>
      </w:tr>
      <w:tr w:rsidR="006D16A3" w14:paraId="400ED714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3980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BE8D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3A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3F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CB6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64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5A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D9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36D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EE2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7D3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D2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C3A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958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7C6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6D16A3" w14:paraId="61A6EA8E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DFBE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bCs/>
                <w:sz w:val="20"/>
                <w:szCs w:val="20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7407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тыс. кв.м общей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29B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AD4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3F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6,34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E2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F2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9FF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AF4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24,07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F7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07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B0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41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192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48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6,93</w:t>
            </w:r>
          </w:p>
        </w:tc>
      </w:tr>
      <w:tr w:rsidR="006D16A3" w14:paraId="71AB016F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123CC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Количество выданных разрешений на строительство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DA0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E7E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A5B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A8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1B7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EA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18F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80F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74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6A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EF9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85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161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06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</w:t>
            </w:r>
          </w:p>
        </w:tc>
      </w:tr>
      <w:tr w:rsidR="006D16A3" w14:paraId="39DD3F6F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2EAFF" w14:textId="77777777" w:rsidR="006D16A3" w:rsidRPr="003B2ABF" w:rsidRDefault="00DF1B2C" w:rsidP="0016161F">
            <w:pPr>
              <w:pStyle w:val="afa"/>
              <w:keepNext/>
              <w:keepLines/>
              <w:tabs>
                <w:tab w:val="left" w:pos="708"/>
              </w:tabs>
              <w:contextualSpacing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Количество выданных разрешений на ввод объектов в</w:t>
            </w:r>
          </w:p>
          <w:p w14:paraId="15DE133A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эксплуатацию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62B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39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A0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E42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4C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4B7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90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FBD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4CC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73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41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51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45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3C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25</w:t>
            </w:r>
          </w:p>
        </w:tc>
      </w:tr>
      <w:tr w:rsidR="006D16A3" w14:paraId="7393EEBA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74A41" w14:textId="77777777" w:rsidR="006D16A3" w:rsidRPr="003B2ABF" w:rsidRDefault="00DF1B2C" w:rsidP="0016161F">
            <w:pPr>
              <w:pStyle w:val="afa"/>
              <w:keepNext/>
              <w:keepLines/>
              <w:tabs>
                <w:tab w:val="clear" w:pos="4677"/>
                <w:tab w:val="clear" w:pos="9355"/>
              </w:tabs>
              <w:contextualSpacing/>
              <w:rPr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  <w:lang w:eastAsia="ru-RU"/>
              </w:rPr>
              <w:lastRenderedPageBreak/>
              <w:t>Площадь земельных участков, предоставленных для</w:t>
            </w:r>
          </w:p>
          <w:p w14:paraId="1948A404" w14:textId="77777777" w:rsidR="006D16A3" w:rsidRPr="003B2ABF" w:rsidRDefault="00DF1B2C" w:rsidP="0016161F">
            <w:pPr>
              <w:pStyle w:val="afa"/>
              <w:keepNext/>
              <w:keepLines/>
              <w:tabs>
                <w:tab w:val="clear" w:pos="4677"/>
                <w:tab w:val="clear" w:pos="9355"/>
              </w:tabs>
              <w:contextualSpacing/>
              <w:rPr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  <w:lang w:eastAsia="ru-RU"/>
              </w:rPr>
              <w:t>жилищного строительства, индивидуального</w:t>
            </w:r>
          </w:p>
          <w:p w14:paraId="12C8DF6F" w14:textId="77777777" w:rsidR="006D16A3" w:rsidRPr="003B2ABF" w:rsidRDefault="00DF1B2C" w:rsidP="0016161F">
            <w:pPr>
              <w:pStyle w:val="afa"/>
              <w:keepNext/>
              <w:keepLines/>
              <w:tabs>
                <w:tab w:val="clear" w:pos="4677"/>
                <w:tab w:val="clear" w:pos="9355"/>
              </w:tabs>
              <w:contextualSpacing/>
              <w:rPr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  <w:lang w:eastAsia="ru-RU"/>
              </w:rPr>
              <w:t>жилищного строительства и комплексного освоения в</w:t>
            </w:r>
          </w:p>
          <w:p w14:paraId="3F305EB8" w14:textId="77777777" w:rsidR="006D16A3" w:rsidRPr="003B2ABF" w:rsidRDefault="00DF1B2C" w:rsidP="0016161F">
            <w:pPr>
              <w:pStyle w:val="afa"/>
              <w:keepNext/>
              <w:keepLines/>
              <w:tabs>
                <w:tab w:val="clear" w:pos="4677"/>
                <w:tab w:val="clear" w:pos="9355"/>
              </w:tabs>
              <w:contextualSpacing/>
              <w:rPr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  <w:lang w:eastAsia="ru-RU"/>
              </w:rPr>
              <w:t>целях жилищного строительства в расчете на 10 тысяч человек населения.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FA0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BF4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3C4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FA8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61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A8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65A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44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AC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5F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E6E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8C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2B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DC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D16A3" w14:paraId="4CD924BC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A4AB0" w14:textId="77777777" w:rsidR="006D16A3" w:rsidRPr="003B2ABF" w:rsidRDefault="00DF1B2C" w:rsidP="0016161F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Введено в действие индивидуальных жилых домов на территории муниципального образования, кв. м общей</w:t>
            </w:r>
          </w:p>
          <w:p w14:paraId="104FF1D2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площади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B63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45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1534,2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CF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EE8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4A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82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98C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75C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2B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0E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B45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01F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09F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5EC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294,0</w:t>
            </w:r>
          </w:p>
        </w:tc>
      </w:tr>
      <w:tr w:rsidR="006D16A3" w14:paraId="1039FF3E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0B9A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Средняя обеспеченность населения площадью жилых квартир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DB7B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кв.м на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AA9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EF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28,10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84D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74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BA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46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A0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BA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85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29,01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7AC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3FD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88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D4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29,49</w:t>
            </w:r>
          </w:p>
        </w:tc>
      </w:tr>
      <w:tr w:rsidR="006D16A3" w14:paraId="32788C27" w14:textId="77777777">
        <w:trPr>
          <w:gridAfter w:val="13"/>
          <w:wAfter w:w="13804" w:type="dxa"/>
          <w:trHeight w:val="84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993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5C20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5DF13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CCB8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7 503,24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8415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7 501,65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ED3B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5DB12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7 510,69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63226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7 530,40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BB5E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7 548,06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EAC7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7 554,46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A748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7 558,08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5DE5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7 560,92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EEA4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7 561,45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8F3EC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7 564,27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68119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7 564,79</w:t>
            </w:r>
          </w:p>
        </w:tc>
      </w:tr>
      <w:tr w:rsidR="006D16A3" w14:paraId="0546F6E5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57F0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Площадь аварийного фонда в % к общей площади жилого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CE43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C5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91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CA8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F9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67B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8B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FE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CF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952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DF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57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FE9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2C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1,79</w:t>
            </w:r>
          </w:p>
        </w:tc>
      </w:tr>
      <w:tr w:rsidR="006D16A3" w14:paraId="6BA934F8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A7541" w14:textId="77777777" w:rsidR="006D16A3" w:rsidRPr="003B2ABF" w:rsidRDefault="00DF1B2C" w:rsidP="0016161F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3B2ABF">
              <w:rPr>
                <w:sz w:val="20"/>
                <w:szCs w:val="20"/>
              </w:rPr>
              <w:t>Протяженность автодорог общего пользования</w:t>
            </w:r>
          </w:p>
          <w:p w14:paraId="0AF0EBB9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местного значения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D90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733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4CD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21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14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8F5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7D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01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D7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DD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B59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50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BA2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2D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</w:tr>
      <w:tr w:rsidR="006D16A3" w14:paraId="5312C872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1F06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из них: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EE2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82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22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E285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B9B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B00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95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B8E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E1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28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4AE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FF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D8A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91A2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16A3" w14:paraId="6CF7EABF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09A07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lastRenderedPageBreak/>
              <w:t>с твердым покрытием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580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9D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F5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126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3B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634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A2E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F2D3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50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4B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37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39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FB2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07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205,4</w:t>
            </w:r>
          </w:p>
        </w:tc>
      </w:tr>
      <w:tr w:rsidR="006D16A3" w14:paraId="2900DDD3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58D94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с усовершенствованным покрытием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20F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sz w:val="20"/>
                <w:szCs w:val="20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6B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954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65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F9F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E1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03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0AC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D3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BA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A1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1F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FB2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11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204,57</w:t>
            </w:r>
          </w:p>
        </w:tc>
      </w:tr>
      <w:tr w:rsidR="006D16A3" w14:paraId="62476554" w14:textId="77777777" w:rsidTr="00A42A83">
        <w:trPr>
          <w:gridAfter w:val="13"/>
          <w:wAfter w:w="13804" w:type="dxa"/>
          <w:trHeight w:val="205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AC025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2C6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2ABF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CC6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F6A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bCs/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3ED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EA57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AC4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62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AAB1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5D0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A69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3C8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03E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32B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EBF" w14:textId="77777777" w:rsidR="006D16A3" w:rsidRPr="003B2ABF" w:rsidRDefault="00DF1B2C" w:rsidP="0016161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3B2ABF"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6D16A3" w14:paraId="6983423E" w14:textId="77777777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72F97" w14:textId="77777777" w:rsidR="006D16A3" w:rsidRPr="003B2ABF" w:rsidRDefault="00DF1B2C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color w:val="000000"/>
                <w:sz w:val="20"/>
                <w:szCs w:val="20"/>
                <w:lang w:eastAsia="ru-RU"/>
              </w:rPr>
            </w:pPr>
            <w:r w:rsidRPr="003B2ABF">
              <w:rPr>
                <w:rFonts w:eastAsia="Arial Unicode MS"/>
                <w:bCs/>
                <w:sz w:val="20"/>
                <w:szCs w:val="20"/>
                <w:lang w:eastAsia="ru-RU"/>
              </w:rPr>
              <w:t>9. Доходы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9928" w14:textId="77777777" w:rsidR="006D16A3" w:rsidRPr="003B2ABF" w:rsidRDefault="006D16A3" w:rsidP="0016161F">
            <w:pPr>
              <w:keepNext/>
              <w:keepLine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38C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0FB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EF9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C5D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7AE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DA2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5726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899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641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696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0A18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E00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367" w14:textId="77777777" w:rsidR="006D16A3" w:rsidRPr="003B2ABF" w:rsidRDefault="006D16A3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ABB" w:rsidRPr="00421ABB" w14:paraId="5B9D67DB" w14:textId="77777777" w:rsidTr="001B6F31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0EA76" w14:textId="7F69869D" w:rsidR="00421ABB" w:rsidRPr="00421ABB" w:rsidRDefault="00421ABB" w:rsidP="0016161F">
            <w:pPr>
              <w:keepNext/>
              <w:keepLines/>
              <w:spacing w:after="0" w:line="240" w:lineRule="auto"/>
              <w:rPr>
                <w:rFonts w:eastAsia="Arial Unicode MS"/>
                <w:bCs/>
                <w:sz w:val="22"/>
                <w:lang w:eastAsia="ru-RU"/>
              </w:rPr>
            </w:pPr>
            <w:r w:rsidRPr="00421ABB">
              <w:rPr>
                <w:color w:val="000000"/>
                <w:sz w:val="22"/>
              </w:rPr>
              <w:t xml:space="preserve">Объём собственных доходов бюджета муниципального образования от налоговых и неналоговых поступлений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910" w14:textId="0E5E2A27" w:rsidR="00421ABB" w:rsidRPr="00421ABB" w:rsidRDefault="00421ABB" w:rsidP="0016161F">
            <w:pPr>
              <w:keepNext/>
              <w:keepLines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421ABB">
              <w:rPr>
                <w:sz w:val="22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E6D7F" w14:textId="4D83CA0C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11 346 227,2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3B5D15" w14:textId="53EB0AD2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9 538 918,2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EAE17" w14:textId="7B0AF9AB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9 024 307,1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19A2C9" w14:textId="6F191E1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9 232 589,4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6F1BA" w14:textId="31A433B2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9 232 589,4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F45E50" w14:textId="035FF754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9 539 153,2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D2F290" w14:textId="13A005D2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9 539 153,2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B04D70" w14:textId="7D0BF485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9 888 193,0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79455" w14:textId="4EB08B1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9 888 193,0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26820" w14:textId="65D536C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10 256 871,7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019F5E" w14:textId="3FA3D520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10 256 871,7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4BA9D9" w14:textId="0B33FC21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10 640 551,2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FB55C" w14:textId="645C26BF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52CD">
              <w:rPr>
                <w:bCs/>
                <w:sz w:val="20"/>
                <w:szCs w:val="20"/>
              </w:rPr>
              <w:t>10 640 551,2</w:t>
            </w:r>
          </w:p>
        </w:tc>
      </w:tr>
      <w:tr w:rsidR="00421ABB" w:rsidRPr="00421ABB" w14:paraId="18269A5D" w14:textId="77777777" w:rsidTr="001B6F31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B9809" w14:textId="1BFCB230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857" w14:textId="77777777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1ED9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6497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523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936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33B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684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05C1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81BF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4EA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2766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4FB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A27A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E5F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21ABB" w:rsidRPr="00421ABB" w14:paraId="31B09D74" w14:textId="77777777" w:rsidTr="00D452CD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71C40" w14:textId="5F952E5A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>Налог на доходы физических лиц с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F76" w14:textId="792009E9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sz w:val="22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BC9" w14:textId="5D2919F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220 910,1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F784" w14:textId="0CD60F58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165 021,2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991" w14:textId="0B176B0E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173 817,0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7D5" w14:textId="1C72A18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180 769,7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FD24" w14:textId="74AB5650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180 769,7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5B52" w14:textId="6C1B239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188 000,4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1B66" w14:textId="68311A51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188 000,4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0440" w14:textId="3ECB73C3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195 520,5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02D" w14:textId="1E24CD9E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195 520,5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1E4" w14:textId="04F0EEB5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203 341,3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EBF" w14:textId="2A025419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203 341,3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B10" w14:textId="3660FB5B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211 475,0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A16" w14:textId="41979558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211 475,0</w:t>
            </w:r>
          </w:p>
        </w:tc>
      </w:tr>
      <w:tr w:rsidR="00421ABB" w:rsidRPr="00421ABB" w14:paraId="4DB6CDAD" w14:textId="77777777" w:rsidTr="00D452CD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A0505" w14:textId="78FD4108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D2A" w14:textId="26B4D249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sz w:val="22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7FC" w14:textId="01F3F019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373 015,5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E9C" w14:textId="064E9DB1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343 268,8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C20" w14:textId="11044208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336 891,2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5F5E" w14:textId="6B65F640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340 632,6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6786" w14:textId="41A4DF89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340 632,6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595E" w14:textId="6D206AC0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351 879,4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553F" w14:textId="0FAC3BBE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351 879,4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385" w14:textId="5D7CA264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363 695,0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2CA" w14:textId="116EC34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363 695,0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88A" w14:textId="61463250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377 288,8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65" w14:textId="5D0517C1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377 288,8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5CC" w14:textId="276D282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391 426,3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05C" w14:textId="21A9F5E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391 426,3</w:t>
            </w:r>
          </w:p>
        </w:tc>
      </w:tr>
      <w:tr w:rsidR="00421ABB" w:rsidRPr="00421ABB" w14:paraId="429C0033" w14:textId="77777777" w:rsidTr="001B6F31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5E24" w14:textId="75C07D77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 xml:space="preserve">в том числе: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18D" w14:textId="77777777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A17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A60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D3A7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9465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C1A7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124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5418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12B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49A9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8AF9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3D3B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0B47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C99" w14:textId="77777777" w:rsidR="00421ABB" w:rsidRPr="00421ABB" w:rsidRDefault="00421ABB" w:rsidP="0016161F">
            <w:pPr>
              <w:keepNext/>
              <w:keepLines/>
              <w:spacing w:after="0" w:line="240" w:lineRule="auto"/>
              <w:jc w:val="center"/>
              <w:rPr>
                <w:i/>
                <w:iCs/>
                <w:sz w:val="22"/>
              </w:rPr>
            </w:pPr>
          </w:p>
        </w:tc>
      </w:tr>
      <w:tr w:rsidR="00421ABB" w:rsidRPr="00421ABB" w14:paraId="6F4119C8" w14:textId="77777777" w:rsidTr="00D452CD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1F44" w14:textId="2F870338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>за земельные участки,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7DB" w14:textId="69935508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sz w:val="22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C037" w14:textId="5431FE01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337 708,9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F02" w14:textId="1CEA4DFF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311 791,8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C179" w14:textId="63BEFD1C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301 723,4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F50" w14:textId="31011455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314 204,8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088" w14:textId="1175CFB5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314 204,8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9D89" w14:textId="6FAE098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326 773,0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593A" w14:textId="02B0516B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326 773,0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259" w14:textId="4130338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339 843,9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6BA" w14:textId="7135FB6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339 843,9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819C" w14:textId="3EFB10E3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353 437,7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EE73" w14:textId="40C3A63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353 437,7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522" w14:textId="2CCC45F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367 575,2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DCC" w14:textId="33A551ED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367 575,2</w:t>
            </w:r>
          </w:p>
        </w:tc>
      </w:tr>
      <w:tr w:rsidR="00421ABB" w:rsidRPr="00421ABB" w14:paraId="5F838E6B" w14:textId="77777777" w:rsidTr="00D452CD">
        <w:trPr>
          <w:gridAfter w:val="13"/>
          <w:wAfter w:w="13804" w:type="dxa"/>
          <w:trHeight w:val="6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731C4" w14:textId="54FB7B68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>от сдачи в аренду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2728" w14:textId="4EBA2B22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sz w:val="22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2C95" w14:textId="571595D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35 306,6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1E22" w14:textId="72220E74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31 477,0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B534" w14:textId="1F915E92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35 167,8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DDE" w14:textId="26E5C635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26 427,8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D69" w14:textId="57F19773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26 427,8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DDD" w14:textId="6A4BF975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25 106,4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A462" w14:textId="7FADDFCE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25 106,4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090F" w14:textId="4C6FEE0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23 851,1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6CE7" w14:textId="7D0B56AF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23 851,1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9556" w14:textId="3709771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23 851,1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DFA8" w14:textId="012B0048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23 851,1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A95" w14:textId="69B689D8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23 851,1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C10" w14:textId="1AD30C72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23 851,1</w:t>
            </w:r>
          </w:p>
        </w:tc>
      </w:tr>
      <w:tr w:rsidR="00421ABB" w:rsidRPr="00421ABB" w14:paraId="1A087AFD" w14:textId="77777777" w:rsidTr="001B6F31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8317A" w14:textId="5262F17C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>Налоги на совокупный доход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0E2E" w14:textId="77777777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D406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D7CD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A36B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8CF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746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324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C416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8D3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8F68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70EF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46BB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5FD4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76E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ABB" w:rsidRPr="00421ABB" w14:paraId="644F4B07" w14:textId="77777777" w:rsidTr="001B6F31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40F5" w14:textId="50FE36B1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E706" w14:textId="77777777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99DD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6E1A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BD6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BC44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95B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FAED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241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60B3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B21B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920D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A0D7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0B5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055" w14:textId="77777777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1ABB" w:rsidRPr="00421ABB" w14:paraId="00CED6AE" w14:textId="77777777" w:rsidTr="00D452CD">
        <w:trPr>
          <w:gridAfter w:val="13"/>
          <w:wAfter w:w="13804" w:type="dxa"/>
          <w:cantSplit/>
          <w:trHeight w:val="156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9DD2F" w14:textId="1A0E87D6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color w:val="000000"/>
                <w:sz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0C4" w14:textId="3A7DE02E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sz w:val="22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B0DFC" w14:textId="0A0E15F9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799 334,5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47421" w14:textId="596DB7BD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1 170 735,5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8124C" w14:textId="612EB609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1 313 972,7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02AE33" w14:textId="580A5215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1 366 531,6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1A409" w14:textId="1EFBCF2A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1 366 531,6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EA804" w14:textId="3D474870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1 421 192,9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606484" w14:textId="72B2C3C8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1 421 192,9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FCE53B" w14:textId="4F0DBA5B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1 478 040,6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2FB00" w14:textId="5CB301B5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1 478 040,6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3FE6C" w14:textId="5A5575FD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1 537 162,2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463C0" w14:textId="1B9C40B5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1 537 162,2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3B9E2" w14:textId="546B1268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1 598 648,7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BED3C4" w14:textId="2AADF188" w:rsidR="00421ABB" w:rsidRPr="00D452CD" w:rsidRDefault="00421ABB" w:rsidP="00D452CD">
            <w:pPr>
              <w:keepNext/>
              <w:keepLines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1 598 648,7</w:t>
            </w:r>
          </w:p>
        </w:tc>
      </w:tr>
      <w:tr w:rsidR="00421ABB" w:rsidRPr="00421ABB" w14:paraId="5B91EBDC" w14:textId="77777777" w:rsidTr="001B6F31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3A708" w14:textId="08124512" w:rsidR="00421ABB" w:rsidRPr="00421ABB" w:rsidRDefault="00421ABB" w:rsidP="0016161F">
            <w:pPr>
              <w:keepNext/>
              <w:keepLines/>
              <w:spacing w:after="0" w:line="240" w:lineRule="auto"/>
              <w:rPr>
                <w:color w:val="000000"/>
                <w:sz w:val="22"/>
              </w:rPr>
            </w:pPr>
            <w:r w:rsidRPr="00421ABB">
              <w:rPr>
                <w:sz w:val="22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421ABB">
              <w:rPr>
                <w:sz w:val="22"/>
              </w:rPr>
              <w:lastRenderedPageBreak/>
              <w:t>исключением доходов, в отношении которых исчисление и уплата налога осуществляются в соответствии со ст. 227, 227.1 и 228 НК 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C22" w14:textId="3FF07777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sz w:val="22"/>
              </w:rPr>
              <w:lastRenderedPageBreak/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7601B" w14:textId="0723E55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5 911 400,7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1EB7CA" w14:textId="07226E5D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4 968 620,2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7D7AE7" w14:textId="4EF08FE5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5 576 995,5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0C471" w14:textId="7DCD212D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5 808 915,3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CD254" w14:textId="417EA52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5 808 915,3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DD1F6" w14:textId="32926890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5 973 672,0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C7DFD" w14:textId="35C23A4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5 973 672,0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AA58E2" w14:textId="774260B9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6 212 618,8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0A73F" w14:textId="48859C7B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6 212 618,8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D1139" w14:textId="48D0FD84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6 461 123,5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AA2C8" w14:textId="149A7AD6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6 461 123,5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539BDC" w14:textId="05671AF8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6 719 568,4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8F3285" w14:textId="5F824A8C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6 719 568,4</w:t>
            </w:r>
          </w:p>
        </w:tc>
      </w:tr>
      <w:tr w:rsidR="00421ABB" w:rsidRPr="00421ABB" w14:paraId="12A964FE" w14:textId="77777777" w:rsidTr="00D452CD">
        <w:trPr>
          <w:gridAfter w:val="13"/>
          <w:wAfter w:w="13804" w:type="dxa"/>
          <w:trHeight w:val="2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357AC" w14:textId="07941ECC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color w:val="000000"/>
                <w:sz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25E" w14:textId="586E2644" w:rsidR="00421ABB" w:rsidRPr="00421ABB" w:rsidRDefault="00421ABB" w:rsidP="0016161F">
            <w:pPr>
              <w:keepNext/>
              <w:keepLines/>
              <w:spacing w:after="0" w:line="240" w:lineRule="auto"/>
              <w:rPr>
                <w:sz w:val="22"/>
              </w:rPr>
            </w:pPr>
            <w:r w:rsidRPr="00421ABB">
              <w:rPr>
                <w:sz w:val="22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4AC" w14:textId="14BED459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28 649,0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49C4" w14:textId="77E52568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26 529,9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AF47" w14:textId="2CD90723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20 636,2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3725" w14:textId="1CF3830A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20 842,6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621" w14:textId="44F6C863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sz w:val="20"/>
                <w:szCs w:val="20"/>
              </w:rPr>
              <w:t>20 842,6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B1BD" w14:textId="4A7248D1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21 051,0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90E1" w14:textId="1D606560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CD2" w14:textId="161DD97C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8044" w14:textId="122D3A13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A5D" w14:textId="6C199E13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21 474,1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7B53" w14:textId="2DD2416E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21 474,1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B50" w14:textId="7624DC9E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5EF" w14:textId="7F309A6C" w:rsidR="00421ABB" w:rsidRPr="00D452CD" w:rsidRDefault="00421ABB" w:rsidP="0016161F">
            <w:pPr>
              <w:keepNext/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D">
              <w:rPr>
                <w:color w:val="000000"/>
                <w:sz w:val="20"/>
                <w:szCs w:val="20"/>
              </w:rPr>
              <w:t>21 688,8</w:t>
            </w:r>
          </w:p>
        </w:tc>
      </w:tr>
    </w:tbl>
    <w:p w14:paraId="6996F75C" w14:textId="77777777" w:rsidR="006D16A3" w:rsidRDefault="006D16A3">
      <w:pPr>
        <w:sectPr w:rsidR="006D16A3" w:rsidSect="00F7757C">
          <w:pgSz w:w="16838" w:h="11906" w:orient="landscape"/>
          <w:pgMar w:top="1701" w:right="1134" w:bottom="567" w:left="1134" w:header="709" w:footer="709" w:gutter="0"/>
          <w:pgNumType w:start="1"/>
          <w:cols w:space="708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6D16A3" w14:paraId="5DB5D7CF" w14:textId="77777777">
        <w:trPr>
          <w:trHeight w:val="724"/>
        </w:trPr>
        <w:tc>
          <w:tcPr>
            <w:tcW w:w="7479" w:type="dxa"/>
            <w:shd w:val="clear" w:color="auto" w:fill="auto"/>
          </w:tcPr>
          <w:p w14:paraId="5F9C83B9" w14:textId="77777777" w:rsidR="006D16A3" w:rsidRDefault="006D16A3">
            <w:pPr>
              <w:widowControl w:val="0"/>
              <w:rPr>
                <w:rFonts w:ascii="Calibri" w:hAnsi="Calibr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276415A" w14:textId="77777777" w:rsidR="006D16A3" w:rsidRDefault="00DF1B2C">
            <w:pPr>
              <w:widowControl w:val="0"/>
              <w:jc w:val="center"/>
              <w:rPr>
                <w:rFonts w:ascii="Calibri" w:hAnsi="Calibri"/>
                <w:szCs w:val="28"/>
              </w:rPr>
            </w:pPr>
            <w:r>
              <w:rPr>
                <w:szCs w:val="28"/>
              </w:rPr>
              <w:t xml:space="preserve">Приложение № 1 </w:t>
            </w:r>
            <w:r>
              <w:rPr>
                <w:szCs w:val="28"/>
              </w:rPr>
              <w:br/>
              <w:t>к прогнозу</w:t>
            </w:r>
          </w:p>
        </w:tc>
      </w:tr>
    </w:tbl>
    <w:p w14:paraId="3CEEDCE5" w14:textId="77777777" w:rsidR="006D16A3" w:rsidRDefault="00DF1B2C">
      <w:pPr>
        <w:tabs>
          <w:tab w:val="left" w:pos="6900"/>
        </w:tabs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Пояснительная записка к прогнозу социально-экономического развития </w:t>
      </w:r>
    </w:p>
    <w:p w14:paraId="329D1A41" w14:textId="77777777" w:rsidR="006D16A3" w:rsidRDefault="00DF1B2C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муниципального образования город Мурманск </w:t>
      </w:r>
    </w:p>
    <w:p w14:paraId="5004FA04" w14:textId="77777777" w:rsidR="006D16A3" w:rsidRDefault="00DF1B2C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на среднесрочный период 2024-2028 годов</w:t>
      </w:r>
    </w:p>
    <w:p w14:paraId="69F85374" w14:textId="77777777" w:rsidR="006D16A3" w:rsidRDefault="006D16A3">
      <w:pPr>
        <w:keepNext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76A66779" w14:textId="77777777" w:rsidR="006D16A3" w:rsidRPr="003B2ABF" w:rsidRDefault="00DF1B2C">
      <w:pPr>
        <w:keepNext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Прогноз социально-экономического развития муниципального образования город Мурманск сформирован с учетом следующих основных документов на 2024 год и на плановый период до 2028 года:</w:t>
      </w:r>
    </w:p>
    <w:p w14:paraId="68DC8118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 Послания Президента Российской Федерации Федеральному Собранию Российской Федерации от 21.02.2023;</w:t>
      </w:r>
    </w:p>
    <w:p w14:paraId="438ACE69" w14:textId="19031F15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– Указа Президента Российской Федерации от 21.07.2020 № 474 </w:t>
      </w:r>
      <w:r w:rsidRPr="003B2ABF">
        <w:rPr>
          <w:rFonts w:eastAsia="Times New Roman"/>
          <w:szCs w:val="28"/>
          <w:lang w:eastAsia="ru-RU"/>
        </w:rPr>
        <w:br/>
        <w:t>«О национальных целях развития Российской Федерации на период до 2030 года»</w:t>
      </w:r>
      <w:r w:rsidR="00A87FBB">
        <w:rPr>
          <w:rFonts w:eastAsia="Times New Roman"/>
          <w:szCs w:val="28"/>
          <w:lang w:eastAsia="ru-RU"/>
        </w:rPr>
        <w:t xml:space="preserve"> (далее – Указ Президента РФ от 21.07.2020 № 474)</w:t>
      </w:r>
      <w:r w:rsidRPr="003B2ABF">
        <w:rPr>
          <w:rFonts w:eastAsia="Times New Roman"/>
          <w:szCs w:val="28"/>
          <w:lang w:eastAsia="ru-RU"/>
        </w:rPr>
        <w:t>;</w:t>
      </w:r>
    </w:p>
    <w:p w14:paraId="3F1D68B0" w14:textId="77777777" w:rsidR="006D16A3" w:rsidRPr="003B2ABF" w:rsidRDefault="00DF1B2C">
      <w:pPr>
        <w:keepNext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 прогноза социально-экономического развития Российской Федерации на период до 2036 года;</w:t>
      </w:r>
    </w:p>
    <w:p w14:paraId="6645F9E8" w14:textId="37155929" w:rsidR="006D16A3" w:rsidRPr="003B2ABF" w:rsidRDefault="00DF1B2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3B2ABF">
        <w:rPr>
          <w:rFonts w:eastAsia="Times New Roman"/>
          <w:szCs w:val="20"/>
          <w:lang w:eastAsia="ru-RU"/>
        </w:rPr>
        <w:tab/>
      </w:r>
      <w:r w:rsidRPr="003B2ABF">
        <w:rPr>
          <w:rFonts w:eastAsia="Times New Roman"/>
          <w:szCs w:val="28"/>
          <w:lang w:eastAsia="ru-RU"/>
        </w:rPr>
        <w:t>–</w:t>
      </w:r>
      <w:r w:rsidRPr="003B2ABF">
        <w:rPr>
          <w:rFonts w:eastAsia="Times New Roman"/>
          <w:szCs w:val="20"/>
          <w:lang w:eastAsia="ru-RU"/>
        </w:rPr>
        <w:t xml:space="preserve"> основны</w:t>
      </w:r>
      <w:r w:rsidR="005457EC">
        <w:rPr>
          <w:rFonts w:eastAsia="Times New Roman"/>
          <w:szCs w:val="20"/>
          <w:lang w:eastAsia="ru-RU"/>
        </w:rPr>
        <w:t>х</w:t>
      </w:r>
      <w:r w:rsidRPr="003B2ABF">
        <w:rPr>
          <w:rFonts w:eastAsia="Times New Roman"/>
          <w:szCs w:val="20"/>
          <w:lang w:eastAsia="ru-RU"/>
        </w:rPr>
        <w:t xml:space="preserve"> параметр</w:t>
      </w:r>
      <w:r w:rsidR="005457EC">
        <w:rPr>
          <w:rFonts w:eastAsia="Times New Roman"/>
          <w:szCs w:val="20"/>
          <w:lang w:eastAsia="ru-RU"/>
        </w:rPr>
        <w:t>ов</w:t>
      </w:r>
      <w:r w:rsidRPr="003B2ABF">
        <w:rPr>
          <w:rFonts w:eastAsia="Times New Roman"/>
          <w:szCs w:val="20"/>
          <w:lang w:eastAsia="ru-RU"/>
        </w:rPr>
        <w:t xml:space="preserve"> сценарных условий прогноза социально-экономического развития Российской Федерации на 2024 год и на плановый период 2025 и 2026 годов;</w:t>
      </w:r>
    </w:p>
    <w:p w14:paraId="25912E8C" w14:textId="2F0265B9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</w:t>
      </w:r>
      <w:r w:rsidR="00EF000D">
        <w:rPr>
          <w:rFonts w:eastAsia="Times New Roman"/>
          <w:szCs w:val="28"/>
          <w:lang w:eastAsia="ru-RU"/>
        </w:rPr>
        <w:t xml:space="preserve"> </w:t>
      </w:r>
      <w:r w:rsidRPr="003B2ABF">
        <w:rPr>
          <w:rFonts w:eastAsia="Times New Roman"/>
          <w:szCs w:val="28"/>
          <w:lang w:eastAsia="ru-RU"/>
        </w:rPr>
        <w:t>предварительного прогноза социально-экономического развития Мурманской области на 2024 год и на плановый период 2025 и 2026 годов;</w:t>
      </w:r>
    </w:p>
    <w:p w14:paraId="4DB36E9A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 прогноза социально-экономического развития Мурманской области на период до 2035 года;</w:t>
      </w:r>
    </w:p>
    <w:p w14:paraId="77A6D731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- плана мероприятий по приоритетным направлениям развития Мурманской области до 2024 года и на период до 2030 года «На Севере – жить!»;</w:t>
      </w:r>
    </w:p>
    <w:p w14:paraId="569A7D6B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 муниципальных программ города Мурманска и государственных программ Мурманской области, реализуемых на территории муниципалитета;</w:t>
      </w:r>
    </w:p>
    <w:p w14:paraId="7FCA4D35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– сведений исполнительных органов государственной власти Мурманской области, территориальных подразделений иных органов власти; </w:t>
      </w:r>
    </w:p>
    <w:p w14:paraId="0F00D435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 информации предприятий, в том числе об инвестиционных проектах, планах развития;</w:t>
      </w:r>
    </w:p>
    <w:p w14:paraId="2DD9A2BD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 статистической информации, предоставляемой Мурманскстатом.</w:t>
      </w:r>
    </w:p>
    <w:p w14:paraId="1144E9F4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Прогноз является ориентиром социально-экономического развития города Мурманска при принятии управленческих решений.</w:t>
      </w:r>
    </w:p>
    <w:p w14:paraId="1BCFFF73" w14:textId="77777777" w:rsidR="006D16A3" w:rsidRPr="003B2ABF" w:rsidRDefault="00DF1B2C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Прогноз составлен в двух вариантах:</w:t>
      </w:r>
    </w:p>
    <w:p w14:paraId="15878F09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– первый вариант (консервативный) </w:t>
      </w:r>
      <w:r w:rsidRPr="003B2ABF">
        <w:rPr>
          <w:color w:val="000000"/>
          <w:szCs w:val="28"/>
          <w:shd w:val="clear" w:color="auto" w:fill="FFFFFF"/>
        </w:rPr>
        <w:t>предполагает усиление влияния санкционного режима и более медленное восстановление экономики города;</w:t>
      </w:r>
    </w:p>
    <w:p w14:paraId="0C86FED9" w14:textId="77777777" w:rsidR="006D16A3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– второй вариант (базовый) предусматривает умеренные траектории развития экономики с учетом относительно оптимистических изменений внешних условий, дальнейшей адаптации экономики в текущей геополитической обстановки.</w:t>
      </w:r>
    </w:p>
    <w:p w14:paraId="54197433" w14:textId="77777777" w:rsidR="00EF000D" w:rsidRDefault="00EF000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E6E1104" w14:textId="77777777" w:rsidR="00D452CD" w:rsidRPr="003B2ABF" w:rsidRDefault="00D452C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90A074F" w14:textId="5C3FB12B" w:rsidR="006D16A3" w:rsidRDefault="00DF1B2C" w:rsidP="00EF000D">
      <w:pP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lastRenderedPageBreak/>
        <w:t>Демографические показатели</w:t>
      </w:r>
    </w:p>
    <w:p w14:paraId="59BE6EE2" w14:textId="77777777" w:rsidR="00EF000D" w:rsidRPr="003B2ABF" w:rsidRDefault="00EF000D" w:rsidP="00EF000D">
      <w:pP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14:paraId="30C730F9" w14:textId="0AC1D088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Динамика показателей естественного движения населения города Мурманска в 2022 году по отношению к 2021 году характеризуется сокращением числа родившихся (на 6,9%) при сокращении числа умерших</w:t>
      </w:r>
      <w:r w:rsidR="00CF2532">
        <w:rPr>
          <w:rFonts w:eastAsia="Times New Roman"/>
          <w:szCs w:val="28"/>
          <w:lang w:eastAsia="ru-RU"/>
        </w:rPr>
        <w:t xml:space="preserve"> </w:t>
      </w:r>
      <w:r w:rsidR="00CF2532" w:rsidRPr="003B2ABF">
        <w:rPr>
          <w:rFonts w:eastAsia="Times New Roman"/>
          <w:szCs w:val="28"/>
          <w:lang w:eastAsia="ru-RU"/>
        </w:rPr>
        <w:t>(на 26,1%)</w:t>
      </w:r>
      <w:r w:rsidRPr="003B2ABF">
        <w:rPr>
          <w:rFonts w:eastAsia="Times New Roman"/>
          <w:szCs w:val="28"/>
          <w:lang w:eastAsia="ru-RU"/>
        </w:rPr>
        <w:t>. При этом показатель естественного прироста населения в 2022 году, как и в 2021 году, принял отрицательное значение, что позволяет констатировать преобладание негативных тенденций развития демографической ситуации в городе Мурманске.</w:t>
      </w:r>
    </w:p>
    <w:p w14:paraId="64AEA10A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2022 году родился 2116 ребенок, что на 157 детей меньше, чем </w:t>
      </w:r>
      <w:r w:rsidRPr="003B2ABF">
        <w:rPr>
          <w:rFonts w:eastAsia="Times New Roman"/>
          <w:szCs w:val="28"/>
          <w:lang w:eastAsia="ru-RU"/>
        </w:rPr>
        <w:br/>
        <w:t xml:space="preserve">в 2021 году. На фоне сокращения среднегодовой численности населения города Мурманска коэффициент рождаемости в городе также снизился - с 8,09 человек на 1000 населения в 2021 году до 7,88 человек на 1000 населения в 2022 году. </w:t>
      </w:r>
      <w:r w:rsidRPr="003B2ABF">
        <w:rPr>
          <w:rFonts w:eastAsia="Times New Roman"/>
          <w:szCs w:val="28"/>
          <w:lang w:eastAsia="ru-RU"/>
        </w:rPr>
        <w:br/>
        <w:t xml:space="preserve">В 2023 году уровень рождаемости по оценке составит 7,86 человек </w:t>
      </w:r>
      <w:r w:rsidRPr="003B2ABF">
        <w:rPr>
          <w:rFonts w:eastAsia="Times New Roman"/>
          <w:szCs w:val="28"/>
          <w:lang w:eastAsia="ru-RU"/>
        </w:rPr>
        <w:br/>
        <w:t>на 1000 населения.</w:t>
      </w:r>
    </w:p>
    <w:p w14:paraId="1A64DBA5" w14:textId="764E98A2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прогнозном периоде ожидается замедление темпа сокращения числа родившихся, что обусловлено мерами, принимаемыми в целях улучшения демографической обстановки, в том числе в рамках мероприятий муниципальных программ города Мурманска, направленных на реализацию на территории города национальных проектов Российской Федерации, утвержденных </w:t>
      </w:r>
      <w:r w:rsidR="00A87FBB">
        <w:rPr>
          <w:rFonts w:eastAsia="Times New Roman"/>
          <w:szCs w:val="28"/>
          <w:lang w:eastAsia="ru-RU"/>
        </w:rPr>
        <w:t>Указом Президента РФ от 21.07.2020 № 474</w:t>
      </w:r>
      <w:r w:rsidRPr="003B2ABF">
        <w:rPr>
          <w:rFonts w:eastAsia="Times New Roman"/>
          <w:szCs w:val="28"/>
          <w:lang w:eastAsia="ru-RU"/>
        </w:rPr>
        <w:t>.</w:t>
      </w:r>
    </w:p>
    <w:p w14:paraId="2A4B08B5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наибольшей степени на увеличение рождаемости ориентирована реализация на территории муниципального образования город Мурманск двух национальных проектов:</w:t>
      </w:r>
    </w:p>
    <w:p w14:paraId="1B99D156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1. Региональный проект «Жилье» в рамках национального проекта «Жилье и городская среда», который предусматривает обеспечение объектами коммунальной инфраструктуры земельных участках, предоставляемых на безвозмездной основе многодетным семьям под индивидуальное жилищное строительство. В целях реализации регионального проекта в период 2020-2021 годов заключено и исполнено два договора на технологическое присоединение земельных участков к сетям электроснабжения и два договора на технологическое присоединение к сетям водоснабжения. Кроме того, заключено два договора на присоединение земельных участков к сетям водоснабжения (в 2020 и 2022 годах). Срок завершения работ по договорам – </w:t>
      </w:r>
      <w:r w:rsidRPr="003B2ABF">
        <w:rPr>
          <w:rFonts w:eastAsia="Times New Roman"/>
          <w:szCs w:val="28"/>
          <w:lang w:eastAsia="ru-RU"/>
        </w:rPr>
        <w:br/>
        <w:t>II полугодие 2023 года и I квартал 2024 года.</w:t>
      </w:r>
    </w:p>
    <w:p w14:paraId="770091F4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2. Региональный проект «Современная школа» в рамках национального проекта «Образование», который предусматривает мероприятия по строительству двух школ, отвечающих наиболее современным образовательным стандартам: на 500 мест по улице Советской и на 800 мест по переулку Казарменному. Указанные школы планируются к вводу в эксплуатацию в 2024 году, что позволит в среднесрочной перспективе обеспечить высокую конкурентоспособность системы общего образования города Мурманска.</w:t>
      </w:r>
    </w:p>
    <w:p w14:paraId="6BEC22F1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Кроме того, положительное влияние на демографическую ситуацию в городе Мурманске оказывают результаты реализации мероприятий </w:t>
      </w:r>
      <w:r w:rsidRPr="003B2ABF">
        <w:rPr>
          <w:rFonts w:eastAsia="Times New Roman"/>
          <w:szCs w:val="28"/>
          <w:lang w:eastAsia="ru-RU"/>
        </w:rPr>
        <w:lastRenderedPageBreak/>
        <w:t>регионального проекта «Содействие занятости женщин - создание условий дошкольного образования для детей в возрасте до трех лет» (национальный проект «Демография»), в рамках которого в 2022 году введены в эксплуатацию два современных учреждения дошкольного образования: детский сад на 196 мест в районе домов 31 и 32 по улице Достоевского (открытие состоялось 01.09.2022) и детский сад на 80 мест в районе дома 44 по улице Капитана Орликовой (открытие состоялось 09.01.2023).</w:t>
      </w:r>
    </w:p>
    <w:p w14:paraId="5D056791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среднесрочной перспективе ожидается положительное влияние </w:t>
      </w:r>
      <w:r w:rsidRPr="003B2ABF">
        <w:rPr>
          <w:rFonts w:eastAsia="Times New Roman"/>
          <w:szCs w:val="28"/>
          <w:lang w:eastAsia="ru-RU"/>
        </w:rPr>
        <w:br/>
        <w:t xml:space="preserve">на уровень рождаемости реализации комплекса мер, принимаемых </w:t>
      </w:r>
      <w:r w:rsidRPr="003B2ABF">
        <w:rPr>
          <w:rFonts w:eastAsia="Times New Roman"/>
          <w:szCs w:val="28"/>
          <w:lang w:eastAsia="ru-RU"/>
        </w:rPr>
        <w:br/>
        <w:t>на региональном (адресные выплаты, льготная ипотека и т.д.) и федеральном уровнях (реализация и совершенствование программы материнского (семейного) капитала).</w:t>
      </w:r>
    </w:p>
    <w:p w14:paraId="336314CC" w14:textId="3DF0D26F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Кроме того, повышению уровня рождаемости во многом способствует повышение качества родовспоможения и медицинской помощи, оказываемой женщинам во время беременности и родов (в частности</w:t>
      </w:r>
      <w:r w:rsidR="00A11A24">
        <w:rPr>
          <w:rFonts w:eastAsia="Times New Roman"/>
          <w:szCs w:val="28"/>
          <w:lang w:eastAsia="ru-RU"/>
        </w:rPr>
        <w:t>,</w:t>
      </w:r>
      <w:r w:rsidRPr="003B2ABF">
        <w:rPr>
          <w:rFonts w:eastAsia="Times New Roman"/>
          <w:szCs w:val="28"/>
          <w:lang w:eastAsia="ru-RU"/>
        </w:rPr>
        <w:t xml:space="preserve"> за счет реализации программы «Родовой сертификат»).</w:t>
      </w:r>
    </w:p>
    <w:p w14:paraId="7B2197E5" w14:textId="500025A1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рамках муниципальных программ города Мурманска</w:t>
      </w:r>
      <w:r w:rsidR="00A87FBB">
        <w:rPr>
          <w:rFonts w:eastAsia="Times New Roman"/>
          <w:szCs w:val="28"/>
          <w:lang w:eastAsia="ru-RU"/>
        </w:rPr>
        <w:t>,</w:t>
      </w:r>
      <w:r w:rsidRPr="003B2ABF">
        <w:rPr>
          <w:rFonts w:eastAsia="Times New Roman"/>
          <w:szCs w:val="28"/>
          <w:lang w:eastAsia="ru-RU"/>
        </w:rPr>
        <w:t xml:space="preserve"> в целях поддержки уровня рождаемости</w:t>
      </w:r>
      <w:r w:rsidR="00A87FBB">
        <w:rPr>
          <w:rFonts w:eastAsia="Times New Roman"/>
          <w:szCs w:val="28"/>
          <w:lang w:eastAsia="ru-RU"/>
        </w:rPr>
        <w:t>,</w:t>
      </w:r>
      <w:r w:rsidRPr="003B2ABF">
        <w:rPr>
          <w:rFonts w:eastAsia="Times New Roman"/>
          <w:szCs w:val="28"/>
          <w:lang w:eastAsia="ru-RU"/>
        </w:rPr>
        <w:t xml:space="preserve"> реализуются мероприятия по предоставлению молодым и многодетным семьям социальных выплат на приобретение жилья (муниципальные программы города Мурманска «Управление имуществом и жилищная политика» на 2018-2024 годы, «Жилищная политика» </w:t>
      </w:r>
      <w:r w:rsidRPr="003B2ABF">
        <w:rPr>
          <w:rFonts w:eastAsia="Times New Roman"/>
          <w:szCs w:val="28"/>
          <w:lang w:eastAsia="ru-RU"/>
        </w:rPr>
        <w:br/>
        <w:t xml:space="preserve">на 2023-2028 годы). В 2022 году молодым и многодетным семьям выдано 157 Свидетельств о праве на получение социальной выплаты на приобретение (строительство) жилья на общую сумму 142 782,5 тыс. рублей. С использованием социальной выплаты улучшили свои жилищные условия 145 семей. Также 23 семьям в 2022 году предоставлены дополнительные социальные выплаты в связи с рождением (усыновлением) ребенка, 45 семьям предоставлена единовременная денежная выплата на улучшение жилищных условий. В период 2023-2028 годов планируется улучшение жилищных условий 701 семьи путем выдачи Свидетельств о праве на получение социальной выплаты на приобретение (строительство) жилья, 960 семей – путем предоставления единовременной денежной выплаты. Дополнительно предусмотрено предоставление 138 семьям дополнительной социальной выплаты в связи с рождением (усыновлением) ребенка. Указанный комплекс мер зарекомендовал себя в качестве одного из наиболее эффективных средств стимулирования рождаемости, в связи с чем дальнейшая его реализация позволяет ожидать снижения темпов сокращения уровня рождаемости в среднесрочной перспективе. Вместе с тем, положительные эффекты применения указанных выше мер поддержки рождаемости будет несколько сдерживаться миграционным оттоком населения и сокращением доли населения репродуктивного возраста. </w:t>
      </w:r>
    </w:p>
    <w:p w14:paraId="52CD1876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связи с вышеизложенным в 2028 году общий коэффициент рождаемости предположительно составит 7,18 человек на 1000 населения.</w:t>
      </w:r>
    </w:p>
    <w:p w14:paraId="213052D7" w14:textId="16DE9D8D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Коэффициент смертности в 2022 году составил 13,39 человек на 1000 населения. В 2022 год умерло 3 597 человек, что значительно ниже уровня </w:t>
      </w:r>
      <w:r w:rsidRPr="003B2ABF">
        <w:rPr>
          <w:rFonts w:eastAsia="Times New Roman"/>
          <w:szCs w:val="28"/>
          <w:lang w:eastAsia="ru-RU"/>
        </w:rPr>
        <w:lastRenderedPageBreak/>
        <w:t>предыдущего года (на 26,1%). Значительное сокращение смертности в больш</w:t>
      </w:r>
      <w:r w:rsidR="00A87FBB">
        <w:rPr>
          <w:rFonts w:eastAsia="Times New Roman"/>
          <w:szCs w:val="28"/>
          <w:lang w:eastAsia="ru-RU"/>
        </w:rPr>
        <w:t>е</w:t>
      </w:r>
      <w:r w:rsidRPr="003B2ABF">
        <w:rPr>
          <w:rFonts w:eastAsia="Times New Roman"/>
          <w:szCs w:val="28"/>
          <w:lang w:eastAsia="ru-RU"/>
        </w:rPr>
        <w:t xml:space="preserve">й степени обусловлено завершением пандемии коронавирусной инфекции </w:t>
      </w:r>
      <w:r w:rsidRPr="003B2ABF">
        <w:rPr>
          <w:rFonts w:eastAsia="Times New Roman"/>
          <w:szCs w:val="28"/>
          <w:lang w:eastAsia="ru-RU"/>
        </w:rPr>
        <w:br/>
        <w:t xml:space="preserve">2020-2021 годов. </w:t>
      </w:r>
    </w:p>
    <w:p w14:paraId="55E6D221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Благодаря стабилизации эпидемиологической обстановки, повышению качества медицинской помощи, а также сокращения доли населения старше трудоспособного возраста ожидается, что в среднесрочной перспективе уровень смертности продолжит снижение. В текущем году коэффициент смертности предположительно составит 12,84 человек на 1000 населения, в 2028 – 11,99 человек на 1000 населения.</w:t>
      </w:r>
    </w:p>
    <w:p w14:paraId="13181588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результате описанных выше тенденций уровень естественной убыли населения предположительно сократится с 5,51 человек на 1000 населения в 2022 году до 4,98 человек на 1000 населения в 2022 году. В 2028 году данный показатель предположительно составит 4,81 человек на 1000 населения.</w:t>
      </w:r>
    </w:p>
    <w:p w14:paraId="1DFEB835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Главным фактором сокращения численности мурманчан по-прежнему остается миграционный отток населения. Вместе с тем, миграционный отток в количественном выражении демонстрирует устойчивую тенденцию к сокращению. В 2022 году миграционная убыль населения сократилась на 381 человека и составила 810 человек или 68% к уровню 2021 года.</w:t>
      </w:r>
    </w:p>
    <w:p w14:paraId="4FED8CC3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Анализ механического движения населения демонстрирует незначительное увеличение числа выбывших при опережающем увеличении числа прибывших. Возрастает доля прибывших трудоспособного возраста, которая составила 70,5% от общего числа прибывших в 2021 году, 70,8% - в 2022 году и с учетом итогов первого полугодия текущего года предположительно увеличится до 78,9% в 2023 году.</w:t>
      </w:r>
    </w:p>
    <w:p w14:paraId="673E07ED" w14:textId="7AB36B74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Основной источник роста числа прибывших - увеличивающаяся потребность в трудовых ресурсах для реализации крупных инвестиционных проектов в рамках развития города Мурманска в качестве важного транспортного узла и одного из центров развития Арктической зоны РФ (в том числе в составе территории опережающего развития «Столица Арктики»). </w:t>
      </w:r>
    </w:p>
    <w:p w14:paraId="51C30F4D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Кроме того, увеличение числа прибывших является важным результатом реализации мер, направленных на повышение уровня жизни населения в рамках муниципальных программ города Мурманска, направленных на повышение комфорта городской среды, развитие системы образования, поддержку малого и среднего предпринимательства и т.д., а также региональных проектов, направленных на достижение целей национальных проектов Российской Федерации, и позволяет ожидать сглаживания отрицательного тренда механического движения населения в среднесрочном периоде.</w:t>
      </w:r>
    </w:p>
    <w:p w14:paraId="432ECEA5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2022 году был отмечен рост как числа прибывших – на 875 человек или 9,8% к 2021 году до 9 803 человек, так и числа выбывших – на 494 человека или на 4,9% к 2021 году до 10 613 человек. </w:t>
      </w:r>
    </w:p>
    <w:p w14:paraId="75BA6954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текущем году ожидается уменьшение темпов миграционного оттока населения с 3,02 человек на 1000 населения в 2022 году до 2,56 человек на 1000 населения в 2023 году.</w:t>
      </w:r>
    </w:p>
    <w:p w14:paraId="0B67B01C" w14:textId="0DDD68BB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По итогам проведения Всероссийской переписи населения среднегодовая численность населения города Мурманска составила в 2022 году </w:t>
      </w:r>
      <w:r w:rsidR="008D3ED5" w:rsidRPr="003B2ABF">
        <w:rPr>
          <w:rFonts w:eastAsia="Times New Roman"/>
          <w:szCs w:val="28"/>
          <w:lang w:eastAsia="ru-RU"/>
        </w:rPr>
        <w:t>268,57</w:t>
      </w:r>
      <w:r w:rsidRPr="003B2ABF">
        <w:rPr>
          <w:rFonts w:eastAsia="Times New Roman"/>
          <w:szCs w:val="28"/>
          <w:lang w:eastAsia="ru-RU"/>
        </w:rPr>
        <w:t xml:space="preserve"> тыс. </w:t>
      </w:r>
      <w:r w:rsidRPr="003B2ABF">
        <w:rPr>
          <w:rFonts w:eastAsia="Times New Roman"/>
          <w:szCs w:val="28"/>
          <w:lang w:eastAsia="ru-RU"/>
        </w:rPr>
        <w:lastRenderedPageBreak/>
        <w:t xml:space="preserve">человек. С учетом наблюдаемых в первом полугодии 2023 года уровней естественного и механического движения населения ожидаемая среднегодовая численность населения в 2023 году составит 266,42 тыс. человек. </w:t>
      </w:r>
    </w:p>
    <w:p w14:paraId="23DBC790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прогнозном периоде в результате описанных выше негативных тенденций ожидается дальнейшее сокращение численности населения города Мурманска. В 2028 году среднегодовая численность населения предположительно составит 256,35 тыс. человек.</w:t>
      </w:r>
    </w:p>
    <w:p w14:paraId="46E46B67" w14:textId="77777777" w:rsidR="006418EB" w:rsidRDefault="00DF1B2C" w:rsidP="006418E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7FBB">
        <w:rPr>
          <w:rFonts w:eastAsia="Times New Roman"/>
          <w:szCs w:val="28"/>
          <w:lang w:eastAsia="ru-RU"/>
        </w:rPr>
        <w:t xml:space="preserve">На улучшение демографической ситуации и развитие человеческого потенциала направлены муниципальные программы города Мурманска в сфере образования, социальной поддержки, градостроительной политики, культуры и т.д., в рамках которых обеспечивается поддержка молодых и многодетных семей, защита социально уязвимых категорий граждан, развитие семейных форм устройства детей и т.д. </w:t>
      </w:r>
    </w:p>
    <w:p w14:paraId="3046D9D1" w14:textId="0BD0088B" w:rsidR="006418EB" w:rsidRPr="00481087" w:rsidRDefault="006418EB" w:rsidP="006418E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81087">
        <w:rPr>
          <w:rFonts w:eastAsia="Times New Roman"/>
          <w:szCs w:val="28"/>
          <w:lang w:eastAsia="ru-RU"/>
        </w:rPr>
        <w:t>В результате проводимой работы уда</w:t>
      </w:r>
      <w:r>
        <w:rPr>
          <w:rFonts w:eastAsia="Times New Roman"/>
          <w:szCs w:val="28"/>
          <w:lang w:eastAsia="ru-RU"/>
        </w:rPr>
        <w:t>лось</w:t>
      </w:r>
      <w:r w:rsidRPr="00481087">
        <w:rPr>
          <w:rFonts w:eastAsia="Times New Roman"/>
          <w:szCs w:val="28"/>
          <w:lang w:eastAsia="ru-RU"/>
        </w:rPr>
        <w:t xml:space="preserve"> достичь значительного сокра</w:t>
      </w:r>
      <w:r>
        <w:rPr>
          <w:rFonts w:eastAsia="Times New Roman"/>
          <w:szCs w:val="28"/>
          <w:lang w:eastAsia="ru-RU"/>
        </w:rPr>
        <w:t>щения</w:t>
      </w:r>
      <w:r w:rsidRPr="00481087">
        <w:rPr>
          <w:rFonts w:eastAsia="Times New Roman"/>
          <w:szCs w:val="28"/>
          <w:lang w:eastAsia="ru-RU"/>
        </w:rPr>
        <w:t xml:space="preserve"> миграционного оттока населения за счет увеличения числа прибывших при снижении количества выбывших. Наблюдается устойчивая тенденция к повышению рождаемости.</w:t>
      </w:r>
    </w:p>
    <w:p w14:paraId="291F01F7" w14:textId="77777777" w:rsidR="006418EB" w:rsidRPr="003B2ABF" w:rsidRDefault="006418EB" w:rsidP="006418E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81087">
        <w:rPr>
          <w:rFonts w:eastAsia="Times New Roman"/>
          <w:szCs w:val="28"/>
          <w:lang w:eastAsia="ru-RU"/>
        </w:rPr>
        <w:t>С учетом уже достигнутых результатов и имеющихся планов стратегического развития города Мурманска ожидается, что к 20</w:t>
      </w:r>
      <w:r>
        <w:rPr>
          <w:rFonts w:eastAsia="Times New Roman"/>
          <w:szCs w:val="28"/>
          <w:lang w:eastAsia="ru-RU"/>
        </w:rPr>
        <w:t>3</w:t>
      </w:r>
      <w:r w:rsidRPr="00481087">
        <w:rPr>
          <w:rFonts w:eastAsia="Times New Roman"/>
          <w:szCs w:val="28"/>
          <w:lang w:eastAsia="ru-RU"/>
        </w:rPr>
        <w:t>5 году удастся переломить отрицательный демографический тренд и добиться стабильного увеличения среднегодовой численности населения города Мурманска.</w:t>
      </w:r>
    </w:p>
    <w:p w14:paraId="734F16C3" w14:textId="754EF719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Ключевым риском ухудшения демографической ситуации, учтенным в консервативном варианте прогноза</w:t>
      </w:r>
      <w:r w:rsidR="00A87FBB">
        <w:rPr>
          <w:rFonts w:eastAsia="Times New Roman"/>
          <w:szCs w:val="28"/>
          <w:lang w:eastAsia="ru-RU"/>
        </w:rPr>
        <w:t>,</w:t>
      </w:r>
      <w:r w:rsidRPr="003B2ABF">
        <w:rPr>
          <w:rFonts w:eastAsia="Times New Roman"/>
          <w:szCs w:val="28"/>
          <w:lang w:eastAsia="ru-RU"/>
        </w:rPr>
        <w:t xml:space="preserve"> может стать сокращение темпов экономического развития Мурманской области, привлекающего трудовые ресурсы для реализации инвестиционных проектов, а также увеличение доли населения старше трудоспособного возраста при сохранении показателя ожидаемой продолжительности жизни на неизменном уровне.</w:t>
      </w:r>
    </w:p>
    <w:p w14:paraId="3C2931B9" w14:textId="77777777" w:rsidR="006D16A3" w:rsidRPr="003B2ABF" w:rsidRDefault="006D16A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55BDA" w14:textId="77777777" w:rsidR="006D16A3" w:rsidRDefault="00DF1B2C">
      <w:pP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Производство товаров и услуг</w:t>
      </w:r>
    </w:p>
    <w:p w14:paraId="726B02B7" w14:textId="77777777" w:rsidR="00A11A24" w:rsidRPr="003B2ABF" w:rsidRDefault="00A11A24">
      <w:pP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32818546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Начало 2022 года характеризовалось положительной динамикой развития экономики. Однако, после введения странами Запада в феврале 2022 года первых ограничительных мер в отношении России, внешние условия для российской экономики стали ухудшаться. При этом, по мере наращивания санкционного давления, влияние на экономику становилось все более выраженным.</w:t>
      </w:r>
    </w:p>
    <w:p w14:paraId="2DE2A86C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связи с этим траектория развития города Мурманска в среднесрочной перспективе характеризуется повышенной степенью неопределенности, связанной в первую очередь со степенью влияния антироссийских санкций на экономику города и скоростью ее восстановления.</w:t>
      </w:r>
    </w:p>
    <w:p w14:paraId="6B63F07A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2022 году темп роста промышленного производства составил 70% к 2021 году. Индекс промышленного производства в сопоставимых ценах с учетом среднеобластных индексов-дефляторов по основным видам экономической деятельности составил 82,1% к 2021 году.</w:t>
      </w:r>
    </w:p>
    <w:p w14:paraId="740D6FD4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lastRenderedPageBreak/>
        <w:t xml:space="preserve">Объем отгруженных товаров собственного производства, выполненных работ и услуг собственными силами организаций по видам деятельности, относящимся к промышленному производству по крупным и средним предприятиям, в 2022 году составил </w:t>
      </w:r>
      <w:r w:rsidRPr="003B2ABF">
        <w:t>138,4</w:t>
      </w:r>
      <w:r w:rsidRPr="003B2ABF">
        <w:rPr>
          <w:rFonts w:eastAsia="Times New Roman"/>
          <w:bCs/>
          <w:szCs w:val="28"/>
          <w:lang w:eastAsia="ru-RU"/>
        </w:rPr>
        <w:t xml:space="preserve"> млрд. рублей</w:t>
      </w:r>
      <w:r w:rsidRPr="003B2ABF">
        <w:rPr>
          <w:rFonts w:eastAsia="Times New Roman"/>
          <w:szCs w:val="28"/>
          <w:lang w:eastAsia="ru-RU"/>
        </w:rPr>
        <w:t xml:space="preserve">. </w:t>
      </w:r>
    </w:p>
    <w:p w14:paraId="42880D6E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структуре отгруженной промышленной продукции </w:t>
      </w:r>
      <w:r w:rsidRPr="003B2ABF">
        <w:rPr>
          <w:rFonts w:eastAsia="Times New Roman"/>
          <w:bCs/>
          <w:szCs w:val="28"/>
          <w:lang w:eastAsia="ru-RU"/>
        </w:rPr>
        <w:t>на долю добычи полезных ископаемых приходилось 2,4%, обрабатывающих производств – 86,0%, обеспечения электрической энергией, газом и паром, кондиционирования воздуха – 8,1%, водоснабжения, водоотведения, организации сбора и утилизации отходов, деятельности по ликвидации загрязнений – 3,5%.</w:t>
      </w:r>
    </w:p>
    <w:p w14:paraId="787800B6" w14:textId="43E7BC23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Основную долю в структуре отгрузки обрабатывающей промышленности (69,3 млрд. рублей или 58,3%) занимает производство пищевых продуктов. Вместе с тем, объем производства пищевых продуктов показал значительно</w:t>
      </w:r>
      <w:r w:rsidR="00962ADA">
        <w:rPr>
          <w:rFonts w:eastAsia="Times New Roman"/>
          <w:bCs/>
          <w:szCs w:val="28"/>
          <w:lang w:eastAsia="ru-RU"/>
        </w:rPr>
        <w:t>е</w:t>
      </w:r>
      <w:r w:rsidRPr="003B2ABF">
        <w:rPr>
          <w:rFonts w:eastAsia="Times New Roman"/>
          <w:bCs/>
          <w:szCs w:val="28"/>
          <w:lang w:eastAsia="ru-RU"/>
        </w:rPr>
        <w:t xml:space="preserve"> снижение по сравнению с прошлым годом на фоне отрицательной динамики вылова водных биологических ресурсов. Основу пищевой промышленности занимает переработка и консервирование рыбы, ракообразных и моллюсков. К крупнейшим предприятиям рыбопромышленного комплекса города Мурманска можно отнести ПАО «Мурманский траловый флот», ЗАО «Арктиксервис», </w:t>
      </w:r>
      <w:r w:rsidRPr="003B2ABF">
        <w:rPr>
          <w:rFonts w:eastAsia="Times New Roman"/>
          <w:bCs/>
          <w:szCs w:val="28"/>
          <w:lang w:eastAsia="ru-RU"/>
        </w:rPr>
        <w:br/>
        <w:t xml:space="preserve">АО «Карат-1», ООО «Антей Север», ООО «СЗРК-Мурманск», АО «Таурус», </w:t>
      </w:r>
      <w:r w:rsidRPr="003B2ABF">
        <w:rPr>
          <w:rFonts w:eastAsia="Times New Roman"/>
          <w:bCs/>
          <w:szCs w:val="28"/>
          <w:lang w:eastAsia="ru-RU"/>
        </w:rPr>
        <w:br/>
        <w:t>АО «Рыбпроминвест», ООО Компания «Мурман СиФуд».</w:t>
      </w:r>
    </w:p>
    <w:p w14:paraId="2EC03876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Из обрабатывающих отраслей в 2022 году существенное снижение также отмечено в обработке древесины и производстве изделий из дерева и пробки, кроме мебели, производства изделий из соломки и материалов для плетения (18,7% к 2021 году), производстве текстильных изделий (47,5% к 2021 году), ремонте и монтаже машин и оборудования (59,7%).</w:t>
      </w:r>
    </w:p>
    <w:p w14:paraId="1F42C18A" w14:textId="0E54244A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Снижение производства в сфере </w:t>
      </w:r>
      <w:r w:rsidR="00B23459" w:rsidRPr="003B2ABF">
        <w:rPr>
          <w:rFonts w:eastAsia="Times New Roman"/>
          <w:bCs/>
          <w:szCs w:val="28"/>
          <w:lang w:eastAsia="ru-RU"/>
        </w:rPr>
        <w:t>«</w:t>
      </w:r>
      <w:r w:rsidRPr="003B2ABF">
        <w:rPr>
          <w:rFonts w:eastAsia="Times New Roman"/>
          <w:bCs/>
          <w:szCs w:val="28"/>
          <w:lang w:eastAsia="ru-RU"/>
        </w:rPr>
        <w:t>Ремонт и монтаж машин и оборудования</w:t>
      </w:r>
      <w:r w:rsidR="00B23459" w:rsidRPr="003B2ABF">
        <w:rPr>
          <w:rFonts w:eastAsia="Times New Roman"/>
          <w:bCs/>
          <w:szCs w:val="28"/>
          <w:lang w:eastAsia="ru-RU"/>
        </w:rPr>
        <w:t>»</w:t>
      </w:r>
      <w:r w:rsidRPr="003B2ABF">
        <w:rPr>
          <w:rFonts w:eastAsia="Times New Roman"/>
          <w:bCs/>
          <w:szCs w:val="28"/>
          <w:lang w:eastAsia="ru-RU"/>
        </w:rPr>
        <w:t xml:space="preserve"> обусловлено изменением объемом заказов. К наиболее крупным предприятиям данной сферы можно отнести АО </w:t>
      </w:r>
      <w:r w:rsidR="00B23459" w:rsidRPr="003B2ABF">
        <w:rPr>
          <w:rFonts w:eastAsia="Times New Roman"/>
          <w:bCs/>
          <w:szCs w:val="28"/>
          <w:lang w:eastAsia="ru-RU"/>
        </w:rPr>
        <w:t>«</w:t>
      </w:r>
      <w:r w:rsidRPr="003B2ABF">
        <w:rPr>
          <w:rFonts w:eastAsia="Times New Roman"/>
          <w:bCs/>
          <w:szCs w:val="28"/>
          <w:lang w:eastAsia="ru-RU"/>
        </w:rPr>
        <w:t>82СРЗ</w:t>
      </w:r>
      <w:r w:rsidR="00B23459" w:rsidRPr="003B2ABF">
        <w:rPr>
          <w:rFonts w:eastAsia="Times New Roman"/>
          <w:bCs/>
          <w:szCs w:val="28"/>
          <w:lang w:eastAsia="ru-RU"/>
        </w:rPr>
        <w:t>»</w:t>
      </w:r>
      <w:r w:rsidRPr="003B2ABF">
        <w:rPr>
          <w:rFonts w:eastAsia="Times New Roman"/>
          <w:bCs/>
          <w:szCs w:val="28"/>
          <w:lang w:eastAsia="ru-RU"/>
        </w:rPr>
        <w:t xml:space="preserve">, филиал </w:t>
      </w:r>
      <w:r w:rsidR="00B23459" w:rsidRPr="003B2ABF">
        <w:rPr>
          <w:rFonts w:eastAsia="Times New Roman"/>
          <w:bCs/>
          <w:szCs w:val="28"/>
          <w:lang w:eastAsia="ru-RU"/>
        </w:rPr>
        <w:t>«</w:t>
      </w:r>
      <w:r w:rsidRPr="003B2ABF">
        <w:rPr>
          <w:rFonts w:eastAsia="Times New Roman"/>
          <w:bCs/>
          <w:szCs w:val="28"/>
          <w:lang w:eastAsia="ru-RU"/>
        </w:rPr>
        <w:t>35 СРЗ</w:t>
      </w:r>
      <w:r w:rsidR="00D55C84" w:rsidRPr="003B2ABF">
        <w:rPr>
          <w:rFonts w:eastAsia="Times New Roman"/>
          <w:bCs/>
          <w:szCs w:val="28"/>
          <w:lang w:eastAsia="ru-RU"/>
        </w:rPr>
        <w:t>»</w:t>
      </w:r>
      <w:r w:rsidRPr="003B2ABF">
        <w:rPr>
          <w:rFonts w:eastAsia="Times New Roman"/>
          <w:bCs/>
          <w:szCs w:val="28"/>
          <w:lang w:eastAsia="ru-RU"/>
        </w:rPr>
        <w:t xml:space="preserve"> </w:t>
      </w:r>
      <w:r w:rsidR="00A11A24">
        <w:rPr>
          <w:rFonts w:eastAsia="Times New Roman"/>
          <w:bCs/>
          <w:szCs w:val="28"/>
          <w:lang w:eastAsia="ru-RU"/>
        </w:rPr>
        <w:br/>
      </w:r>
      <w:r w:rsidRPr="003B2ABF">
        <w:rPr>
          <w:rFonts w:eastAsia="Times New Roman"/>
          <w:bCs/>
          <w:szCs w:val="28"/>
          <w:lang w:eastAsia="ru-RU"/>
        </w:rPr>
        <w:t xml:space="preserve">АО </w:t>
      </w:r>
      <w:r w:rsidR="00D55C84" w:rsidRPr="003B2ABF">
        <w:rPr>
          <w:rFonts w:eastAsia="Times New Roman"/>
          <w:bCs/>
          <w:szCs w:val="28"/>
          <w:lang w:eastAsia="ru-RU"/>
        </w:rPr>
        <w:t>«</w:t>
      </w:r>
      <w:r w:rsidRPr="003B2ABF">
        <w:rPr>
          <w:rFonts w:eastAsia="Times New Roman"/>
          <w:bCs/>
          <w:szCs w:val="28"/>
          <w:lang w:eastAsia="ru-RU"/>
        </w:rPr>
        <w:t xml:space="preserve">ЦС </w:t>
      </w:r>
      <w:r w:rsidR="00D55C84" w:rsidRPr="003B2ABF">
        <w:rPr>
          <w:rFonts w:eastAsia="Times New Roman"/>
          <w:bCs/>
          <w:szCs w:val="28"/>
          <w:lang w:eastAsia="ru-RU"/>
        </w:rPr>
        <w:t>«</w:t>
      </w:r>
      <w:r w:rsidRPr="003B2ABF">
        <w:rPr>
          <w:rFonts w:eastAsia="Times New Roman"/>
          <w:bCs/>
          <w:szCs w:val="28"/>
          <w:lang w:eastAsia="ru-RU"/>
        </w:rPr>
        <w:t>Звездочка</w:t>
      </w:r>
      <w:r w:rsidR="00D55C84" w:rsidRPr="003B2ABF">
        <w:rPr>
          <w:rFonts w:eastAsia="Times New Roman"/>
          <w:bCs/>
          <w:szCs w:val="28"/>
          <w:lang w:eastAsia="ru-RU"/>
        </w:rPr>
        <w:t>»</w:t>
      </w:r>
      <w:r w:rsidRPr="003B2ABF">
        <w:rPr>
          <w:rFonts w:eastAsia="Times New Roman"/>
          <w:bCs/>
          <w:szCs w:val="28"/>
          <w:lang w:eastAsia="ru-RU"/>
        </w:rPr>
        <w:t>.</w:t>
      </w:r>
    </w:p>
    <w:p w14:paraId="5F078739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Реализация проектов филиала «35 судоремонтный завод» АО «Центр судоремонта «Звездочка» по реконструкции и техническому перевооружению 2-камерного сухого дока позволит увеличить производственные мощности предприятий и обеспечить рост промышленного производства по видам деятельности «Производство прочих транспортных средств и оборудования» и «Ремонт и монтаж машин и оборудования» в 2023-2028 годах. </w:t>
      </w:r>
    </w:p>
    <w:p w14:paraId="3EDB8979" w14:textId="060F4A6A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Значительный рост по сравнению с прошлым годом отмечен в деятельности полиграфической и копировании носителей информации (в 6,4 раза), производстве одежды (</w:t>
      </w:r>
      <w:r w:rsidR="001B718C">
        <w:rPr>
          <w:rFonts w:eastAsia="Times New Roman"/>
          <w:bCs/>
          <w:szCs w:val="28"/>
          <w:lang w:eastAsia="ru-RU"/>
        </w:rPr>
        <w:t>в 1,9 раза</w:t>
      </w:r>
      <w:r w:rsidRPr="003B2ABF">
        <w:rPr>
          <w:rFonts w:eastAsia="Times New Roman"/>
          <w:bCs/>
          <w:szCs w:val="28"/>
          <w:lang w:eastAsia="ru-RU"/>
        </w:rPr>
        <w:t>), производстве готовых металлических изделий, кроме машин и оборудования (</w:t>
      </w:r>
      <w:r w:rsidR="001B718C">
        <w:rPr>
          <w:rFonts w:eastAsia="Times New Roman"/>
          <w:bCs/>
          <w:szCs w:val="28"/>
          <w:lang w:eastAsia="ru-RU"/>
        </w:rPr>
        <w:t>в 1,3 раза</w:t>
      </w:r>
      <w:r w:rsidRPr="003B2ABF">
        <w:rPr>
          <w:rFonts w:eastAsia="Times New Roman"/>
          <w:bCs/>
          <w:szCs w:val="28"/>
          <w:lang w:eastAsia="ru-RU"/>
        </w:rPr>
        <w:t>), производств</w:t>
      </w:r>
      <w:r w:rsidR="0045472E">
        <w:rPr>
          <w:rFonts w:eastAsia="Times New Roman"/>
          <w:bCs/>
          <w:szCs w:val="28"/>
          <w:lang w:eastAsia="ru-RU"/>
        </w:rPr>
        <w:t>е</w:t>
      </w:r>
      <w:r w:rsidRPr="003B2ABF">
        <w:rPr>
          <w:rFonts w:eastAsia="Times New Roman"/>
          <w:bCs/>
          <w:szCs w:val="28"/>
          <w:lang w:eastAsia="ru-RU"/>
        </w:rPr>
        <w:t xml:space="preserve"> мебели (</w:t>
      </w:r>
      <w:r w:rsidR="001B718C">
        <w:rPr>
          <w:rFonts w:eastAsia="Times New Roman"/>
          <w:bCs/>
          <w:szCs w:val="28"/>
          <w:lang w:eastAsia="ru-RU"/>
        </w:rPr>
        <w:t>в 1,2 раза</w:t>
      </w:r>
      <w:r w:rsidRPr="003B2ABF">
        <w:rPr>
          <w:rFonts w:eastAsia="Times New Roman"/>
          <w:bCs/>
          <w:szCs w:val="28"/>
          <w:lang w:eastAsia="ru-RU"/>
        </w:rPr>
        <w:t>).</w:t>
      </w:r>
    </w:p>
    <w:p w14:paraId="0735B2CA" w14:textId="4D00DD75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Согласно Сводной стратегии развития обрабатывающей промышленности Российской Федерации до 2024 года и на период до </w:t>
      </w:r>
      <w:r w:rsidR="00A11A24">
        <w:rPr>
          <w:rFonts w:eastAsia="Times New Roman"/>
          <w:bCs/>
          <w:szCs w:val="28"/>
          <w:lang w:eastAsia="ru-RU"/>
        </w:rPr>
        <w:br/>
      </w:r>
      <w:r w:rsidRPr="003B2ABF">
        <w:rPr>
          <w:rFonts w:eastAsia="Times New Roman"/>
          <w:bCs/>
          <w:szCs w:val="28"/>
          <w:lang w:eastAsia="ru-RU"/>
        </w:rPr>
        <w:t xml:space="preserve">2035 года, утвержденной распоряжением Правительства Российской Федерации от 06.06.2020 № 1512-р, промышленные предприятия являются ключевыми работодателями, успешно совмещающими рост производительности труда и </w:t>
      </w:r>
      <w:r w:rsidRPr="003B2ABF">
        <w:rPr>
          <w:rFonts w:eastAsia="Times New Roman"/>
          <w:bCs/>
          <w:szCs w:val="28"/>
          <w:lang w:eastAsia="ru-RU"/>
        </w:rPr>
        <w:lastRenderedPageBreak/>
        <w:t xml:space="preserve">увеличение занятости. Так среднесписочная численность работников по виду деятельности «Обрабатывающие производства» </w:t>
      </w:r>
      <w:r w:rsidR="00D55C84" w:rsidRPr="003B2ABF">
        <w:rPr>
          <w:rFonts w:eastAsia="Times New Roman"/>
          <w:bCs/>
          <w:szCs w:val="28"/>
          <w:lang w:eastAsia="ru-RU"/>
        </w:rPr>
        <w:t>на конец 2022 года</w:t>
      </w:r>
      <w:r w:rsidRPr="003B2ABF">
        <w:rPr>
          <w:rFonts w:eastAsia="Times New Roman"/>
          <w:bCs/>
          <w:szCs w:val="28"/>
          <w:lang w:eastAsia="ru-RU"/>
        </w:rPr>
        <w:t xml:space="preserve"> составила 7783 человека (93,2% к 2021 году), рост среднемесячной номинально начисленной заработной платы составил 8% по сравнению с 2021 годом – 90,7 тыс. рублей.</w:t>
      </w:r>
    </w:p>
    <w:p w14:paraId="32189BF7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Стратегией развития рыбохозяйственного комплекса Российской Федерации на период до 2030 года, утвержденной распоряжением Правительства Российской Федерации от 26.11.2019 № 2798-р, определены приоритеты, цели, задачи и целевые показатели, направленные на обеспечение динамичного развития рыбохозяйственного комплекса, обновление производственных фондов, создание благоприятных условий для ведения бизнеса и привлечения инвестиций в отрасль. </w:t>
      </w:r>
    </w:p>
    <w:p w14:paraId="75242F7D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Во исполнение постановления Правительства РФ от 25.05.2017 № 632 </w:t>
      </w:r>
      <w:r w:rsidRPr="003B2ABF">
        <w:rPr>
          <w:rFonts w:eastAsia="Times New Roman"/>
          <w:szCs w:val="28"/>
          <w:lang w:eastAsia="ru-RU"/>
        </w:rPr>
        <w:br/>
        <w:t xml:space="preserve">«О подготовке и заключении договора о закреплении и предоставлении доли квоты добычи (вылова) водных биологических ресурсов, предоставленной на инвестиционные цели в области рыболовства для осуществления промышленного и (или) прибрежного рыболовства» в городе Мурманске </w:t>
      </w:r>
      <w:r w:rsidRPr="003B2ABF">
        <w:rPr>
          <w:rFonts w:eastAsia="Times New Roman"/>
          <w:szCs w:val="28"/>
          <w:lang w:eastAsia="ru-RU"/>
        </w:rPr>
        <w:br/>
        <w:t>с 2019 года реализуются инвестиционные проекты по строительству рыбодобывающих судов и рыбоперерабатывающих заводов.</w:t>
      </w:r>
    </w:p>
    <w:p w14:paraId="083EC9AC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Кроме того, модернизация рыбохозяйственного комплекса в городе Мурманске включена в Стратегию развития Арктической зоны Российской Федерации до 2035 года, которая утверждена Указом Президента Российской Федерации от 26.10.2020 № 645.</w:t>
      </w:r>
    </w:p>
    <w:p w14:paraId="6BCB7751" w14:textId="63DC034D" w:rsidR="006D16A3" w:rsidRPr="003B2ABF" w:rsidRDefault="00DF1B2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Так резидентом Арктической зоны Российской Федерации</w:t>
      </w:r>
      <w:r w:rsidRPr="003B2ABF">
        <w:rPr>
          <w:rStyle w:val="aff8"/>
          <w:rFonts w:eastAsia="Times New Roman"/>
          <w:szCs w:val="28"/>
          <w:lang w:eastAsia="ru-RU"/>
        </w:rPr>
        <w:footnoteReference w:id="8"/>
      </w:r>
      <w:r w:rsidRPr="003B2ABF">
        <w:rPr>
          <w:rFonts w:eastAsia="Times New Roman"/>
          <w:szCs w:val="28"/>
          <w:lang w:eastAsia="ru-RU"/>
        </w:rPr>
        <w:t xml:space="preserve"> (далее – АЗ РФ) ООО «Антей Север» проведена комплексная модернизация и переоборудование краболовного судна </w:t>
      </w:r>
      <w:r w:rsidR="00D50D0E">
        <w:rPr>
          <w:rFonts w:eastAsia="Times New Roman"/>
          <w:szCs w:val="28"/>
          <w:lang w:eastAsia="ru-RU"/>
        </w:rPr>
        <w:t>«</w:t>
      </w:r>
      <w:r w:rsidRPr="003B2ABF">
        <w:rPr>
          <w:rFonts w:eastAsia="Times New Roman"/>
          <w:szCs w:val="28"/>
          <w:lang w:eastAsia="ru-RU"/>
        </w:rPr>
        <w:t>Мурман-2</w:t>
      </w:r>
      <w:r w:rsidR="00D50D0E">
        <w:rPr>
          <w:rFonts w:eastAsia="Times New Roman"/>
          <w:szCs w:val="28"/>
          <w:lang w:eastAsia="ru-RU"/>
        </w:rPr>
        <w:t>»</w:t>
      </w:r>
      <w:r w:rsidRPr="003B2ABF">
        <w:rPr>
          <w:rFonts w:eastAsia="Times New Roman"/>
          <w:szCs w:val="28"/>
          <w:lang w:eastAsia="ru-RU"/>
        </w:rPr>
        <w:t xml:space="preserve">. Главное преимущество данного судна </w:t>
      </w:r>
      <w:r w:rsidR="00D55C84" w:rsidRPr="003B2ABF">
        <w:rPr>
          <w:rFonts w:eastAsia="Times New Roman"/>
          <w:szCs w:val="28"/>
          <w:lang w:eastAsia="ru-RU"/>
        </w:rPr>
        <w:t>— это</w:t>
      </w:r>
      <w:r w:rsidRPr="003B2ABF">
        <w:rPr>
          <w:rFonts w:eastAsia="Times New Roman"/>
          <w:szCs w:val="28"/>
          <w:lang w:eastAsia="ru-RU"/>
        </w:rPr>
        <w:t xml:space="preserve"> современная фабрика по производству варено-мороженной продукции мощностью до 30 тонн в сутки.</w:t>
      </w:r>
    </w:p>
    <w:p w14:paraId="77AD423A" w14:textId="77777777" w:rsidR="006D16A3" w:rsidRPr="003B2ABF" w:rsidRDefault="00DF1B2C" w:rsidP="00D55C8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Кроме того, резидентами АЗ РФ ООО «Фростер», ООО «Альфа Трейд» и ООО «Эта-трейд» планируется строительство четырех новых краболовных судов для освоения водных биологических ресурсов в Северном бассейне. Проектами предусмотрено создание 152 новых рабочих мест (экипажи судов), включая высококвалифицированных специалистов, что повлечет рост заработной платы, налогов и отчислений в региональный и в местный бюджеты.</w:t>
      </w:r>
    </w:p>
    <w:p w14:paraId="4CD2A92D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0"/>
          <w:shd w:val="clear" w:color="auto" w:fill="FFFFFF"/>
          <w:lang w:eastAsia="ru-RU"/>
        </w:rPr>
        <w:t xml:space="preserve">С 2017 года продолжается строительство рыболовных траулеров </w:t>
      </w:r>
      <w:r w:rsidRPr="003B2ABF">
        <w:rPr>
          <w:rFonts w:eastAsia="Times New Roman"/>
          <w:szCs w:val="20"/>
          <w:shd w:val="clear" w:color="auto" w:fill="FFFFFF"/>
          <w:lang w:eastAsia="ru-RU"/>
        </w:rPr>
        <w:br/>
        <w:t xml:space="preserve">(12 единиц – сроки реализации инвестиционных проектов 2017-2023 годы) под инвестиционные квоты в рамках реализации Федерального закона от 20.12.2004 № 166-ФЗ «О рыболовстве и сохранении водных биологических ресурсов», что позволит </w:t>
      </w:r>
      <w:r w:rsidRPr="003B2ABF">
        <w:rPr>
          <w:rFonts w:eastAsia="Times New Roman"/>
          <w:szCs w:val="28"/>
          <w:lang w:eastAsia="ru-RU"/>
        </w:rPr>
        <w:t xml:space="preserve">увеличить производство продукции с высокой добавленной стоимостью и сохранить развитие пищевой промышленности в базовом варианте прогноза. </w:t>
      </w:r>
    </w:p>
    <w:p w14:paraId="48B0F1CC" w14:textId="0DA4C3CE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lastRenderedPageBreak/>
        <w:t xml:space="preserve">Наиболее прибыльной сферой производства товаров и услуг остается сфера рыбоводства, рыболовства. </w:t>
      </w:r>
      <w:r w:rsidR="004B0954" w:rsidRPr="003B2ABF">
        <w:rPr>
          <w:rFonts w:eastAsia="Times New Roman"/>
          <w:bCs/>
          <w:szCs w:val="28"/>
          <w:lang w:eastAsia="ru-RU"/>
        </w:rPr>
        <w:t>Чистая прибыль организаций (без субъектов МСП) по виду экономической деятельности «Рыболовство и рыбоводство» составила 2</w:t>
      </w:r>
      <w:r w:rsidR="008D3ED5" w:rsidRPr="003B2ABF">
        <w:rPr>
          <w:rFonts w:eastAsia="Times New Roman"/>
          <w:bCs/>
          <w:szCs w:val="28"/>
          <w:lang w:eastAsia="ru-RU"/>
        </w:rPr>
        <w:t>9 208,4</w:t>
      </w:r>
      <w:r w:rsidR="004B0954" w:rsidRPr="003B2ABF">
        <w:rPr>
          <w:rFonts w:eastAsia="Times New Roman"/>
          <w:bCs/>
          <w:szCs w:val="28"/>
          <w:lang w:eastAsia="ru-RU"/>
        </w:rPr>
        <w:t xml:space="preserve"> млн. рублей</w:t>
      </w:r>
      <w:r w:rsidR="008D3ED5" w:rsidRPr="003B2ABF">
        <w:rPr>
          <w:rFonts w:eastAsia="Times New Roman"/>
          <w:bCs/>
          <w:szCs w:val="28"/>
          <w:lang w:eastAsia="ru-RU"/>
        </w:rPr>
        <w:t>.</w:t>
      </w:r>
      <w:r w:rsidR="004B0954" w:rsidRPr="003B2ABF">
        <w:rPr>
          <w:rFonts w:eastAsia="Times New Roman"/>
          <w:bCs/>
          <w:szCs w:val="28"/>
          <w:lang w:eastAsia="ru-RU"/>
        </w:rPr>
        <w:t xml:space="preserve"> </w:t>
      </w:r>
      <w:r w:rsidRPr="003B2ABF">
        <w:rPr>
          <w:rFonts w:eastAsia="Times New Roman"/>
          <w:bCs/>
          <w:szCs w:val="28"/>
          <w:lang w:eastAsia="ru-RU"/>
        </w:rPr>
        <w:t>Средняя заработная плата в данной сфере остается одной из самых высоких в городе – 2</w:t>
      </w:r>
      <w:r w:rsidR="008D3ED5" w:rsidRPr="003B2ABF">
        <w:rPr>
          <w:rFonts w:eastAsia="Times New Roman"/>
          <w:bCs/>
          <w:szCs w:val="28"/>
          <w:lang w:eastAsia="ru-RU"/>
        </w:rPr>
        <w:t>33</w:t>
      </w:r>
      <w:r w:rsidRPr="003B2ABF">
        <w:rPr>
          <w:rFonts w:eastAsia="Times New Roman"/>
          <w:bCs/>
          <w:szCs w:val="28"/>
          <w:lang w:eastAsia="ru-RU"/>
        </w:rPr>
        <w:t>,</w:t>
      </w:r>
      <w:r w:rsidR="008D3ED5" w:rsidRPr="003B2ABF">
        <w:rPr>
          <w:rFonts w:eastAsia="Times New Roman"/>
          <w:bCs/>
          <w:szCs w:val="28"/>
          <w:lang w:eastAsia="ru-RU"/>
        </w:rPr>
        <w:t>4</w:t>
      </w:r>
      <w:r w:rsidRPr="003B2ABF">
        <w:rPr>
          <w:rFonts w:eastAsia="Times New Roman"/>
          <w:bCs/>
          <w:szCs w:val="28"/>
          <w:lang w:eastAsia="ru-RU"/>
        </w:rPr>
        <w:t xml:space="preserve"> тыс. рублей (1</w:t>
      </w:r>
      <w:r w:rsidR="008D3ED5" w:rsidRPr="003B2ABF">
        <w:rPr>
          <w:rFonts w:eastAsia="Times New Roman"/>
          <w:bCs/>
          <w:szCs w:val="28"/>
          <w:lang w:eastAsia="ru-RU"/>
        </w:rPr>
        <w:t>05,0</w:t>
      </w:r>
      <w:r w:rsidRPr="003B2ABF">
        <w:rPr>
          <w:rFonts w:eastAsia="Times New Roman"/>
          <w:bCs/>
          <w:szCs w:val="28"/>
          <w:lang w:eastAsia="ru-RU"/>
        </w:rPr>
        <w:t>% к 202</w:t>
      </w:r>
      <w:r w:rsidR="008D3ED5" w:rsidRPr="003B2ABF">
        <w:rPr>
          <w:rFonts w:eastAsia="Times New Roman"/>
          <w:bCs/>
          <w:szCs w:val="28"/>
          <w:lang w:eastAsia="ru-RU"/>
        </w:rPr>
        <w:t>1</w:t>
      </w:r>
      <w:r w:rsidRPr="003B2ABF">
        <w:rPr>
          <w:rFonts w:eastAsia="Times New Roman"/>
          <w:bCs/>
          <w:szCs w:val="28"/>
          <w:lang w:eastAsia="ru-RU"/>
        </w:rPr>
        <w:t xml:space="preserve"> году), которая в 2,</w:t>
      </w:r>
      <w:r w:rsidR="008D3ED5" w:rsidRPr="003B2ABF">
        <w:rPr>
          <w:rFonts w:eastAsia="Times New Roman"/>
          <w:bCs/>
          <w:szCs w:val="28"/>
          <w:lang w:eastAsia="ru-RU"/>
        </w:rPr>
        <w:t>4</w:t>
      </w:r>
      <w:r w:rsidRPr="003B2ABF">
        <w:rPr>
          <w:rFonts w:eastAsia="Times New Roman"/>
          <w:bCs/>
          <w:szCs w:val="28"/>
          <w:lang w:eastAsia="ru-RU"/>
        </w:rPr>
        <w:t xml:space="preserve"> раза превышает среднемесячную номинально начисленную заработную плату по городу (</w:t>
      </w:r>
      <w:r w:rsidR="008D3ED5" w:rsidRPr="003B2ABF">
        <w:rPr>
          <w:rFonts w:eastAsia="Times New Roman"/>
          <w:bCs/>
          <w:szCs w:val="28"/>
          <w:lang w:eastAsia="ru-RU"/>
        </w:rPr>
        <w:t>97,0</w:t>
      </w:r>
      <w:r w:rsidRPr="003B2ABF">
        <w:rPr>
          <w:rFonts w:eastAsia="Times New Roman"/>
          <w:bCs/>
          <w:szCs w:val="28"/>
          <w:lang w:eastAsia="ru-RU"/>
        </w:rPr>
        <w:t xml:space="preserve"> тыс. рублей).</w:t>
      </w:r>
    </w:p>
    <w:p w14:paraId="4738FFC4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Однако, в 2022 году объем отгруженной продукции предприятиями рыболовства, рыбоводства в действующих ценах значительно снизился до </w:t>
      </w:r>
      <w:r w:rsidRPr="003B2ABF">
        <w:rPr>
          <w:rFonts w:eastAsia="Times New Roman"/>
          <w:szCs w:val="28"/>
          <w:lang w:eastAsia="ru-RU"/>
        </w:rPr>
        <w:br/>
      </w:r>
      <w:r w:rsidRPr="003B2ABF">
        <w:rPr>
          <w:color w:val="000000"/>
          <w:szCs w:val="28"/>
        </w:rPr>
        <w:t>73 144,7</w:t>
      </w:r>
      <w:r w:rsidRPr="003B2ABF">
        <w:rPr>
          <w:rFonts w:eastAsia="Times New Roman"/>
          <w:szCs w:val="28"/>
          <w:lang w:eastAsia="ru-RU"/>
        </w:rPr>
        <w:t xml:space="preserve"> млрд. рублей (70,9% к 2021 году).</w:t>
      </w:r>
    </w:p>
    <w:p w14:paraId="00B00EB9" w14:textId="57190162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Развитию рыбной промышленности в прогнозном периоде будет способствовать реализация инвестиционных проектов в рамках выделенных инвестквот. </w:t>
      </w:r>
    </w:p>
    <w:p w14:paraId="7D3172CB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сфере рыболовства продолжается государственная поддержка организаций, занимающихся товарным выращиванием рыбы, в форме предоставления субсидии на возмещение части затрат на уплату процентов по кредитам, полученным в российских кредитных организациях на развитие аквакультуры, в том числе в рамках государственной программы Российской Федерации «Развитие рыбохозяйственного комплекса».</w:t>
      </w:r>
    </w:p>
    <w:p w14:paraId="6D0DE0A9" w14:textId="1470D39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С учетом </w:t>
      </w:r>
      <w:r w:rsidR="00AD437E">
        <w:rPr>
          <w:rFonts w:eastAsia="Times New Roman"/>
          <w:szCs w:val="28"/>
          <w:lang w:eastAsia="ru-RU"/>
        </w:rPr>
        <w:t>вышеизложенного</w:t>
      </w:r>
      <w:r w:rsidRPr="003B2ABF">
        <w:rPr>
          <w:rFonts w:eastAsia="Times New Roman"/>
          <w:szCs w:val="28"/>
          <w:lang w:eastAsia="ru-RU"/>
        </w:rPr>
        <w:t xml:space="preserve"> темп роста производственных показателей предприятий рыболовства, рыбоводства в 2024-2028 годах составит 103,7-106,1% ежегодно.</w:t>
      </w:r>
    </w:p>
    <w:p w14:paraId="4870B5FF" w14:textId="0625301B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Индекс производства в сфере обеспечения электрической энергией, газом и паром, кондиционирования воздуха с учетом областного индекса-дефлятора в 2022 году составил 99,6%. Объем производства в 2022 году по данному виду экономической деятельности составил 11,2 млрд. рублей, или 102,6% к </w:t>
      </w:r>
      <w:r w:rsidRPr="003B2ABF">
        <w:rPr>
          <w:rFonts w:eastAsia="Times New Roman"/>
          <w:bCs/>
          <w:szCs w:val="28"/>
          <w:lang w:eastAsia="ru-RU"/>
        </w:rPr>
        <w:br/>
        <w:t xml:space="preserve">2021 году. На </w:t>
      </w:r>
      <w:r w:rsidR="000223C2" w:rsidRPr="003B2ABF">
        <w:rPr>
          <w:rFonts w:eastAsia="Times New Roman"/>
          <w:bCs/>
          <w:szCs w:val="28"/>
          <w:lang w:eastAsia="ru-RU"/>
        </w:rPr>
        <w:t>начало</w:t>
      </w:r>
      <w:r w:rsidRPr="003B2ABF">
        <w:rPr>
          <w:rFonts w:eastAsia="Times New Roman"/>
          <w:bCs/>
          <w:szCs w:val="28"/>
          <w:lang w:eastAsia="ru-RU"/>
        </w:rPr>
        <w:t xml:space="preserve"> 202</w:t>
      </w:r>
      <w:r w:rsidR="000223C2" w:rsidRPr="003B2ABF">
        <w:rPr>
          <w:rFonts w:eastAsia="Times New Roman"/>
          <w:bCs/>
          <w:szCs w:val="28"/>
          <w:lang w:eastAsia="ru-RU"/>
        </w:rPr>
        <w:t>3</w:t>
      </w:r>
      <w:r w:rsidRPr="003B2ABF">
        <w:rPr>
          <w:rFonts w:eastAsia="Times New Roman"/>
          <w:bCs/>
          <w:szCs w:val="28"/>
          <w:lang w:eastAsia="ru-RU"/>
        </w:rPr>
        <w:t xml:space="preserve"> года количество организаций составило </w:t>
      </w:r>
      <w:r w:rsidR="008D3ED5" w:rsidRPr="003B2ABF">
        <w:rPr>
          <w:rFonts w:eastAsia="Times New Roman"/>
          <w:bCs/>
          <w:szCs w:val="28"/>
          <w:lang w:eastAsia="ru-RU"/>
        </w:rPr>
        <w:t>37</w:t>
      </w:r>
      <w:r w:rsidR="000223C2" w:rsidRPr="003B2ABF">
        <w:rPr>
          <w:rFonts w:eastAsia="Times New Roman"/>
          <w:bCs/>
          <w:szCs w:val="28"/>
          <w:lang w:eastAsia="ru-RU"/>
        </w:rPr>
        <w:t xml:space="preserve"> </w:t>
      </w:r>
      <w:r w:rsidRPr="003B2ABF">
        <w:rPr>
          <w:rFonts w:eastAsia="Times New Roman"/>
          <w:bCs/>
          <w:szCs w:val="28"/>
          <w:lang w:eastAsia="ru-RU"/>
        </w:rPr>
        <w:t>единиц</w:t>
      </w:r>
      <w:r w:rsidR="000223C2" w:rsidRPr="003B2ABF">
        <w:rPr>
          <w:rFonts w:eastAsia="Times New Roman"/>
          <w:bCs/>
          <w:szCs w:val="28"/>
          <w:lang w:eastAsia="ru-RU"/>
        </w:rPr>
        <w:t xml:space="preserve"> (92,5% к началу </w:t>
      </w:r>
      <w:r w:rsidRPr="003B2ABF">
        <w:rPr>
          <w:rFonts w:eastAsia="Times New Roman"/>
          <w:bCs/>
          <w:szCs w:val="28"/>
          <w:lang w:eastAsia="ru-RU"/>
        </w:rPr>
        <w:t>202</w:t>
      </w:r>
      <w:r w:rsidR="000223C2" w:rsidRPr="003B2ABF">
        <w:rPr>
          <w:rFonts w:eastAsia="Times New Roman"/>
          <w:bCs/>
          <w:szCs w:val="28"/>
          <w:lang w:eastAsia="ru-RU"/>
        </w:rPr>
        <w:t>2</w:t>
      </w:r>
      <w:r w:rsidRPr="003B2ABF">
        <w:rPr>
          <w:rFonts w:eastAsia="Times New Roman"/>
          <w:bCs/>
          <w:szCs w:val="28"/>
          <w:lang w:eastAsia="ru-RU"/>
        </w:rPr>
        <w:t xml:space="preserve"> года</w:t>
      </w:r>
      <w:r w:rsidR="000223C2" w:rsidRPr="003B2ABF">
        <w:rPr>
          <w:rFonts w:eastAsia="Times New Roman"/>
          <w:bCs/>
          <w:szCs w:val="28"/>
          <w:lang w:eastAsia="ru-RU"/>
        </w:rPr>
        <w:t>)</w:t>
      </w:r>
      <w:r w:rsidRPr="003B2ABF">
        <w:rPr>
          <w:rFonts w:eastAsia="Times New Roman"/>
          <w:bCs/>
          <w:szCs w:val="28"/>
          <w:lang w:eastAsia="ru-RU"/>
        </w:rPr>
        <w:t xml:space="preserve">. </w:t>
      </w:r>
    </w:p>
    <w:p w14:paraId="2702C231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связи с тем, что основным потребителем теплоэнергии, сжиженного газа и воды является население, численность которого сохраняет устойчивую тенденцию к снижению, а большую часть электроэнергии потребляют промышленные предприятия, дальнейшее развитие сферы производства и распределения электроэнергии, газа и воды будет в большей степени зависеть от экономической активности и состояния промышленных предприятий города. Рост энергопотребления будет также сдерживать реализация мер по повышению энергоэффективности экономики, разработка и внедрение энергосберегающих технологий, выбытие неэффективных мощностей, сокращение потерь энергии. </w:t>
      </w:r>
    </w:p>
    <w:p w14:paraId="2FE0A160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Для развития материально-технической базы объектов электроснабжения, обеспечения энергетической безопасности, надежного и качественного электроснабжения существующих потребителей и перспективных площадок застройки, создания технической возможности для подключения к электрическим сетям новых потребителей в городе, повышения эффективности работы систем централизованного теплоснабжения и повышения надежности теплоснабжения потребителей реализуются инвестиционные проекты по </w:t>
      </w:r>
      <w:r w:rsidRPr="003B2ABF">
        <w:rPr>
          <w:rFonts w:eastAsia="Times New Roman"/>
          <w:szCs w:val="28"/>
          <w:lang w:eastAsia="ru-RU"/>
        </w:rPr>
        <w:lastRenderedPageBreak/>
        <w:t xml:space="preserve">строительству и реконструкции объектов электроснабжения Мурманского филиала ПАО «Россети Северо-Запад», филиала «КолАтомЭнергоСбыт», АО «МОЭСК». </w:t>
      </w:r>
    </w:p>
    <w:p w14:paraId="579BB5F7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стадии реализации инвестиционный проект АО «МОЭСК» по реконструкции и строительству электросетевых объектов. Данный инвестиционный проект также планируется к реализации в 2023-2024 годах.</w:t>
      </w:r>
    </w:p>
    <w:p w14:paraId="0BA0B99F" w14:textId="77777777" w:rsidR="006D16A3" w:rsidRPr="003B2ABF" w:rsidRDefault="00DF1B2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прогнозном периоде в 2023-2027 годах Мурманским филиалом </w:t>
      </w:r>
      <w:r w:rsidRPr="003B2ABF">
        <w:rPr>
          <w:rFonts w:eastAsia="Times New Roman"/>
          <w:szCs w:val="28"/>
          <w:lang w:eastAsia="ru-RU"/>
        </w:rPr>
        <w:br/>
        <w:t>ПАО «Россети Северо-Запад» планируется к реализации инвестиционный проект «Развитие материально-технической базы объектов электроснабжения».</w:t>
      </w:r>
    </w:p>
    <w:p w14:paraId="2D0DCE37" w14:textId="5972CDE7" w:rsidR="00AD437E" w:rsidRDefault="00DF1B2C" w:rsidP="00AD437E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3B2ABF">
        <w:rPr>
          <w:szCs w:val="28"/>
          <w:lang w:eastAsia="ru-RU"/>
        </w:rPr>
        <w:t xml:space="preserve">Продолжается реализация программы перевода на закрытую систему теплоснабжения (горячего водоснабжения) многоквартирных домов (далее – МКД) в Ленинском административном округе, </w:t>
      </w:r>
      <w:r w:rsidRPr="003B2ABF">
        <w:rPr>
          <w:szCs w:val="28"/>
        </w:rPr>
        <w:t>целью которой является приведение качества горячего водоснабжения в 447 МКД Ленинского административного округа в соответствие с установленными требованиями. Стоимость проекта - около 2,5 млрд. рублей.</w:t>
      </w:r>
      <w:r w:rsidRPr="003B2ABF">
        <w:rPr>
          <w:szCs w:val="28"/>
          <w:lang w:eastAsia="ru-RU"/>
        </w:rPr>
        <w:t xml:space="preserve"> </w:t>
      </w:r>
      <w:r w:rsidRPr="003B2ABF">
        <w:rPr>
          <w:szCs w:val="28"/>
        </w:rPr>
        <w:t xml:space="preserve">В </w:t>
      </w:r>
      <w:r w:rsidR="00943D7D">
        <w:rPr>
          <w:szCs w:val="28"/>
        </w:rPr>
        <w:t xml:space="preserve">период 2021-2022 годов переведено 136 МКД на закрытую систему теплоснабжения. </w:t>
      </w:r>
    </w:p>
    <w:p w14:paraId="2FFDCA07" w14:textId="13A688B2" w:rsidR="006D16A3" w:rsidRPr="00AD437E" w:rsidRDefault="00AD437E" w:rsidP="00AD437E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</w:t>
      </w:r>
      <w:r w:rsidRPr="003B2ABF">
        <w:rPr>
          <w:rFonts w:eastAsia="Times New Roman"/>
          <w:szCs w:val="28"/>
          <w:lang w:eastAsia="ru-RU"/>
        </w:rPr>
        <w:t xml:space="preserve"> стадии реализации находится инвестиционный проект </w:t>
      </w:r>
      <w:r w:rsidR="001B718C">
        <w:rPr>
          <w:rFonts w:eastAsia="Times New Roman"/>
          <w:szCs w:val="28"/>
          <w:lang w:eastAsia="ru-RU"/>
        </w:rPr>
        <w:br/>
      </w:r>
      <w:r w:rsidRPr="003B2ABF">
        <w:rPr>
          <w:rFonts w:eastAsia="Times New Roman"/>
          <w:szCs w:val="28"/>
          <w:lang w:eastAsia="ru-RU"/>
        </w:rPr>
        <w:t>АО «Мурманская ТЭЦ» по реконструкции и модернизации существующих источников теплоснабжения, повышению экологической и энергетической эффективности, обеспечению физической защиты предприятия, реконструкции тепловых сетей.</w:t>
      </w:r>
    </w:p>
    <w:p w14:paraId="363C2A09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Таким образом, в прогнозном периоде ожидается сохранение объема производства по виду деятельности «Обеспечение электрической энергией, газом и паром; кондиционирование воздуха», темп роста в 2024-2028 годах составит 104,1-104,6%.</w:t>
      </w:r>
    </w:p>
    <w:p w14:paraId="3D257DA7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Объем производства в сфере водоснабжения, водоотведения, организации сбора и утилизации отходов, деятельности по ликвидации загрязнений составил в 2022 году 4,9 млрд. рублей, что ниже уровня 2021 года на 18,6%. Индекс производства составил 92,0%.</w:t>
      </w:r>
    </w:p>
    <w:p w14:paraId="62523619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szCs w:val="28"/>
        </w:rPr>
      </w:pPr>
      <w:r w:rsidRPr="003B2ABF">
        <w:rPr>
          <w:rFonts w:eastAsia="Times New Roman"/>
          <w:szCs w:val="28"/>
          <w:lang w:eastAsia="ru-RU"/>
        </w:rPr>
        <w:t xml:space="preserve">Перспективы развития в данной сфере связаны с </w:t>
      </w:r>
      <w:r w:rsidRPr="003B2ABF">
        <w:rPr>
          <w:szCs w:val="28"/>
        </w:rPr>
        <w:t>реализацией программы по переключению систем водоснабжения, расположенных на Западном берегу Кольского залива, к централизованной системе водоснабжения города Мурманска. Целью программы является приведение качества питьевой воды в районах Дровяном и Абрам-Мысе в соответствие с установленными требованиями.</w:t>
      </w:r>
    </w:p>
    <w:p w14:paraId="64216E02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прогнозном периоде ожидается сохранение объема производства по виду деятельности «Водоснабжение, водоотведение, организация сбора и утилизация отходов, деятельность по ликвидации загрязнений», темп роста </w:t>
      </w:r>
      <w:r w:rsidRPr="003B2ABF">
        <w:rPr>
          <w:rFonts w:eastAsia="Times New Roman"/>
          <w:szCs w:val="28"/>
          <w:lang w:eastAsia="ru-RU"/>
        </w:rPr>
        <w:br/>
        <w:t xml:space="preserve">в 2024-2028 годах составит 103,8-104,7%. </w:t>
      </w:r>
    </w:p>
    <w:p w14:paraId="71863FDB" w14:textId="77777777" w:rsidR="006D16A3" w:rsidRPr="003B2ABF" w:rsidRDefault="00DF1B2C" w:rsidP="001F7E3E">
      <w:pPr>
        <w:pStyle w:val="Afff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B2ABF">
        <w:rPr>
          <w:color w:val="000000"/>
          <w:sz w:val="28"/>
          <w:szCs w:val="28"/>
        </w:rPr>
        <w:t>Устойчивому развитию города в среднесрочной перспективе будет способствовать реализация задач, которые можно разделить на первоочередные и стратегические.</w:t>
      </w:r>
    </w:p>
    <w:p w14:paraId="464C9B6F" w14:textId="77777777" w:rsidR="006D16A3" w:rsidRPr="003B2ABF" w:rsidRDefault="00DF1B2C" w:rsidP="001F7E3E">
      <w:pPr>
        <w:pStyle w:val="Afff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B2ABF">
        <w:rPr>
          <w:color w:val="000000"/>
          <w:sz w:val="28"/>
          <w:szCs w:val="28"/>
        </w:rPr>
        <w:t>К первоочередным задачам относятся адаптация экономики в условиях внешнеэкономического давления.</w:t>
      </w:r>
    </w:p>
    <w:p w14:paraId="03F3DA4E" w14:textId="41020DEF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color w:val="000000"/>
          <w:szCs w:val="28"/>
        </w:rPr>
        <w:lastRenderedPageBreak/>
        <w:t>В первую очередь, этому будет способствовать реализация одобренного</w:t>
      </w:r>
      <w:r w:rsidRPr="003B2ABF">
        <w:rPr>
          <w:rFonts w:eastAsia="Times New Roman"/>
          <w:szCs w:val="28"/>
          <w:lang w:eastAsia="ru-RU"/>
        </w:rPr>
        <w:t xml:space="preserve"> Плана первоочередных действий по обеспечению устойчивого социально-экономического развития Мурманской области (далее – План), который </w:t>
      </w:r>
      <w:r w:rsidR="001F7E3E" w:rsidRPr="001F7E3E">
        <w:rPr>
          <w:rFonts w:eastAsia="Times New Roman"/>
          <w:szCs w:val="28"/>
          <w:lang w:eastAsia="ru-RU"/>
        </w:rPr>
        <w:t>включает более 60 мер поддержки во всех отраслях</w:t>
      </w:r>
      <w:r w:rsidR="001F7E3E">
        <w:rPr>
          <w:rFonts w:eastAsia="Times New Roman"/>
          <w:szCs w:val="28"/>
          <w:lang w:eastAsia="ru-RU"/>
        </w:rPr>
        <w:t xml:space="preserve">. </w:t>
      </w:r>
      <w:r w:rsidRPr="003B2ABF">
        <w:rPr>
          <w:rFonts w:eastAsia="Times New Roman"/>
          <w:szCs w:val="28"/>
          <w:lang w:eastAsia="ru-RU"/>
        </w:rPr>
        <w:t xml:space="preserve">Основной задачей Плана является облегчение и ускорение адаптации экономики к новым условиям. </w:t>
      </w:r>
    </w:p>
    <w:p w14:paraId="3D0A81CE" w14:textId="2967A5F5" w:rsidR="006D16A3" w:rsidRPr="003B2ABF" w:rsidRDefault="00DF1B2C" w:rsidP="001F7E3E">
      <w:pPr>
        <w:pStyle w:val="Afff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B2ABF">
        <w:rPr>
          <w:color w:val="000000"/>
          <w:sz w:val="28"/>
          <w:szCs w:val="28"/>
        </w:rPr>
        <w:t xml:space="preserve">Достижению стратегических задач, обеспечивающих условия для дальнейшего развития экономики региона в среднесрочной перспективе, будет способствовать реализация национальных проектов и выполнение задач, поставленных в Указе Президента </w:t>
      </w:r>
      <w:r w:rsidR="001F7E3E">
        <w:rPr>
          <w:color w:val="000000"/>
          <w:sz w:val="28"/>
          <w:szCs w:val="28"/>
        </w:rPr>
        <w:t>РФ</w:t>
      </w:r>
      <w:r w:rsidRPr="003B2ABF">
        <w:rPr>
          <w:color w:val="000000"/>
          <w:sz w:val="28"/>
          <w:szCs w:val="28"/>
        </w:rPr>
        <w:t xml:space="preserve"> от 21</w:t>
      </w:r>
      <w:r w:rsidR="001F7E3E">
        <w:rPr>
          <w:color w:val="000000"/>
          <w:sz w:val="28"/>
          <w:szCs w:val="28"/>
        </w:rPr>
        <w:t>.07.2020</w:t>
      </w:r>
      <w:r w:rsidRPr="003B2ABF">
        <w:rPr>
          <w:color w:val="000000"/>
          <w:sz w:val="28"/>
          <w:szCs w:val="28"/>
        </w:rPr>
        <w:t xml:space="preserve"> № 474.</w:t>
      </w:r>
    </w:p>
    <w:p w14:paraId="5722A0C3" w14:textId="79311913" w:rsidR="006D16A3" w:rsidRPr="003B2ABF" w:rsidRDefault="00DF1B2C" w:rsidP="001F7E3E">
      <w:pPr>
        <w:pStyle w:val="Afff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B2ABF">
        <w:rPr>
          <w:color w:val="000000"/>
          <w:sz w:val="28"/>
          <w:szCs w:val="28"/>
        </w:rPr>
        <w:t>Социально-экономическое развитие города Мурманска в среднесрочной перспективе будет также определяться эффективностью реализации мер, направленных на развитие импортозамещения, повышение конкурентоспособности, стимулирование инвестиционной активности, стабилизацию ситуации на рынке труда.</w:t>
      </w:r>
    </w:p>
    <w:p w14:paraId="667E4C61" w14:textId="77777777" w:rsidR="006D16A3" w:rsidRPr="003B2ABF" w:rsidRDefault="00DF1B2C" w:rsidP="001F7E3E">
      <w:pPr>
        <w:pStyle w:val="Afff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3B2ABF">
        <w:rPr>
          <w:color w:val="000000"/>
          <w:sz w:val="28"/>
          <w:szCs w:val="28"/>
        </w:rPr>
        <w:t>Основным механизмом решения поставленных задач будет реализация национальных проектов и мероприятий муниципальных программ города Мурманска.</w:t>
      </w:r>
    </w:p>
    <w:p w14:paraId="16450287" w14:textId="787359D4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Крое того, к стратегическим задачам следует отнести планируемое развитие опорных арктических населенных пунктов. В соответствии с поручением Президента РФ В.В. Путина от </w:t>
      </w:r>
      <w:r w:rsidR="001F7E3E">
        <w:rPr>
          <w:rFonts w:eastAsia="Times New Roman"/>
          <w:szCs w:val="28"/>
          <w:lang w:eastAsia="ru-RU"/>
        </w:rPr>
        <w:t>18.08.2023 № Пр-1626</w:t>
      </w:r>
      <w:r w:rsidRPr="003B2ABF">
        <w:rPr>
          <w:rFonts w:eastAsia="Times New Roman"/>
          <w:szCs w:val="28"/>
          <w:lang w:eastAsia="ru-RU"/>
        </w:rPr>
        <w:t xml:space="preserve"> необходимо подготовить мастер-планы развития для опорных арктических населенных пунктов до 2035 года. Практическую реализацию необходимо начать уже с 2025 года</w:t>
      </w:r>
      <w:r w:rsidR="004D3051">
        <w:rPr>
          <w:rFonts w:eastAsia="Times New Roman"/>
          <w:szCs w:val="28"/>
          <w:lang w:eastAsia="ru-RU"/>
        </w:rPr>
        <w:t>. Город Мурманск будет входить в состав Мурманской агломерации.</w:t>
      </w:r>
    </w:p>
    <w:p w14:paraId="707EADFC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Планируется ряд мер господдержки опорным населенным пунктам АЗРФ, которые будут направлены на сохранение опорных населенных пунктов как важнейших населенных центров Арктики. Пакет мер будет включать в себя меры по комфортизации городской среды и ликвидации последствий сокращения численности населения в последние десятилетия, а также по обеспечению социально-экономического развития квалифицированных кадров.</w:t>
      </w:r>
    </w:p>
    <w:p w14:paraId="46E59E8C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Благодаря указанным мерам удастся стабилизировать ситуацию в экономике.</w:t>
      </w:r>
    </w:p>
    <w:p w14:paraId="72004064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Таким образом, в базовом варианте прогноза планируется сохранение роста индекса промышленного производства на уровне 101-103%. Объем отгруженных товаров собственного производства, выполненных работ и услуг собственными силами по видам деятельности, относящимся к промышленному производству по крупным и средним предприятиям, в 2028 году предположительно составит 196 млрд. руб.</w:t>
      </w:r>
    </w:p>
    <w:p w14:paraId="0EB32CE0" w14:textId="7C4A2155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К потенциальным рискам, которые могут повлечь на собой недостижение прогнозных показателей</w:t>
      </w:r>
      <w:r w:rsidR="004D3051">
        <w:rPr>
          <w:rFonts w:eastAsia="Times New Roman"/>
          <w:szCs w:val="28"/>
          <w:lang w:eastAsia="ru-RU"/>
        </w:rPr>
        <w:t>,</w:t>
      </w:r>
      <w:r w:rsidRPr="003B2ABF">
        <w:rPr>
          <w:rFonts w:eastAsia="Times New Roman"/>
          <w:szCs w:val="28"/>
          <w:lang w:eastAsia="ru-RU"/>
        </w:rPr>
        <w:t xml:space="preserve"> можно отнести:</w:t>
      </w:r>
    </w:p>
    <w:p w14:paraId="0ACD3A43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- сохранение неопределенности экономической ситуации, рисков, возникших вследствие санкционного давления;</w:t>
      </w:r>
    </w:p>
    <w:p w14:paraId="7E40C83F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- рост цен на импортное сырье, материалы и оборудование, отказ от сотрудничества зарубежных партнеров на фоне санкций;</w:t>
      </w:r>
    </w:p>
    <w:p w14:paraId="164F03AA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- сохраняющиеся санитарно-эпидемиологические риски;</w:t>
      </w:r>
    </w:p>
    <w:p w14:paraId="704C3E16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- нестабильный курс рубля;</w:t>
      </w:r>
    </w:p>
    <w:p w14:paraId="37F6CE13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lastRenderedPageBreak/>
        <w:t xml:space="preserve">- невысокий уровень потребительского спроса на фоне сокращения реальных доходов населения и ограничения поставок импортных товаров; </w:t>
      </w:r>
    </w:p>
    <w:p w14:paraId="124C80F4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- отсрочка реализации инвестиционных проектов на территории города Мурманска;</w:t>
      </w:r>
    </w:p>
    <w:p w14:paraId="1BFBC026" w14:textId="77777777" w:rsidR="006D16A3" w:rsidRPr="003B2ABF" w:rsidRDefault="00DF1B2C" w:rsidP="001F7E3E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- принятие собственниками предприятий на территории города Мурманска управленческих решений, которые могут оказать негативное влияние на социально-экономическое положение города.</w:t>
      </w:r>
    </w:p>
    <w:p w14:paraId="068DBFC3" w14:textId="070252C4" w:rsidR="0045472E" w:rsidRDefault="00DF1B2C" w:rsidP="0045472E">
      <w:pPr>
        <w:spacing w:after="0" w:line="240" w:lineRule="auto"/>
        <w:ind w:firstLine="708"/>
        <w:jc w:val="center"/>
        <w:rPr>
          <w:rFonts w:eastAsia="Times New Roman"/>
          <w:bCs/>
          <w:szCs w:val="28"/>
          <w:lang w:eastAsia="ru-RU"/>
        </w:rPr>
      </w:pPr>
      <w:r w:rsidRPr="00AE152B">
        <w:rPr>
          <w:rFonts w:eastAsia="Times New Roman"/>
          <w:bCs/>
          <w:szCs w:val="28"/>
          <w:lang w:eastAsia="ru-RU"/>
        </w:rPr>
        <w:t>Рынок товаров и услуг</w:t>
      </w:r>
    </w:p>
    <w:p w14:paraId="5F9B0ACE" w14:textId="77777777" w:rsidR="00AE152B" w:rsidRPr="00AE152B" w:rsidRDefault="00AE152B" w:rsidP="0045472E">
      <w:pPr>
        <w:spacing w:after="0" w:line="240" w:lineRule="auto"/>
        <w:ind w:firstLine="708"/>
        <w:jc w:val="center"/>
        <w:rPr>
          <w:rFonts w:eastAsia="Times New Roman"/>
          <w:szCs w:val="28"/>
          <w:lang w:eastAsia="ru-RU"/>
        </w:rPr>
      </w:pPr>
    </w:p>
    <w:p w14:paraId="1514EC51" w14:textId="37C7C999" w:rsidR="0045472E" w:rsidRPr="00AE152B" w:rsidRDefault="0045472E" w:rsidP="0045472E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AE152B">
        <w:rPr>
          <w:rFonts w:eastAsia="Times New Roman"/>
          <w:szCs w:val="28"/>
          <w:lang w:eastAsia="ru-RU"/>
        </w:rPr>
        <w:t xml:space="preserve">На потребительском рынке города Мурманска сохраняется стабильная ситуация, осуществляется строительство и модернизация торговых объектов. В его структуре преобладает сфера торговли, где зарегистрирована третья часть всех организаций, действующих на территории муниципального образования. </w:t>
      </w:r>
    </w:p>
    <w:p w14:paraId="5EBAA93B" w14:textId="1E49A772" w:rsidR="0045472E" w:rsidRPr="00AE152B" w:rsidRDefault="0045472E" w:rsidP="0045472E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eastAsia="Times New Roman"/>
          <w:szCs w:val="28"/>
          <w:lang w:eastAsia="ru-RU"/>
        </w:rPr>
      </w:pPr>
      <w:r w:rsidRPr="00AE152B">
        <w:rPr>
          <w:rFonts w:eastAsia="Times New Roman"/>
          <w:szCs w:val="28"/>
          <w:lang w:eastAsia="ru-RU"/>
        </w:rPr>
        <w:t>В 2022 году в городе функционировало 1 886 объектов розничной торговли, из них: 1 555 стационарных магазинов (из них 754 продовольственных и 801 непродовольственных), 203 нестационарных торговых объекта (кроме НТО, реализующих продукцию общественного питания) и 128 аптечных киосков. Более 21% стационарных торговых объектов приходится на продовольственные и промышленные магазины федеральных торговых сетей.</w:t>
      </w:r>
    </w:p>
    <w:p w14:paraId="39FB130D" w14:textId="488C97E2" w:rsidR="0045472E" w:rsidRPr="00AE152B" w:rsidRDefault="0045472E" w:rsidP="0045472E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eastAsia="Times New Roman"/>
          <w:szCs w:val="28"/>
          <w:lang w:eastAsia="ru-RU"/>
        </w:rPr>
      </w:pPr>
      <w:r w:rsidRPr="00AE152B">
        <w:rPr>
          <w:rFonts w:eastAsia="Times New Roman"/>
          <w:szCs w:val="28"/>
          <w:lang w:eastAsia="ru-RU"/>
        </w:rPr>
        <w:t xml:space="preserve">По предварительной оценке, в 2023 количество объектов розничной торговли составит 1 889 за счет незначительного снижения количества стационарных и увеличения нестационарных торговых объектов. Прогноз на 2024-2028 имеет также умеренную положительную динамику, учитывающую количество планируемых к вводу в эксплуатацию стационарных объектов и меры, направленные на увеличение количества НТО (определение новых мест размещения НТО, возмещение затрат на приобретение новых НТО, на технологическое присоединение и пр.).  </w:t>
      </w:r>
    </w:p>
    <w:p w14:paraId="7016B2A9" w14:textId="16C4815F" w:rsidR="0045472E" w:rsidRPr="00AE152B" w:rsidRDefault="0045472E" w:rsidP="0045472E">
      <w:pPr>
        <w:pStyle w:val="affb"/>
        <w:shd w:val="clear" w:color="auto" w:fill="FFFFFF"/>
        <w:spacing w:before="0" w:after="0"/>
        <w:ind w:firstLine="708"/>
        <w:jc w:val="both"/>
        <w:rPr>
          <w:color w:val="030000"/>
          <w:sz w:val="28"/>
          <w:szCs w:val="28"/>
        </w:rPr>
      </w:pPr>
      <w:r w:rsidRPr="00AE152B">
        <w:rPr>
          <w:color w:val="030000"/>
          <w:sz w:val="28"/>
          <w:szCs w:val="28"/>
        </w:rPr>
        <w:t>Обеспеченность населения торговыми площадями</w:t>
      </w:r>
      <w:r w:rsidR="002D67D9" w:rsidRPr="00AE152B">
        <w:rPr>
          <w:color w:val="030000"/>
          <w:sz w:val="28"/>
          <w:szCs w:val="28"/>
        </w:rPr>
        <w:t xml:space="preserve"> 9 с учетом стационарных торговых объектов)</w:t>
      </w:r>
      <w:r w:rsidRPr="00AE152B">
        <w:rPr>
          <w:color w:val="030000"/>
          <w:sz w:val="28"/>
          <w:szCs w:val="28"/>
        </w:rPr>
        <w:t xml:space="preserve"> в 2022 году составляла </w:t>
      </w:r>
      <w:r w:rsidR="002D67D9" w:rsidRPr="00AE152B">
        <w:rPr>
          <w:color w:val="030000"/>
          <w:sz w:val="28"/>
          <w:szCs w:val="28"/>
        </w:rPr>
        <w:t>1 147,1</w:t>
      </w:r>
      <w:r w:rsidRPr="00AE152B">
        <w:rPr>
          <w:color w:val="030000"/>
          <w:sz w:val="28"/>
          <w:szCs w:val="28"/>
        </w:rPr>
        <w:t xml:space="preserve"> кв. м на 1000 жителей, что превышало действующий норматив </w:t>
      </w:r>
      <w:r w:rsidR="002D67D9" w:rsidRPr="00AE152B">
        <w:rPr>
          <w:color w:val="030000"/>
          <w:sz w:val="28"/>
          <w:szCs w:val="28"/>
        </w:rPr>
        <w:t>в 1,7 раза.</w:t>
      </w:r>
      <w:r w:rsidRPr="00AE152B">
        <w:rPr>
          <w:color w:val="030000"/>
          <w:sz w:val="28"/>
          <w:szCs w:val="28"/>
        </w:rPr>
        <w:t xml:space="preserve"> В 2023-2028 годах не ожидается значительного увеличения площади торговых объектов, в связи с умеренными темпами строительства стационарных торговых объектов. </w:t>
      </w:r>
    </w:p>
    <w:p w14:paraId="31D0EE8A" w14:textId="053ECC3F" w:rsidR="0045472E" w:rsidRPr="00AE152B" w:rsidRDefault="0045472E" w:rsidP="0045472E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AE152B">
        <w:rPr>
          <w:rFonts w:eastAsia="Times New Roman"/>
          <w:szCs w:val="28"/>
          <w:lang w:eastAsia="ru-RU"/>
        </w:rPr>
        <w:t>Оборот розничной торговли</w:t>
      </w:r>
      <w:r w:rsidR="002D67D9" w:rsidRPr="00AE152B">
        <w:rPr>
          <w:rFonts w:eastAsia="Times New Roman"/>
          <w:szCs w:val="28"/>
          <w:lang w:eastAsia="ru-RU"/>
        </w:rPr>
        <w:t xml:space="preserve"> (включая субъекты малого предпринимательства)</w:t>
      </w:r>
      <w:r w:rsidRPr="00AE152B">
        <w:rPr>
          <w:rFonts w:eastAsia="Times New Roman"/>
          <w:szCs w:val="28"/>
          <w:lang w:eastAsia="ru-RU"/>
        </w:rPr>
        <w:t xml:space="preserve"> по итогам 2022 года составил 117,1 млрд. рублей, индекс физического объема составил 99,5% (в сопоставимых ценах). Оценка и прогноз объема оборота розничной торговли демонстрируют положительную динамику и свидетельствуют об увеличении платежеспособного спроса населения при умеренном росте цен на товары.</w:t>
      </w:r>
    </w:p>
    <w:p w14:paraId="375BE266" w14:textId="0839B4CF" w:rsidR="0045472E" w:rsidRPr="00AE152B" w:rsidRDefault="0045472E" w:rsidP="008F6D8A">
      <w:pPr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>Сфера общественного питания включает 281 предприяти</w:t>
      </w:r>
      <w:r w:rsidR="002D67D9" w:rsidRPr="00AE152B">
        <w:rPr>
          <w:szCs w:val="28"/>
        </w:rPr>
        <w:t>е</w:t>
      </w:r>
      <w:r w:rsidRPr="00AE152B">
        <w:rPr>
          <w:szCs w:val="28"/>
        </w:rPr>
        <w:t xml:space="preserve">, в том числе 172 - рестораны, кафе, бары, 22 - столовые, закусочные, 83 </w:t>
      </w:r>
      <w:r w:rsidR="002D67D9" w:rsidRPr="00AE152B">
        <w:rPr>
          <w:szCs w:val="28"/>
        </w:rPr>
        <w:t xml:space="preserve">- </w:t>
      </w:r>
      <w:r w:rsidRPr="00AE152B">
        <w:rPr>
          <w:szCs w:val="28"/>
        </w:rPr>
        <w:t xml:space="preserve">предприятия общественного питания закрытого типа и </w:t>
      </w:r>
      <w:r w:rsidR="002D67D9" w:rsidRPr="00AE152B">
        <w:rPr>
          <w:szCs w:val="28"/>
        </w:rPr>
        <w:t>четыре</w:t>
      </w:r>
      <w:r w:rsidRPr="00AE152B">
        <w:rPr>
          <w:szCs w:val="28"/>
        </w:rPr>
        <w:t xml:space="preserve"> мобильных объекта, реализующих продукцию общественного питания. </w:t>
      </w:r>
      <w:r w:rsidR="008F6D8A" w:rsidRPr="008F6D8A">
        <w:rPr>
          <w:szCs w:val="28"/>
        </w:rPr>
        <w:t xml:space="preserve">По оценке на 2023 год количество предприятий увеличится до 290 объектов, дальнейший прогноз предполагает ежегодное увеличение на три-четыре объекта, главным образом </w:t>
      </w:r>
      <w:r w:rsidR="008F6D8A" w:rsidRPr="008F6D8A">
        <w:rPr>
          <w:szCs w:val="28"/>
        </w:rPr>
        <w:lastRenderedPageBreak/>
        <w:t>за счет роста популярности мобильных объектов общественного питания</w:t>
      </w:r>
      <w:r w:rsidR="008F6D8A" w:rsidRPr="00AE152B">
        <w:rPr>
          <w:szCs w:val="28"/>
        </w:rPr>
        <w:t xml:space="preserve"> (фудтраков).</w:t>
      </w:r>
    </w:p>
    <w:p w14:paraId="5B093AB8" w14:textId="77777777" w:rsidR="0045472E" w:rsidRPr="00AE152B" w:rsidRDefault="0045472E" w:rsidP="0045472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AE152B">
        <w:rPr>
          <w:rFonts w:eastAsia="Times New Roman"/>
          <w:szCs w:val="28"/>
          <w:lang w:eastAsia="ru-RU"/>
        </w:rPr>
        <w:t xml:space="preserve">Объем потребления платных услуг населением в 2022 году составил </w:t>
      </w:r>
      <w:r w:rsidRPr="00AE152B">
        <w:rPr>
          <w:rFonts w:eastAsia="Times New Roman"/>
          <w:szCs w:val="28"/>
          <w:lang w:eastAsia="ru-RU"/>
        </w:rPr>
        <w:br/>
        <w:t>24,8 млрд. рублей, индекс физического объема – 100,6% (в сопоставимых ценах). Ожидаемый объем платных услуг населению прогнозируется с умеренной положительной динамикой. Данная тенденция обусловлена незначительным ростом цен на бытовые услуги в связи с высокой конкуренцией и перенасыщением рынка.</w:t>
      </w:r>
    </w:p>
    <w:p w14:paraId="0C1E929E" w14:textId="77777777" w:rsidR="0045472E" w:rsidRPr="00AE152B" w:rsidRDefault="0045472E" w:rsidP="00454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AE152B">
        <w:rPr>
          <w:szCs w:val="28"/>
        </w:rPr>
        <w:t>Инфраструктура гостеприимства города включает 45 объектов коллективного размещения (гостиницы, отели и мини-отели, хостелы). Число размещенных в них туристов за 3 года выросло на 84% с 96,5 тыс. человек в 2020 году до 177,7 тыс. человек в 2022 году. Несмотря на увеличивающийся поток туристов, в среднесрочном периоде не прогнозируется значительного роста количества объектов коллективного размещения. Сдерживающим фактором является стремительно развивающийся рынок аренды жилья.</w:t>
      </w:r>
    </w:p>
    <w:p w14:paraId="62083E31" w14:textId="77777777" w:rsidR="0045472E" w:rsidRPr="00AE152B" w:rsidRDefault="0045472E" w:rsidP="0045472E">
      <w:pP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14:paraId="7146C2F4" w14:textId="77777777" w:rsidR="0045472E" w:rsidRPr="00AE152B" w:rsidRDefault="0045472E" w:rsidP="0045472E">
      <w:pP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AE152B">
        <w:rPr>
          <w:rFonts w:eastAsia="Times New Roman"/>
          <w:szCs w:val="28"/>
          <w:lang w:eastAsia="ru-RU"/>
        </w:rPr>
        <w:t>Малое и среднее предпринимательство</w:t>
      </w:r>
    </w:p>
    <w:p w14:paraId="42B1ECB9" w14:textId="77777777" w:rsidR="0045472E" w:rsidRPr="00AE152B" w:rsidRDefault="0045472E" w:rsidP="0045472E">
      <w:pP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14:paraId="3ED34634" w14:textId="5E5A9368" w:rsidR="0045472E" w:rsidRPr="00AE152B" w:rsidRDefault="0045472E" w:rsidP="0045472E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152B">
        <w:rPr>
          <w:rFonts w:ascii="Times New Roman" w:hAnsi="Times New Roman"/>
          <w:sz w:val="28"/>
          <w:szCs w:val="28"/>
        </w:rPr>
        <w:t xml:space="preserve">По данным Единого реестра субъектов малого и среднего предпринимательства количество субъектов на 01.01.2023 года составило 14 306 </w:t>
      </w:r>
      <w:r w:rsidR="002D67D9" w:rsidRPr="00AE152B">
        <w:rPr>
          <w:rFonts w:ascii="Times New Roman" w:hAnsi="Times New Roman"/>
          <w:sz w:val="28"/>
          <w:szCs w:val="28"/>
        </w:rPr>
        <w:t xml:space="preserve">единиц </w:t>
      </w:r>
      <w:r w:rsidRPr="00AE152B">
        <w:rPr>
          <w:rFonts w:ascii="Times New Roman" w:hAnsi="Times New Roman"/>
          <w:sz w:val="28"/>
          <w:szCs w:val="28"/>
        </w:rPr>
        <w:t>(что на 0,7 % выше уровня 2021 года), в том числе 6 265 юридических лиц и 8</w:t>
      </w:r>
      <w:r w:rsidR="002D67D9" w:rsidRPr="00AE152B">
        <w:rPr>
          <w:rFonts w:ascii="Times New Roman" w:hAnsi="Times New Roman"/>
          <w:sz w:val="28"/>
          <w:szCs w:val="28"/>
        </w:rPr>
        <w:t xml:space="preserve"> </w:t>
      </w:r>
      <w:r w:rsidRPr="00AE152B">
        <w:rPr>
          <w:rFonts w:ascii="Times New Roman" w:hAnsi="Times New Roman"/>
          <w:sz w:val="28"/>
          <w:szCs w:val="28"/>
        </w:rPr>
        <w:t xml:space="preserve">041 индивидуальных предпринимателей. </w:t>
      </w:r>
    </w:p>
    <w:p w14:paraId="4A39204B" w14:textId="77777777" w:rsidR="0045472E" w:rsidRPr="00AE152B" w:rsidRDefault="0045472E" w:rsidP="0045472E">
      <w:pPr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>На территории города Мурманска представлено более 80 видов экономической деятельности, осуществляемых (или задекларированных) субъектами МСП, наиболее привлекательными из которых являются: торговля, строительство, обрабатывающие производства, операции с недвижимым имуществом. Следует отметить, что крупнейшим сегментом малого бизнеса является оптовая и розничная торговля. Так, в текущем периоде количество субъектов МСП, имеющих в качестве основного вида деятельности торговлю, составляет 4 079 единиц или 29% от общего количества субъектов МСП в городе Мурманске.</w:t>
      </w:r>
    </w:p>
    <w:p w14:paraId="0C98AA33" w14:textId="4F496FE8" w:rsidR="0045472E" w:rsidRPr="00AE152B" w:rsidRDefault="0045472E" w:rsidP="0045472E">
      <w:pPr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>Средний бизнес</w:t>
      </w:r>
      <w:r w:rsidR="002D67D9" w:rsidRPr="00AE152B">
        <w:rPr>
          <w:szCs w:val="28"/>
        </w:rPr>
        <w:t>,</w:t>
      </w:r>
      <w:r w:rsidRPr="00AE152B">
        <w:rPr>
          <w:szCs w:val="28"/>
        </w:rPr>
        <w:t xml:space="preserve"> помимо торговли</w:t>
      </w:r>
      <w:r w:rsidR="002D67D9" w:rsidRPr="00AE152B">
        <w:rPr>
          <w:szCs w:val="28"/>
        </w:rPr>
        <w:t>,</w:t>
      </w:r>
      <w:r w:rsidRPr="00AE152B">
        <w:rPr>
          <w:szCs w:val="28"/>
        </w:rPr>
        <w:t xml:space="preserve"> отдает предпочтение сферам рыболовства, рыбоводства, транспортировки и хранения, а также обрабатывающим производствам. В указанных сферах работают более 70% всех зарегистрированных в городе средних предприятий.</w:t>
      </w:r>
    </w:p>
    <w:p w14:paraId="57C62EE8" w14:textId="77777777" w:rsidR="0045472E" w:rsidRPr="00AE152B" w:rsidRDefault="0045472E" w:rsidP="0045472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AE152B">
        <w:rPr>
          <w:szCs w:val="28"/>
        </w:rPr>
        <w:t xml:space="preserve">Наименее привлекательной сферой для малого и среднего бизнеса в городе остается производственный сектор экономики, </w:t>
      </w:r>
      <w:r w:rsidRPr="00AE152B">
        <w:rPr>
          <w:rFonts w:eastAsiaTheme="minorHAnsi"/>
          <w:szCs w:val="28"/>
        </w:rPr>
        <w:t>что обусловлено, прежде всего, более высоким уровнем затрат на электроэнергию и топливо, заработную плату, необходимость выплат компенсационного характера, связанных с условиями работы в районах Крайнего Севера.</w:t>
      </w:r>
    </w:p>
    <w:p w14:paraId="690265F3" w14:textId="77777777" w:rsidR="0045472E" w:rsidRPr="00AE152B" w:rsidRDefault="0045472E" w:rsidP="0045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 xml:space="preserve">Неблагоприятным фактором, влияющим на уровень развития МСП в городе Мурманске, остается отток молодежи, имеющей высокий предпринимательский потенциал. Правительством региона предпринимаются меры, направленные на улучшение уровня образования, открытие современных </w:t>
      </w:r>
      <w:r w:rsidRPr="00AE152B">
        <w:rPr>
          <w:szCs w:val="28"/>
        </w:rPr>
        <w:lastRenderedPageBreak/>
        <w:t xml:space="preserve">востребованных программ обучения, формирование рабочих мест для молодежи с достойной заработной платой. </w:t>
      </w:r>
    </w:p>
    <w:p w14:paraId="1C0E1C28" w14:textId="67E99F2D" w:rsidR="0045472E" w:rsidRPr="00AE152B" w:rsidRDefault="0045472E" w:rsidP="0045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 xml:space="preserve">С 2020 года осуществляется государственная поддержка предпринимательской деятельности в </w:t>
      </w:r>
      <w:r w:rsidR="002D67D9" w:rsidRPr="00AE152B">
        <w:rPr>
          <w:szCs w:val="28"/>
        </w:rPr>
        <w:t>АЗ РФ</w:t>
      </w:r>
      <w:r w:rsidRPr="00AE152B">
        <w:rPr>
          <w:szCs w:val="28"/>
        </w:rPr>
        <w:t xml:space="preserve"> и ТОР «Столица Арктики», в границы которой вошел город Мурманск. Поддержка для резидентов АЗ</w:t>
      </w:r>
      <w:r w:rsidR="002D67D9" w:rsidRPr="00AE152B">
        <w:rPr>
          <w:szCs w:val="28"/>
        </w:rPr>
        <w:t xml:space="preserve"> </w:t>
      </w:r>
      <w:r w:rsidRPr="00AE152B">
        <w:rPr>
          <w:szCs w:val="28"/>
        </w:rPr>
        <w:t>РФ и ТОР включает большой пакет административных и налоговых преференций, предоставление земельных участков, находящихся в государственной и муниципальной собственности, без торгов, по льготным ставкам аренды и выкупа, разрабатываются и реализуются механизмы для привлечения инвестиций.</w:t>
      </w:r>
    </w:p>
    <w:p w14:paraId="645AEE31" w14:textId="3FA2E9A1" w:rsidR="0045472E" w:rsidRPr="00AE152B" w:rsidRDefault="0045472E" w:rsidP="0045472E">
      <w:pPr>
        <w:spacing w:after="0" w:line="240" w:lineRule="auto"/>
        <w:ind w:firstLine="567"/>
        <w:jc w:val="both"/>
        <w:rPr>
          <w:szCs w:val="28"/>
          <w:bdr w:val="none" w:sz="0" w:space="0" w:color="auto" w:frame="1"/>
        </w:rPr>
      </w:pPr>
      <w:r w:rsidRPr="00AE152B">
        <w:rPr>
          <w:szCs w:val="28"/>
        </w:rPr>
        <w:t xml:space="preserve">Новый импульс развития в сфере предпринимательства в последние годы приобрела туристическая деятельность. На сегодняшний день на территории Мурманска зарегистрировано 154 туристических агентств и операторов, которые </w:t>
      </w:r>
      <w:r w:rsidRPr="00AE152B">
        <w:rPr>
          <w:szCs w:val="28"/>
          <w:bdr w:val="none" w:sz="0" w:space="0" w:color="auto" w:frame="1"/>
        </w:rPr>
        <w:t>реализуют большое количество городских экскурсий, в том числе связанных с военным прошлым Мурманска, обзорные экскурсии по городу с дегустацией морских деликатесов, пешие и лыжные маршруты по природным достопримечательностям.</w:t>
      </w:r>
    </w:p>
    <w:p w14:paraId="0F70A878" w14:textId="77777777" w:rsidR="0045472E" w:rsidRPr="00AE152B" w:rsidRDefault="0045472E" w:rsidP="0045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 xml:space="preserve">В настоящее время на территории города Мурманска реализуется 13 крупных инвестиционных проектов, имеющих туристическую направленность, среди которых строительство всесезонного лыжного спортивного центра с комплексом трамплинов, базы спорта и отдыха на озере Среднем, яхт-клуб, домиков для отдыха и парка развлечений, объектов придорожного сервиса и мест для временного размещения туристов. </w:t>
      </w:r>
    </w:p>
    <w:p w14:paraId="6FFBAED3" w14:textId="0E02D60D" w:rsidR="0045472E" w:rsidRPr="00AE152B" w:rsidRDefault="0045472E" w:rsidP="0045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 xml:space="preserve">В целях поддержки </w:t>
      </w:r>
      <w:r w:rsidR="002D67D9" w:rsidRPr="00AE152B">
        <w:rPr>
          <w:szCs w:val="28"/>
        </w:rPr>
        <w:t>бизнес-сообщества</w:t>
      </w:r>
      <w:r w:rsidRPr="00AE152B">
        <w:rPr>
          <w:szCs w:val="28"/>
        </w:rPr>
        <w:t xml:space="preserve"> администрацией города Мурманска реализуется подпрограмма «Развитие и поддержка малого и среднего предпринимательства в городе Мурманске» муниципальной программы «Развитие конкурентоспособной экономики» на 2023-2028 годы, в рамках которой оказывается информационная, консультационная, имущественная и финансовая поддержка начинающим и уже действующим предпринимателям.</w:t>
      </w:r>
    </w:p>
    <w:p w14:paraId="256ECD70" w14:textId="5D143ED3" w:rsidR="0045472E" w:rsidRPr="00AE152B" w:rsidRDefault="0045472E" w:rsidP="0045472E">
      <w:pPr>
        <w:shd w:val="clear" w:color="auto" w:fill="FFFFFF"/>
        <w:tabs>
          <w:tab w:val="left" w:pos="993"/>
        </w:tabs>
        <w:spacing w:after="0" w:line="240" w:lineRule="auto"/>
        <w:ind w:right="6" w:firstLine="567"/>
        <w:jc w:val="both"/>
        <w:rPr>
          <w:szCs w:val="28"/>
        </w:rPr>
      </w:pPr>
      <w:r w:rsidRPr="00AE152B">
        <w:rPr>
          <w:szCs w:val="28"/>
        </w:rPr>
        <w:t xml:space="preserve">Наиболее востребованной и эффективной является прямая финансовая поддержка субъектов МСП города Мурманска в виде субсидий и грантов, предоставляемых в рамках программных мероприятий. В целях расширения доступа предпринимателей и самозанятых граждан к мерам финансовой поддержки в 2023 году запущен новый муниципальный конкурс по возмещению затрат. Новая мера поддержки предусматривает расширенный перечень затрат, на обеспечение которых может предоставляться субсидия, в </w:t>
      </w:r>
      <w:r w:rsidR="00D2018B" w:rsidRPr="00D2018B">
        <w:rPr>
          <w:szCs w:val="28"/>
        </w:rPr>
        <w:t>частности - затраты, связанные</w:t>
      </w:r>
      <w:r w:rsidR="00D2018B" w:rsidRPr="00AE152B">
        <w:rPr>
          <w:szCs w:val="28"/>
        </w:rPr>
        <w:t xml:space="preserve"> с приобретением </w:t>
      </w:r>
      <w:r w:rsidRPr="00AE152B">
        <w:rPr>
          <w:szCs w:val="28"/>
        </w:rPr>
        <w:t>товарно-материальных ценностей, нового оборудования для обязательной маркировки товаров, фудтраков, новых автоприцепов, киосков и павильонов, размещенных в том числе на территории удаленных районов (Росляково, Абрам-Мыс, Дровяное), оплатой паушального взноса, благоустройством территории.</w:t>
      </w:r>
    </w:p>
    <w:p w14:paraId="7E2968A5" w14:textId="77777777" w:rsidR="0045472E" w:rsidRPr="00AE152B" w:rsidRDefault="0045472E" w:rsidP="0045472E">
      <w:pPr>
        <w:spacing w:after="0" w:line="240" w:lineRule="auto"/>
        <w:ind w:firstLine="709"/>
        <w:jc w:val="both"/>
        <w:rPr>
          <w:szCs w:val="28"/>
        </w:rPr>
      </w:pPr>
      <w:r w:rsidRPr="00AE152B">
        <w:rPr>
          <w:szCs w:val="28"/>
        </w:rPr>
        <w:t xml:space="preserve">Среднесписочная численность работников по малым и средним предприятиям прогнозируется с учетом динамики показателей демографии и рынка труда. В настоящее время предприятия малого и среднего </w:t>
      </w:r>
      <w:r w:rsidRPr="00AE152B">
        <w:rPr>
          <w:szCs w:val="28"/>
        </w:rPr>
        <w:lastRenderedPageBreak/>
        <w:t>предпринимательства испытывают недостаток квалифицированных кадров в сфере строительства, торговли, общественного питания и др. Данная тенденция является сдерживающим фактором развития бизнеса и увеличения численности работников.</w:t>
      </w:r>
    </w:p>
    <w:p w14:paraId="066A8CBA" w14:textId="07E66201" w:rsidR="006D16A3" w:rsidRPr="0045472E" w:rsidRDefault="0045472E" w:rsidP="0045472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szCs w:val="28"/>
        </w:rPr>
      </w:pPr>
      <w:r w:rsidRPr="00AE152B">
        <w:rPr>
          <w:szCs w:val="28"/>
        </w:rPr>
        <w:t>С учетом мер поддержки малого и среднего бизнеса со стороны органов власти различных уровней, а также ростом количества зарегистрированных плательщиков «Налога на профессиональный доход» в прогнозном периоде ожидается умеренная положительная динамика количества субъектов малого предпринимательства.</w:t>
      </w:r>
    </w:p>
    <w:p w14:paraId="418F76A7" w14:textId="77777777" w:rsidR="0045472E" w:rsidRDefault="0045472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40A5786A" w14:textId="2C4A82FA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Инвестиции и строительство</w:t>
      </w:r>
    </w:p>
    <w:p w14:paraId="270940DE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6B5D0382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Объем инвестиций в основной капитал за 2022 год составил 90 845,3 млн. рублей (99,02% к 2021 году).</w:t>
      </w:r>
    </w:p>
    <w:p w14:paraId="6A5C8BAF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Отмечено снижение доли собственных средств до 26,3 млрд. рублей (69,9% к 2021 году) и рост привлеченных средств до 64,5 млрд. рублей (119,6% к 2021 году).</w:t>
      </w:r>
    </w:p>
    <w:p w14:paraId="7B67A358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2022 году наиболее инвестиционно-активными были предприятия в сфере транспортировки и хранения, на долю которых пришлось 41,0%, увеличившие капиталовложения до 36,0 млрд. рублей; в области деятельности профессиональной, научной и технической, на долю которых пришлось 13,7%, увеличившие свои капиталовложения до 12,1 млрд. рублей; в сфере обрабатывающих производств, на долю которых пришлось 10,2%, увеличившие свои капиталовложения до 9,0 млрд. рублей; в сфере обеспечения электрической энергией, газом и паром, кондиционирования воздухом, на долю которых пришлось 8,1%, увеличившие капиталовложения до 7,1 млрд. рублей.</w:t>
      </w:r>
    </w:p>
    <w:p w14:paraId="51F260F4" w14:textId="220B0CF0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За 2022 год значительное снижение инвестиций в основной капитал по сравнению с 2021 годом отмечено в области информации и связи до 1,8 млрд. рублей (20,8% к 2021 году), в области сельского, лесного хозяйства, охоты, рыболовства и рыбоводства до 6,8 млрд. рублей (57,5% к 2021 году), торговли оптовой и розничной; ремонту автотранспортных средств и мотоциклов </w:t>
      </w:r>
      <w:r w:rsidRPr="003B2ABF">
        <w:rPr>
          <w:rFonts w:eastAsia="Times New Roman"/>
          <w:bCs/>
          <w:szCs w:val="28"/>
          <w:lang w:eastAsia="ru-RU"/>
        </w:rPr>
        <w:br/>
        <w:t>до 991,4 млн. рублей (61,2 % к 2021 году).</w:t>
      </w:r>
    </w:p>
    <w:p w14:paraId="5A7E3F64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Деятельность администрации города Мурманска в сфере инвестиционной политики направлена на достижение стратегической цели - повышение инвестиционной привлекательности города Мурманска и развитие его как деловой столицы Заполярья.</w:t>
      </w:r>
    </w:p>
    <w:p w14:paraId="3852B57F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данной сфере действовала подпрограмма «Повышение инвестиционной и туристской привлекательности города Мурманска» муниципальной программы «Развитие конкурентоспособной экономики» на 2018-2024 годы, на реализацию мероприятий которой в 2022 году направлено 2 199,0 тыс. рублей.</w:t>
      </w:r>
    </w:p>
    <w:p w14:paraId="041769FF" w14:textId="7675D8CC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целях реализации инвестиционной политики в городе Мурманске в 2022 году актуализированы инвестиционный паспорт города, реестр и каталог инвестиционных проектов, реализуемых и планируемых к реализации в городе Мурманске. В целях информационной и консультационной поддержки инвесторов и популяризации предпринимательской деятельности обеспечено </w:t>
      </w:r>
      <w:r w:rsidRPr="003B2ABF">
        <w:rPr>
          <w:rFonts w:eastAsia="Times New Roman"/>
          <w:bCs/>
          <w:szCs w:val="28"/>
          <w:lang w:eastAsia="ru-RU"/>
        </w:rPr>
        <w:lastRenderedPageBreak/>
        <w:t xml:space="preserve">функционирование инвестиционного портала города Мурманска, который в 2022 году посетил 1 541 человек (количество просмотров портала составило 3 191 единица). </w:t>
      </w:r>
    </w:p>
    <w:p w14:paraId="114A1782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По итогам мониторинга обращений инвесторов в 2022 году восемь инвестиционных проектов заявлены инициаторами впервые:</w:t>
      </w:r>
    </w:p>
    <w:p w14:paraId="62748EB9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устройство открытой складской площадки для хранения контейнеров (ПАО «ГМК «Норильский никель»);</w:t>
      </w:r>
    </w:p>
    <w:p w14:paraId="2C942766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устройство железнодорожных путей необщего пользования на площадке № 2 Мурманского транспортного филиала ПАО «ГМК «Норильский никель»;</w:t>
      </w:r>
    </w:p>
    <w:p w14:paraId="1A5D89B4" w14:textId="309A618B" w:rsidR="00A6760D" w:rsidRPr="003B2ABF" w:rsidRDefault="00A6760D" w:rsidP="00B0234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реконструкция акватории причала №1 Мурманского транспортного филиала ПАО «ГМК «Норильский никель» (реализация проекта начнется в 2025 году);</w:t>
      </w:r>
    </w:p>
    <w:p w14:paraId="11788460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создание в г. Мурманске многофункционального комплекса по добыче, хранению и переработке краба и рыбы, строительство новых и модернизация существующих краболовных судов, переработка биоотходов, производство сырья для выпуска фармацевтической/фармакологической продукции и компонентов для кормов с/х животных (ООО «Антей Север»);</w:t>
      </w:r>
    </w:p>
    <w:p w14:paraId="577B2360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реализация технических мероприятий для перехода потребителей на закрытую систему теплоснабжения (АО «Мурманэнергосбыт»);</w:t>
      </w:r>
    </w:p>
    <w:p w14:paraId="2A09052D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повышение эффективности работы систем централизованного теплоснабжения, реализация технических мероприятий для перехода потребителей на закрытую систему теплоснабжения (горячего водоснабжения): котельная «Северная» г. Мурманска;</w:t>
      </w:r>
    </w:p>
    <w:p w14:paraId="37184705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модернизация средней общеобразовательной школы города Мурманска № 1 (проект реализован в 2023 году);</w:t>
      </w:r>
    </w:p>
    <w:p w14:paraId="39696315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замена оконных блоков в общеобразовательных учреждениях города Мурманска.</w:t>
      </w:r>
    </w:p>
    <w:p w14:paraId="1B0AF56C" w14:textId="77777777" w:rsidR="00A6760D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части поддержки развития муниципально-частного партнерства следует отметить, что в настоящее время инвестиционный проект «Строительство крытого катка с искусственным льдом МАУ ГСЦ «Авангард», реализованный в рамках концессионного соглашения с ООО «Пропаганда» от 25.02.2019, находится в эксплуатационной фазе. Кроме того, в объект концессионного соглашения включен новый элемент: отдельно стоящее здание физкультурно-оздоровительного комплекса (в соответствии с ПАГМ от 27.12.2022 № 4387). Планируется строительство физкультурно-спортивного комплекса, расположенного в непосредственной близости от крытого катка «Метеор», общей площадью около 1000 кв. м. с единовременной пропускной способностью 40-50 человек. </w:t>
      </w:r>
    </w:p>
    <w:p w14:paraId="470E1BA2" w14:textId="12C74757" w:rsidR="008F6D8A" w:rsidRPr="003B2ABF" w:rsidRDefault="008F6D8A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</w:t>
      </w:r>
      <w:r w:rsidRPr="008F6D8A">
        <w:rPr>
          <w:rFonts w:eastAsia="Times New Roman"/>
          <w:bCs/>
          <w:szCs w:val="28"/>
          <w:lang w:eastAsia="ru-RU"/>
        </w:rPr>
        <w:t xml:space="preserve"> сфере культуры одним из приоритетных является проект реконструкции объекта культурного наследия здания кинотеатра «Родина», который станет современным культурно-досуговым центром притяжения детей и молодежи. Благодаря подписанному соглашению о сотрудничестве между Мурманской областью и ПАО «НОВАТЭК», данный проект будет реализован.</w:t>
      </w:r>
    </w:p>
    <w:p w14:paraId="0E75ED14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2022 году успешно реализованы и перешли в категорию «завершенные» пять инвестпроектов, в том числе:</w:t>
      </w:r>
    </w:p>
    <w:p w14:paraId="5D14DE9F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lastRenderedPageBreak/>
        <w:t>- строительство детского сада на 80 мест в районе дома № 44 по улице Капитана Орликовой;</w:t>
      </w:r>
    </w:p>
    <w:p w14:paraId="04AD691C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офтальмологический центр Мурманской области;</w:t>
      </w:r>
    </w:p>
    <w:p w14:paraId="0BA60781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строительство детского сада на 196 мест в районе домов № 31, 32 по улице Достоевского;</w:t>
      </w:r>
    </w:p>
    <w:p w14:paraId="7B7A9968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комплексное развитие СК «Долина Уюта» в г. Мурманске;</w:t>
      </w:r>
    </w:p>
    <w:p w14:paraId="295C17CE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строительство подстанции «Мурманская».</w:t>
      </w:r>
    </w:p>
    <w:p w14:paraId="4D09F867" w14:textId="748DE345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Инвестиционные проекты, реализуемые и планируемые к реализации на территории города Мурманска за счет средств бюджета муниципального образования город Мурманск, включены в муниципальные программы города Мурманска</w:t>
      </w:r>
      <w:r w:rsidR="00C70798">
        <w:rPr>
          <w:rFonts w:eastAsia="Times New Roman"/>
          <w:bCs/>
          <w:szCs w:val="28"/>
          <w:lang w:eastAsia="ru-RU"/>
        </w:rPr>
        <w:t>.</w:t>
      </w:r>
      <w:r w:rsidRPr="003B2ABF">
        <w:rPr>
          <w:rFonts w:eastAsia="Times New Roman"/>
          <w:bCs/>
          <w:szCs w:val="28"/>
          <w:lang w:eastAsia="ru-RU"/>
        </w:rPr>
        <w:t xml:space="preserve"> </w:t>
      </w:r>
    </w:p>
    <w:p w14:paraId="06392882" w14:textId="4D53A79B" w:rsidR="00A6760D" w:rsidRPr="003B2ABF" w:rsidRDefault="00A6760D" w:rsidP="00B0234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Администрация города Мурманска проводит активную инвестиционную политику, направленную на создание условий для привлечения инвесторов и формирование конкурентоспособной экономики. </w:t>
      </w:r>
    </w:p>
    <w:p w14:paraId="2AE6BFA0" w14:textId="1CFC0C5C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целях привлечения дополнительных инвестиций в 2022 году предоставлены льготы по арендной плате за земельные участки, находящиеся в муниципальной собственности, и земельные участки, государственная собственность на которые не разграничена, на развитие основных средств ОА «Отель «АРКТИКА», ООО «ПоларСтрой», АО «Фармация Мурманска», МРООГО «Всероссийское физкультурно-спортивное общество «Динамо», АО «Мурманскавтотранс», АО «Электротранспорт города Мурманска», АО «Бюро спецобслуживания», МРОО «Физкультурно-оздоровительная организация «Здоровый город». Кроме того, предоставлена льгота по арендной плате за пользование муниципальным имуществом в городе Мурманске АО «Мурманскавтотранс». </w:t>
      </w:r>
    </w:p>
    <w:p w14:paraId="71521638" w14:textId="1A697DD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Ежегодно в соответствии со Стандартом развития конкуренции в субъектах Российской Федерации (распоряжение Правительства Российской Федерации от 17.04.2019 № 768-р) формируется рейтинг органов местного самоуправления Мурманской области по содействию развитию конкуренции и обеспечению благоприятного инвестиционного климата. В 2022 году город Мурманск </w:t>
      </w:r>
      <w:r w:rsidR="00C70798">
        <w:rPr>
          <w:rFonts w:eastAsia="Times New Roman"/>
          <w:bCs/>
          <w:szCs w:val="28"/>
          <w:lang w:eastAsia="ru-RU"/>
        </w:rPr>
        <w:t>занял первое место</w:t>
      </w:r>
      <w:r w:rsidR="00C70798" w:rsidRPr="003B2ABF">
        <w:rPr>
          <w:rFonts w:eastAsia="Times New Roman"/>
          <w:bCs/>
          <w:szCs w:val="28"/>
          <w:lang w:eastAsia="ru-RU"/>
        </w:rPr>
        <w:t xml:space="preserve"> </w:t>
      </w:r>
      <w:r w:rsidRPr="003B2ABF">
        <w:rPr>
          <w:rFonts w:eastAsia="Times New Roman"/>
          <w:bCs/>
          <w:szCs w:val="28"/>
          <w:lang w:eastAsia="ru-RU"/>
        </w:rPr>
        <w:t>среди городских округов Мурманской области</w:t>
      </w:r>
      <w:r w:rsidR="00C70798">
        <w:rPr>
          <w:rFonts w:eastAsia="Times New Roman"/>
          <w:bCs/>
          <w:szCs w:val="28"/>
          <w:lang w:eastAsia="ru-RU"/>
        </w:rPr>
        <w:t>,</w:t>
      </w:r>
      <w:r w:rsidRPr="003B2ABF">
        <w:rPr>
          <w:rFonts w:eastAsia="Times New Roman"/>
          <w:bCs/>
          <w:szCs w:val="28"/>
          <w:lang w:eastAsia="ru-RU"/>
        </w:rPr>
        <w:t xml:space="preserve"> количество баллов по результатам данного рейтинга</w:t>
      </w:r>
      <w:r w:rsidR="00C70798">
        <w:rPr>
          <w:rFonts w:eastAsia="Times New Roman"/>
          <w:bCs/>
          <w:szCs w:val="28"/>
          <w:lang w:eastAsia="ru-RU"/>
        </w:rPr>
        <w:t xml:space="preserve"> составило</w:t>
      </w:r>
      <w:r w:rsidRPr="003B2ABF">
        <w:rPr>
          <w:rFonts w:eastAsia="Times New Roman"/>
          <w:bCs/>
          <w:szCs w:val="28"/>
          <w:lang w:eastAsia="ru-RU"/>
        </w:rPr>
        <w:t xml:space="preserve"> 165,5 баллов, среднее значение среди городских округов - 133,56 баллов.</w:t>
      </w:r>
    </w:p>
    <w:p w14:paraId="190C4DAA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Мурманская область является лидером по количеству привлеченных резидентов преференциальных режимов в Арктической зоне.</w:t>
      </w:r>
    </w:p>
    <w:p w14:paraId="080C3DC4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Показателями эффективности преференциальных режимов являются реализация новых проектов, создание новых рабочих мест и перспективы, которые открываются для людей, живущих на Севере. </w:t>
      </w:r>
    </w:p>
    <w:p w14:paraId="58AA34DC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Так, в настоящее время в реестр резидентов ТОР «Столица Арктики» включены семь организаций, в том числе одна из них реализует инвестиционный проект на территории муниципального образования город Мурманск (ООО «Ренейссанс Арктик» с проектом «Создание и оборудование технологического комплекса для производства и укрупнительной сборке металлоконструкций (сабдэков) и трубопроводных узлов»). Планируется создание 4 610 новых рабочих мест. Общий объем инвестиций составит более </w:t>
      </w:r>
      <w:r w:rsidRPr="003B2ABF">
        <w:rPr>
          <w:rFonts w:eastAsia="Times New Roman"/>
          <w:bCs/>
          <w:szCs w:val="28"/>
          <w:lang w:eastAsia="ru-RU"/>
        </w:rPr>
        <w:lastRenderedPageBreak/>
        <w:t xml:space="preserve">222,5 млрд. рублей. </w:t>
      </w:r>
    </w:p>
    <w:p w14:paraId="14BABFA8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93 резидента АЗРФ зарегистрировано на территории города Мурманска, общий объем инвестиций составляет около 32 млрд. рублей. Большинство компаний реализуют проекты в сфере малого и среднего предпринимательства, туризма. </w:t>
      </w:r>
    </w:p>
    <w:p w14:paraId="5B573A70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Крупнейшие инвестиционные проекты в городе планируются к реализации ведущими транспортными предприятиями города в целях развития портовой инфраструктуры: строительство головного ледокола Лидер и серийных универсальных атомных ледоколов ФГУП «Атомфлот», модернизация технологического оборудования и реконструкция причалов и объектов портовой инфраструктуры АО «Мурманский морской торговый порт», реконструкция акватории причалов и устройство железнодорожных путей Мурманским транспортным филиалом ПАО «ГМК «Норильский никель», реконструкция и техническое перевооружение 2-камерного сухого дока на «35 судоремонтном заводе - филиале АО «Центр судоремонта «Звездочка», г. Мурманск», обновление подвижного состава транспортного парка АО «Электротранспорт».</w:t>
      </w:r>
    </w:p>
    <w:p w14:paraId="42E57B2D" w14:textId="4398E8C4" w:rsidR="00A6760D" w:rsidRPr="003B2ABF" w:rsidRDefault="00B0234A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целях дальнейшего развития инвестиционной деятельности на территории муниципального образования город Мурманск </w:t>
      </w:r>
      <w:r>
        <w:rPr>
          <w:rFonts w:eastAsia="Times New Roman"/>
          <w:bCs/>
          <w:szCs w:val="28"/>
          <w:lang w:eastAsia="ru-RU"/>
        </w:rPr>
        <w:t>а</w:t>
      </w:r>
      <w:r w:rsidR="00A6760D" w:rsidRPr="003B2ABF">
        <w:rPr>
          <w:rFonts w:eastAsia="Times New Roman"/>
          <w:bCs/>
          <w:szCs w:val="28"/>
          <w:lang w:eastAsia="ru-RU"/>
        </w:rPr>
        <w:t xml:space="preserve">дминистрацией города Мурманска сформирован перечень объектов, в отношении которых планируется заключение концессионных соглашений в 2023 году (утвержден постановлением администрации города Мурманска от 28.12.2022 № 4409). </w:t>
      </w:r>
    </w:p>
    <w:p w14:paraId="2EBF4CD4" w14:textId="039EF023" w:rsidR="00A6760D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2023 году в городе Мурманске реализуются 8 региональных проектов, направленных на достижение показателей пяти национальных проектов, которые предусмотрены Указом Президента </w:t>
      </w:r>
      <w:r w:rsidR="00B0234A">
        <w:rPr>
          <w:rFonts w:eastAsia="Times New Roman"/>
          <w:bCs/>
          <w:szCs w:val="28"/>
          <w:lang w:eastAsia="ru-RU"/>
        </w:rPr>
        <w:t>РФ</w:t>
      </w:r>
      <w:r w:rsidRPr="003B2ABF">
        <w:rPr>
          <w:rFonts w:eastAsia="Times New Roman"/>
          <w:bCs/>
          <w:szCs w:val="28"/>
          <w:lang w:eastAsia="ru-RU"/>
        </w:rPr>
        <w:t xml:space="preserve"> от 21.07.2020 № 474:</w:t>
      </w:r>
    </w:p>
    <w:p w14:paraId="4E6D9394" w14:textId="5C4639B6" w:rsidR="00E06432" w:rsidRPr="003B2ABF" w:rsidRDefault="00E06432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1. Региональный проект «Культурная среда».</w:t>
      </w:r>
    </w:p>
    <w:p w14:paraId="5A907D0F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В 2023 году проектом предусмотрено:</w:t>
      </w:r>
    </w:p>
    <w:p w14:paraId="741A89EE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- создание одной модельной библиотеки на базе информационного интеллект-центра № 5 МБУК «Центральная детская библиотека города Мурманска»;</w:t>
      </w:r>
    </w:p>
    <w:p w14:paraId="392A555D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- оснащение МБУ ДО ДШИ № 1 музыкальными инструментами, оборудованием и учебными материалами;</w:t>
      </w:r>
    </w:p>
    <w:p w14:paraId="2819ABD3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- проведение капитального ремонта здания по адресу: ул. Полярной дивизии, д. 1/16 под размещение художественной школы.</w:t>
      </w:r>
    </w:p>
    <w:p w14:paraId="16BA42C1" w14:textId="0D20DCAD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- строительство здания центра культурного развития в городе Мурманске на ул. Аскольдовцев.</w:t>
      </w:r>
    </w:p>
    <w:p w14:paraId="029F940C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2. Региональный проект «Современная школа».</w:t>
      </w:r>
    </w:p>
    <w:p w14:paraId="3EFF5119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 xml:space="preserve">В рамках реализации регионального проекта «Современная школа» выполняются мероприятия по строительству школы на 500 мест в районе улицы Советской. </w:t>
      </w:r>
    </w:p>
    <w:p w14:paraId="63D70386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3. Региональный проект «Патриотическое воспитание граждан Российской Федерации»</w:t>
      </w:r>
    </w:p>
    <w:p w14:paraId="4AAF1B8C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 xml:space="preserve">Проектом предусмотрено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</w:r>
      <w:r w:rsidRPr="00E06432">
        <w:rPr>
          <w:rFonts w:eastAsia="Times New Roman"/>
          <w:bCs/>
          <w:szCs w:val="28"/>
          <w:lang w:eastAsia="ru-RU"/>
        </w:rPr>
        <w:lastRenderedPageBreak/>
        <w:t>учреждениях города Мурманска (49 учреждений).</w:t>
      </w:r>
    </w:p>
    <w:p w14:paraId="3AC0AAF8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4. Региональный проект «Жилье»</w:t>
      </w:r>
    </w:p>
    <w:p w14:paraId="0C6BAF28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 xml:space="preserve">Проектом предусмотрено обеспечение земельных участков под строительство, предназначенных для предоставления на безвозмездной основе многодетным семьям, объектами коммунальной инфраструктуры. </w:t>
      </w:r>
    </w:p>
    <w:p w14:paraId="1A2B5AD0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5. Региональный проект «Формирование комфортной городской среды»</w:t>
      </w:r>
    </w:p>
    <w:p w14:paraId="0C47A9C5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В 2023 году проектом предусмотрено:</w:t>
      </w:r>
    </w:p>
    <w:p w14:paraId="344893A1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- комплексное благоустройство 7 дворовых территорий;</w:t>
      </w:r>
    </w:p>
    <w:p w14:paraId="5F544FA5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- комплексное благоустройство трех общественных территорий (зеленой зоны вдоль ручья Чистого; территории озера Семеновского «Домик Моржей»; экологической тропы на территории спортивного комплекса «Снежинка»).</w:t>
      </w:r>
    </w:p>
    <w:p w14:paraId="408043B5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В 2024 году планируется комплексное благоустройство 18 дворовых и двух общественных территорий.</w:t>
      </w:r>
    </w:p>
    <w:p w14:paraId="13B25DA2" w14:textId="35D2D30E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6. Региональный проект «Обеспечение устойчивого сокращения непригодного для проживания жилищного фонда»</w:t>
      </w:r>
      <w:r>
        <w:rPr>
          <w:rFonts w:eastAsia="Times New Roman"/>
          <w:bCs/>
          <w:szCs w:val="28"/>
          <w:lang w:eastAsia="ru-RU"/>
        </w:rPr>
        <w:t>.</w:t>
      </w:r>
    </w:p>
    <w:p w14:paraId="52C611D9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 xml:space="preserve">7. Региональный проект «Чистая страна». Проектом предусмотрено выполнение работ по рекультивации городской свалки твердых отходов. </w:t>
      </w:r>
    </w:p>
    <w:p w14:paraId="13A7A526" w14:textId="77777777" w:rsidR="00E06432" w:rsidRP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>8. Региональный проект «Дорожная сеть»</w:t>
      </w:r>
    </w:p>
    <w:p w14:paraId="49A764CC" w14:textId="73F79DF8" w:rsidR="00E06432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06432">
        <w:rPr>
          <w:rFonts w:eastAsia="Times New Roman"/>
          <w:bCs/>
          <w:szCs w:val="28"/>
          <w:lang w:eastAsia="ru-RU"/>
        </w:rPr>
        <w:t xml:space="preserve">В 2023 году проектом предусмотрено проведение ремонта </w:t>
      </w:r>
      <w:r>
        <w:rPr>
          <w:rFonts w:eastAsia="Times New Roman"/>
          <w:bCs/>
          <w:szCs w:val="28"/>
          <w:lang w:eastAsia="ru-RU"/>
        </w:rPr>
        <w:br/>
      </w:r>
      <w:r w:rsidRPr="00E06432">
        <w:rPr>
          <w:rFonts w:eastAsia="Times New Roman"/>
          <w:bCs/>
          <w:szCs w:val="28"/>
          <w:lang w:eastAsia="ru-RU"/>
        </w:rPr>
        <w:t>18 автомобильных дорог протяженностью 14,35 км. (срок выполнения работ по контракту – 30.09.2023).</w:t>
      </w:r>
      <w:r>
        <w:rPr>
          <w:rFonts w:eastAsia="Times New Roman"/>
          <w:bCs/>
          <w:szCs w:val="28"/>
          <w:lang w:eastAsia="ru-RU"/>
        </w:rPr>
        <w:t xml:space="preserve"> </w:t>
      </w:r>
    </w:p>
    <w:p w14:paraId="0A023C44" w14:textId="13D41146" w:rsidR="00A6760D" w:rsidRPr="003B2ABF" w:rsidRDefault="00A6760D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На реализацию региональных проектов на территории города Мурманска заключены соответствующие соглашения. </w:t>
      </w:r>
    </w:p>
    <w:p w14:paraId="12CEB26E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прогнозном периоде инвестиционная активность в регионе продолжится благодаря главным генераторам инвестиционного роста – сформированным пакетам «арктических преференций» и преференциям для резидентов ТОР «Столица Арктики».</w:t>
      </w:r>
    </w:p>
    <w:p w14:paraId="1E9FE281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Предположительно, в 2023 году индекс физического объема инвестиций составит 90,8%. Незначительная волатильность интенсивности роста и снижения в течение прогнозного периода будет обусловлена изменением характера выполняемых работ в зависимости от этапов реализации инвестиционных проектов.</w:t>
      </w:r>
    </w:p>
    <w:p w14:paraId="795C6E99" w14:textId="5BF50726" w:rsidR="00A6760D" w:rsidRPr="003B2ABF" w:rsidRDefault="00A6760D" w:rsidP="00B0234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2028 году объем инвестиций в основной капитал за счет всех источников финансирования, предположительно, составит 96,2 млрд. рублей в консервативном варианте прогноза, 97,1 млрд. рублей - в базовом варианте прогноза. </w:t>
      </w:r>
    </w:p>
    <w:p w14:paraId="6A0BD505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Продолжится реализация проекта «Комплексное развитие Мурманского транспортного узла», включающего строительство и реконструкцию объектов портовой инфраструктуры на западном и восточном берегу Кольского залива. </w:t>
      </w:r>
    </w:p>
    <w:p w14:paraId="64230DF8" w14:textId="043B9065" w:rsidR="00A6760D" w:rsidRPr="003B2ABF" w:rsidRDefault="00A91583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</w:t>
      </w:r>
      <w:r w:rsidR="00A6760D" w:rsidRPr="003B2ABF">
        <w:rPr>
          <w:rFonts w:eastAsia="Times New Roman"/>
          <w:bCs/>
          <w:szCs w:val="28"/>
          <w:lang w:eastAsia="ru-RU"/>
        </w:rPr>
        <w:t xml:space="preserve"> 2022 году решение о газификации Мурманской области магистральным природным газом поддержано Президентом Российской Федерации. ПАО «Газпром» приступил к проектированию магистрального газопровода «Волхов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A6760D" w:rsidRPr="003B2ABF">
        <w:rPr>
          <w:rFonts w:eastAsia="Times New Roman"/>
          <w:bCs/>
          <w:szCs w:val="28"/>
          <w:lang w:eastAsia="ru-RU"/>
        </w:rPr>
        <w:t>– Мурманск».</w:t>
      </w:r>
    </w:p>
    <w:p w14:paraId="2FDBD25D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рамках федерального проекта «Инфраструктурное меню» в целях реализации проектов по строительству, реконструкции, модернизации объектов </w:t>
      </w:r>
      <w:r w:rsidRPr="003B2ABF">
        <w:rPr>
          <w:rFonts w:eastAsia="Times New Roman"/>
          <w:bCs/>
          <w:szCs w:val="28"/>
          <w:lang w:eastAsia="ru-RU"/>
        </w:rPr>
        <w:lastRenderedPageBreak/>
        <w:t>инфраструктуры между публично-правовой компанией «Фонд развития территорий», Мурманской областью и АО «Мурманэнергосбыт» заключено соглашение о реализации проекта «Капитальный ремонт линейных объектов г. Мурманска» (срок реализации проекта – 2022 - 2024 годы).</w:t>
      </w:r>
    </w:p>
    <w:p w14:paraId="1F220983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Характер интенсивности роста в прогнозном периоде в основном будет зависеть от этапов реализации крупных инвестиционных проектов, в том числе с выходом активной фазы инвестирования по ряду проектов за пределы прогнозного периода, а также от влияния ограничительных мер, введенных в отношении Российской Федерации, на деятельность предприятий, реализующих инвестиционные проекты в регионе.</w:t>
      </w:r>
    </w:p>
    <w:p w14:paraId="77D3A441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Кроме того, к основным рискам недостижения прогнозных значений показателей относятся:</w:t>
      </w:r>
    </w:p>
    <w:p w14:paraId="0D513E43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отсрочка реализации инвестиционных проектов на территории города Мурманска;</w:t>
      </w:r>
    </w:p>
    <w:p w14:paraId="00CE5281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сокращение объемов и/или перенос сроков планового финансирования проектов, реализуемых за счет средств федерального и областного бюджетов.</w:t>
      </w:r>
    </w:p>
    <w:p w14:paraId="063FE141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Объем работ строительного подряда в действующих ценах увеличился до 17515,0 млн. рублей (в 4,4 раз больше, чем 2021 году). Увеличение связано с изменением объёма работ на объектах обрабатывающих производств и транспортной инфраструктуры. За 2022 год введено 50 зданий общей площадью 22,4 тыс. кв.м (92,3% к 2021 году), в том числе 17 жилых домов (включая индивидуальные жилые дома, построенные населением, введенные в эксплуатацию в установленном порядке) общей площадью 5,1 тыс. кв.м (в 1,6 р. к 2021 году). Также введено 33 нежилых здания (113,8% к 2021 году) общей площадью 17,3 тыс. кв.м, включая 20 коммерческих и 5 промышленных зданий. </w:t>
      </w:r>
    </w:p>
    <w:p w14:paraId="5BB12B8B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течение 2022 года выданы разрешения на ввод в эксплуатацию следующих наиболее крупных социально-значимых объектов:</w:t>
      </w:r>
    </w:p>
    <w:p w14:paraId="36E049EC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«Автоматизированный радиотехнический пост (АРТП) «Обзор». Стальная башня.» ФГУП Росморпорт;</w:t>
      </w:r>
    </w:p>
    <w:p w14:paraId="5580B5D4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«Строительство детского сада на 80 мест в районе дома № 44 по улице Капитана Орликовой в городе Мурманске»;</w:t>
      </w:r>
    </w:p>
    <w:p w14:paraId="45CC70B7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«Строительство детского сада в районе домов № 31,32 по улице Достоевского в городе Мурманске»;</w:t>
      </w:r>
    </w:p>
    <w:p w14:paraId="4F0CE922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«Реконструкция здания магазина под предприятие общественного питания вместимостью до 50 посадочных мест по ул. Маклакова, 48а, г. Мурманск»;</w:t>
      </w:r>
    </w:p>
    <w:p w14:paraId="3D589039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«Строительство рыбообрабатывающего завода производительностью более 25 тонн готовой рыбной продукции в сутки «Рыбообрабатывающий комплекс «Арктика»;</w:t>
      </w:r>
    </w:p>
    <w:p w14:paraId="09A1B081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«Многоквартирный жилой дом, расположенный в Октябрьском административном округе г. Мурманска, рядом с домом 49/1 по ул. Старостина»;</w:t>
      </w:r>
    </w:p>
    <w:p w14:paraId="1AFCF784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«Магазин по ул. Бочкова, д. 19, г. Мурманск. Реконструкция»;</w:t>
      </w:r>
    </w:p>
    <w:p w14:paraId="75B054B2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«База отдыха по адресу: г. Мурманск».</w:t>
      </w:r>
    </w:p>
    <w:p w14:paraId="08AE3764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Выданы разрешения на строительство следующих объектов:</w:t>
      </w:r>
    </w:p>
    <w:p w14:paraId="1E8F9B39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lastRenderedPageBreak/>
        <w:t>- «Магазин по ул. Калинина, д. 37, г. Мурманск»;</w:t>
      </w:r>
    </w:p>
    <w:p w14:paraId="06428D69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«Административное здание по адресу: г. Мурманск, ул. Капитана Копытова»;</w:t>
      </w:r>
    </w:p>
    <w:p w14:paraId="4237B55C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«Жилой дом в г. Мурманске по ул. Павлова»;</w:t>
      </w:r>
    </w:p>
    <w:p w14:paraId="6E355772" w14:textId="77777777" w:rsidR="00A6760D" w:rsidRPr="003B2ABF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«Предприятие общественного питания по адресу г. Мурманск, жилой район Росляково, ул. Заводская»;</w:t>
      </w:r>
    </w:p>
    <w:p w14:paraId="29BBB6B5" w14:textId="77777777" w:rsidR="00A91583" w:rsidRDefault="00A6760D" w:rsidP="00A9158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- «Многоквартирный жилой дом по адресу: г. Мурманск, ул. Бредова, д. 9». </w:t>
      </w:r>
    </w:p>
    <w:p w14:paraId="2710C0A8" w14:textId="77777777" w:rsidR="000818F2" w:rsidRDefault="00A6760D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Строительство и ввод в эксплуатацию данных объектов обеспечат рост объема работ строительного подряда в прогнозном периоде.</w:t>
      </w:r>
    </w:p>
    <w:p w14:paraId="62961B0D" w14:textId="77777777" w:rsidR="000818F2" w:rsidRDefault="000818F2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130ABFC1" w14:textId="77777777" w:rsidR="000818F2" w:rsidRPr="00AE152B" w:rsidRDefault="00DF1B2C" w:rsidP="00A11A2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AE152B">
        <w:rPr>
          <w:szCs w:val="28"/>
        </w:rPr>
        <w:t>Сальдированный финансовый результат (прибыль, убыток) деятельности крупных и средних предприятий</w:t>
      </w:r>
    </w:p>
    <w:p w14:paraId="0D48F5C3" w14:textId="77777777" w:rsidR="000818F2" w:rsidRPr="00AE152B" w:rsidRDefault="000818F2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60DD34EB" w14:textId="75713EC4" w:rsidR="000818F2" w:rsidRPr="00AE152B" w:rsidRDefault="00A61C4E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4311A6">
        <w:rPr>
          <w:rFonts w:eastAsia="Times New Roman"/>
          <w:szCs w:val="28"/>
          <w:lang w:eastAsia="ru-RU"/>
        </w:rPr>
        <w:t xml:space="preserve">Наблюдается </w:t>
      </w:r>
      <w:r w:rsidR="00A91583" w:rsidRPr="004311A6">
        <w:rPr>
          <w:rFonts w:eastAsia="Times New Roman"/>
          <w:szCs w:val="28"/>
          <w:lang w:eastAsia="ru-RU"/>
        </w:rPr>
        <w:t xml:space="preserve">значительное снижение </w:t>
      </w:r>
      <w:r w:rsidRPr="004311A6">
        <w:rPr>
          <w:rFonts w:eastAsia="Times New Roman"/>
          <w:szCs w:val="28"/>
          <w:lang w:eastAsia="ru-RU"/>
        </w:rPr>
        <w:t>в 202</w:t>
      </w:r>
      <w:r w:rsidR="00A91583" w:rsidRPr="004311A6">
        <w:rPr>
          <w:rFonts w:eastAsia="Times New Roman"/>
          <w:szCs w:val="28"/>
          <w:lang w:eastAsia="ru-RU"/>
        </w:rPr>
        <w:t>2</w:t>
      </w:r>
      <w:r w:rsidRPr="004311A6">
        <w:rPr>
          <w:rFonts w:eastAsia="Times New Roman"/>
          <w:szCs w:val="28"/>
          <w:lang w:eastAsia="ru-RU"/>
        </w:rPr>
        <w:t xml:space="preserve"> год</w:t>
      </w:r>
      <w:r w:rsidR="00A91583" w:rsidRPr="004311A6">
        <w:rPr>
          <w:rFonts w:eastAsia="Times New Roman"/>
          <w:szCs w:val="28"/>
          <w:lang w:eastAsia="ru-RU"/>
        </w:rPr>
        <w:t>у</w:t>
      </w:r>
      <w:r w:rsidRPr="004311A6">
        <w:rPr>
          <w:rFonts w:eastAsia="Times New Roman"/>
          <w:szCs w:val="28"/>
          <w:lang w:eastAsia="ru-RU"/>
        </w:rPr>
        <w:t xml:space="preserve"> сальдированного финансового результата деятельности организаций до </w:t>
      </w:r>
      <w:r w:rsidR="00A91583" w:rsidRPr="004311A6">
        <w:rPr>
          <w:rFonts w:eastAsia="Times New Roman"/>
          <w:szCs w:val="28"/>
          <w:lang w:eastAsia="ru-RU"/>
        </w:rPr>
        <w:t>62,0</w:t>
      </w:r>
      <w:r w:rsidRPr="004311A6">
        <w:rPr>
          <w:rFonts w:eastAsia="Times New Roman"/>
          <w:szCs w:val="28"/>
          <w:lang w:eastAsia="ru-RU"/>
        </w:rPr>
        <w:t xml:space="preserve"> млрд. рублей (</w:t>
      </w:r>
      <w:r w:rsidR="00A91583" w:rsidRPr="004311A6">
        <w:rPr>
          <w:rFonts w:eastAsia="Times New Roman"/>
          <w:szCs w:val="28"/>
          <w:lang w:eastAsia="ru-RU"/>
        </w:rPr>
        <w:t>59</w:t>
      </w:r>
      <w:r w:rsidRPr="004311A6">
        <w:rPr>
          <w:rFonts w:eastAsia="Times New Roman"/>
          <w:szCs w:val="28"/>
          <w:lang w:eastAsia="ru-RU"/>
        </w:rPr>
        <w:t>,9% к 202</w:t>
      </w:r>
      <w:r w:rsidR="00A91583" w:rsidRPr="004311A6">
        <w:rPr>
          <w:rFonts w:eastAsia="Times New Roman"/>
          <w:szCs w:val="28"/>
          <w:lang w:eastAsia="ru-RU"/>
        </w:rPr>
        <w:t>1</w:t>
      </w:r>
      <w:r w:rsidRPr="004311A6">
        <w:rPr>
          <w:rFonts w:eastAsia="Times New Roman"/>
          <w:szCs w:val="28"/>
          <w:lang w:eastAsia="ru-RU"/>
        </w:rPr>
        <w:t xml:space="preserve"> году). Данное </w:t>
      </w:r>
      <w:r w:rsidR="00D64F56" w:rsidRPr="004311A6">
        <w:rPr>
          <w:rFonts w:eastAsia="Times New Roman"/>
          <w:szCs w:val="28"/>
          <w:lang w:eastAsia="ru-RU"/>
        </w:rPr>
        <w:t xml:space="preserve">снижение </w:t>
      </w:r>
      <w:r w:rsidRPr="004311A6">
        <w:rPr>
          <w:rFonts w:eastAsia="Times New Roman"/>
          <w:szCs w:val="28"/>
          <w:lang w:eastAsia="ru-RU"/>
        </w:rPr>
        <w:t xml:space="preserve">обусловлено </w:t>
      </w:r>
      <w:r w:rsidR="00D64F56" w:rsidRPr="004311A6">
        <w:rPr>
          <w:rFonts w:eastAsia="Times New Roman"/>
          <w:szCs w:val="28"/>
          <w:lang w:eastAsia="ru-RU"/>
        </w:rPr>
        <w:t xml:space="preserve">уменьшением прибыли предприятий в сфере обеспечения электрической энергией, газом и паром; кондиционирования воздуха, </w:t>
      </w:r>
      <w:r w:rsidR="004311A6" w:rsidRPr="004311A6">
        <w:rPr>
          <w:rFonts w:eastAsia="Times New Roman"/>
          <w:szCs w:val="28"/>
          <w:lang w:eastAsia="ru-RU"/>
        </w:rPr>
        <w:t xml:space="preserve">а также </w:t>
      </w:r>
      <w:r w:rsidR="00D64F56" w:rsidRPr="004311A6">
        <w:rPr>
          <w:rFonts w:eastAsia="Times New Roman"/>
          <w:szCs w:val="28"/>
          <w:lang w:eastAsia="ru-RU"/>
        </w:rPr>
        <w:t>в сфере строительства</w:t>
      </w:r>
      <w:r w:rsidRPr="004311A6">
        <w:rPr>
          <w:rFonts w:eastAsia="Times New Roman"/>
          <w:szCs w:val="28"/>
          <w:lang w:eastAsia="ru-RU"/>
        </w:rPr>
        <w:t>.</w:t>
      </w:r>
      <w:r w:rsidRPr="00AE152B">
        <w:rPr>
          <w:rFonts w:eastAsia="Times New Roman"/>
          <w:szCs w:val="28"/>
          <w:lang w:eastAsia="ru-RU"/>
        </w:rPr>
        <w:t xml:space="preserve"> </w:t>
      </w:r>
    </w:p>
    <w:p w14:paraId="1AD55D3A" w14:textId="77777777" w:rsidR="000818F2" w:rsidRPr="00AE152B" w:rsidRDefault="00A61C4E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E152B">
        <w:rPr>
          <w:rFonts w:eastAsia="Times New Roman"/>
          <w:szCs w:val="28"/>
          <w:lang w:eastAsia="ru-RU"/>
        </w:rPr>
        <w:t xml:space="preserve">Положительный финансовый результат сложился в сфере </w:t>
      </w:r>
      <w:r w:rsidR="00F07BAC" w:rsidRPr="00AE152B">
        <w:rPr>
          <w:rFonts w:eastAsia="Times New Roman"/>
          <w:szCs w:val="28"/>
          <w:lang w:eastAsia="ru-RU"/>
        </w:rPr>
        <w:t xml:space="preserve">транспортировки и хранения – 87,0 млрд. рублей, в сфере </w:t>
      </w:r>
      <w:r w:rsidRPr="00AE152B">
        <w:rPr>
          <w:rFonts w:eastAsia="Times New Roman"/>
          <w:szCs w:val="28"/>
          <w:lang w:eastAsia="ru-RU"/>
        </w:rPr>
        <w:t xml:space="preserve">сельского, лесного хозяйства, охоты, рыболовства и рыбоводства – </w:t>
      </w:r>
      <w:r w:rsidR="00F07BAC" w:rsidRPr="00AE152B">
        <w:rPr>
          <w:rFonts w:eastAsia="Times New Roman"/>
          <w:szCs w:val="28"/>
          <w:lang w:eastAsia="ru-RU"/>
        </w:rPr>
        <w:t>80,6</w:t>
      </w:r>
      <w:r w:rsidRPr="00AE152B">
        <w:rPr>
          <w:rFonts w:eastAsia="Times New Roman"/>
          <w:szCs w:val="28"/>
          <w:lang w:eastAsia="ru-RU"/>
        </w:rPr>
        <w:t xml:space="preserve"> млрд. рублей, в сфере обрабатывающих производств – 4,9 млрд. рублей, деятельности по операциям с недвижимым имуществом – 5,</w:t>
      </w:r>
      <w:r w:rsidR="00F07BAC" w:rsidRPr="00AE152B">
        <w:rPr>
          <w:rFonts w:eastAsia="Times New Roman"/>
          <w:szCs w:val="28"/>
          <w:lang w:eastAsia="ru-RU"/>
        </w:rPr>
        <w:t>6</w:t>
      </w:r>
      <w:r w:rsidRPr="00AE152B">
        <w:rPr>
          <w:rFonts w:eastAsia="Times New Roman"/>
          <w:szCs w:val="28"/>
          <w:lang w:eastAsia="ru-RU"/>
        </w:rPr>
        <w:t xml:space="preserve"> млрд. рублей, деятельности </w:t>
      </w:r>
      <w:r w:rsidR="00F07BAC" w:rsidRPr="00AE152B">
        <w:rPr>
          <w:rFonts w:eastAsia="Times New Roman"/>
          <w:szCs w:val="28"/>
          <w:lang w:eastAsia="ru-RU"/>
        </w:rPr>
        <w:t>гостиниц и предприятий общественного питания</w:t>
      </w:r>
      <w:r w:rsidRPr="00AE152B">
        <w:rPr>
          <w:rFonts w:eastAsia="Times New Roman"/>
          <w:szCs w:val="28"/>
          <w:lang w:eastAsia="ru-RU"/>
        </w:rPr>
        <w:t xml:space="preserve"> – </w:t>
      </w:r>
      <w:r w:rsidR="00F07BAC" w:rsidRPr="00AE152B">
        <w:rPr>
          <w:rFonts w:eastAsia="Times New Roman"/>
          <w:szCs w:val="28"/>
          <w:lang w:eastAsia="ru-RU"/>
        </w:rPr>
        <w:t>314,7</w:t>
      </w:r>
      <w:r w:rsidRPr="00AE152B">
        <w:rPr>
          <w:rFonts w:eastAsia="Times New Roman"/>
          <w:szCs w:val="28"/>
          <w:lang w:eastAsia="ru-RU"/>
        </w:rPr>
        <w:t xml:space="preserve"> млн. рублей, торговле оптовой и розничной; ремонту автотранспортных средств и мотоциклов – </w:t>
      </w:r>
      <w:r w:rsidR="00F07BAC" w:rsidRPr="00AE152B">
        <w:rPr>
          <w:rFonts w:eastAsia="Times New Roman"/>
          <w:szCs w:val="28"/>
          <w:lang w:eastAsia="ru-RU"/>
        </w:rPr>
        <w:t>514</w:t>
      </w:r>
      <w:r w:rsidRPr="00AE152B">
        <w:rPr>
          <w:rFonts w:eastAsia="Times New Roman"/>
          <w:szCs w:val="28"/>
          <w:lang w:eastAsia="ru-RU"/>
        </w:rPr>
        <w:t xml:space="preserve"> млн. рублей. Общее количество прибыльных организаций составило </w:t>
      </w:r>
      <w:r w:rsidR="00F07BAC" w:rsidRPr="00AE152B">
        <w:rPr>
          <w:rFonts w:eastAsia="Times New Roman"/>
          <w:szCs w:val="28"/>
          <w:lang w:eastAsia="ru-RU"/>
        </w:rPr>
        <w:t>83</w:t>
      </w:r>
      <w:r w:rsidRPr="00AE152B">
        <w:rPr>
          <w:rFonts w:eastAsia="Times New Roman"/>
          <w:szCs w:val="28"/>
          <w:lang w:eastAsia="ru-RU"/>
        </w:rPr>
        <w:t xml:space="preserve"> единиц (</w:t>
      </w:r>
      <w:r w:rsidR="00F07BAC" w:rsidRPr="00AE152B">
        <w:rPr>
          <w:rFonts w:eastAsia="Times New Roman"/>
          <w:szCs w:val="28"/>
          <w:lang w:eastAsia="ru-RU"/>
        </w:rPr>
        <w:t>83</w:t>
      </w:r>
      <w:r w:rsidRPr="00AE152B">
        <w:rPr>
          <w:rFonts w:eastAsia="Times New Roman"/>
          <w:szCs w:val="28"/>
          <w:lang w:eastAsia="ru-RU"/>
        </w:rPr>
        <w:t>% к 202</w:t>
      </w:r>
      <w:r w:rsidR="00F07BAC" w:rsidRPr="00AE152B">
        <w:rPr>
          <w:rFonts w:eastAsia="Times New Roman"/>
          <w:szCs w:val="28"/>
          <w:lang w:eastAsia="ru-RU"/>
        </w:rPr>
        <w:t>1</w:t>
      </w:r>
      <w:r w:rsidRPr="00AE152B">
        <w:rPr>
          <w:rFonts w:eastAsia="Times New Roman"/>
          <w:szCs w:val="28"/>
          <w:lang w:eastAsia="ru-RU"/>
        </w:rPr>
        <w:t xml:space="preserve"> года), сумма прибыли – </w:t>
      </w:r>
      <w:r w:rsidR="00C173A2" w:rsidRPr="00AE152B">
        <w:rPr>
          <w:rFonts w:eastAsia="Times New Roman"/>
          <w:szCs w:val="28"/>
          <w:lang w:eastAsia="ru-RU"/>
        </w:rPr>
        <w:t>81,9</w:t>
      </w:r>
      <w:r w:rsidRPr="00AE152B">
        <w:rPr>
          <w:rFonts w:eastAsia="Times New Roman"/>
          <w:szCs w:val="28"/>
          <w:lang w:eastAsia="ru-RU"/>
        </w:rPr>
        <w:t xml:space="preserve"> млрд. рублей (</w:t>
      </w:r>
      <w:r w:rsidR="00C173A2" w:rsidRPr="00AE152B">
        <w:rPr>
          <w:rFonts w:eastAsia="Times New Roman"/>
          <w:szCs w:val="28"/>
          <w:lang w:eastAsia="ru-RU"/>
        </w:rPr>
        <w:t>81,9</w:t>
      </w:r>
      <w:r w:rsidRPr="00AE152B">
        <w:rPr>
          <w:rFonts w:eastAsia="Times New Roman"/>
          <w:szCs w:val="28"/>
          <w:lang w:eastAsia="ru-RU"/>
        </w:rPr>
        <w:t>%).</w:t>
      </w:r>
    </w:p>
    <w:p w14:paraId="1B69413B" w14:textId="77777777" w:rsidR="000818F2" w:rsidRDefault="00A61C4E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E152B">
        <w:rPr>
          <w:rFonts w:eastAsia="Times New Roman"/>
          <w:bCs/>
          <w:szCs w:val="28"/>
          <w:lang w:eastAsia="ru-RU"/>
        </w:rPr>
        <w:t xml:space="preserve">В 2021 году отмечено увеличение дебиторской задолженности до </w:t>
      </w:r>
      <w:r w:rsidR="000818F2" w:rsidRPr="00AE152B">
        <w:rPr>
          <w:rFonts w:eastAsia="Times New Roman"/>
          <w:bCs/>
          <w:szCs w:val="28"/>
          <w:lang w:eastAsia="ru-RU"/>
        </w:rPr>
        <w:br/>
      </w:r>
      <w:r w:rsidR="00C173A2" w:rsidRPr="00AE152B">
        <w:rPr>
          <w:rFonts w:eastAsia="Times New Roman"/>
          <w:bCs/>
          <w:szCs w:val="28"/>
          <w:lang w:eastAsia="ru-RU"/>
        </w:rPr>
        <w:t>197,7</w:t>
      </w:r>
      <w:r w:rsidRPr="00AE152B">
        <w:rPr>
          <w:rFonts w:eastAsia="Times New Roman"/>
          <w:bCs/>
          <w:szCs w:val="28"/>
          <w:lang w:eastAsia="ru-RU"/>
        </w:rPr>
        <w:t xml:space="preserve"> млрд. рублей (</w:t>
      </w:r>
      <w:r w:rsidR="00C173A2" w:rsidRPr="00AE152B">
        <w:rPr>
          <w:rFonts w:eastAsia="Times New Roman"/>
          <w:bCs/>
          <w:szCs w:val="28"/>
          <w:lang w:eastAsia="ru-RU"/>
        </w:rPr>
        <w:t>104,7</w:t>
      </w:r>
      <w:r w:rsidRPr="00AE152B">
        <w:rPr>
          <w:rFonts w:eastAsia="Times New Roman"/>
          <w:bCs/>
          <w:szCs w:val="28"/>
          <w:lang w:eastAsia="ru-RU"/>
        </w:rPr>
        <w:t>% по сравнению с 202</w:t>
      </w:r>
      <w:r w:rsidR="00C173A2" w:rsidRPr="00AE152B">
        <w:rPr>
          <w:rFonts w:eastAsia="Times New Roman"/>
          <w:bCs/>
          <w:szCs w:val="28"/>
          <w:lang w:eastAsia="ru-RU"/>
        </w:rPr>
        <w:t>1</w:t>
      </w:r>
      <w:r w:rsidRPr="00AE152B">
        <w:rPr>
          <w:rFonts w:eastAsia="Times New Roman"/>
          <w:bCs/>
          <w:szCs w:val="28"/>
          <w:lang w:eastAsia="ru-RU"/>
        </w:rPr>
        <w:t xml:space="preserve"> годом). Кредиторская задолженность увеличилась до 12</w:t>
      </w:r>
      <w:r w:rsidR="00C173A2" w:rsidRPr="00AE152B">
        <w:rPr>
          <w:rFonts w:eastAsia="Times New Roman"/>
          <w:bCs/>
          <w:szCs w:val="28"/>
          <w:lang w:eastAsia="ru-RU"/>
        </w:rPr>
        <w:t xml:space="preserve">4,6 </w:t>
      </w:r>
      <w:r w:rsidRPr="00AE152B">
        <w:rPr>
          <w:rFonts w:eastAsia="Times New Roman"/>
          <w:bCs/>
          <w:szCs w:val="28"/>
          <w:lang w:eastAsia="ru-RU"/>
        </w:rPr>
        <w:t>млрд. рублей (</w:t>
      </w:r>
      <w:r w:rsidR="00C173A2" w:rsidRPr="00AE152B">
        <w:rPr>
          <w:rFonts w:eastAsia="Times New Roman"/>
          <w:bCs/>
          <w:szCs w:val="28"/>
          <w:lang w:eastAsia="ru-RU"/>
        </w:rPr>
        <w:t>112,7</w:t>
      </w:r>
      <w:r w:rsidRPr="00AE152B">
        <w:rPr>
          <w:rFonts w:eastAsia="Times New Roman"/>
          <w:bCs/>
          <w:szCs w:val="28"/>
          <w:lang w:eastAsia="ru-RU"/>
        </w:rPr>
        <w:t>% к 202</w:t>
      </w:r>
      <w:r w:rsidR="00C173A2" w:rsidRPr="00AE152B">
        <w:rPr>
          <w:rFonts w:eastAsia="Times New Roman"/>
          <w:bCs/>
          <w:szCs w:val="28"/>
          <w:lang w:eastAsia="ru-RU"/>
        </w:rPr>
        <w:t>1</w:t>
      </w:r>
      <w:r w:rsidRPr="00AE152B">
        <w:rPr>
          <w:rFonts w:eastAsia="Times New Roman"/>
          <w:bCs/>
          <w:szCs w:val="28"/>
          <w:lang w:eastAsia="ru-RU"/>
        </w:rPr>
        <w:t xml:space="preserve"> году).</w:t>
      </w:r>
      <w:r w:rsidRPr="00A61C4E">
        <w:rPr>
          <w:rFonts w:eastAsia="Times New Roman"/>
          <w:bCs/>
          <w:szCs w:val="28"/>
          <w:lang w:eastAsia="ru-RU"/>
        </w:rPr>
        <w:t xml:space="preserve"> </w:t>
      </w:r>
      <w:r w:rsidR="00C173A2">
        <w:rPr>
          <w:rFonts w:eastAsia="Times New Roman"/>
          <w:bCs/>
          <w:szCs w:val="28"/>
          <w:lang w:eastAsia="ru-RU"/>
        </w:rPr>
        <w:t>Суммарная задолженность по обязательствам организаций на конец 2022 года составила</w:t>
      </w:r>
      <w:r w:rsidR="00320C2C">
        <w:rPr>
          <w:rFonts w:eastAsia="Times New Roman"/>
          <w:bCs/>
          <w:szCs w:val="28"/>
          <w:lang w:eastAsia="ru-RU"/>
        </w:rPr>
        <w:t xml:space="preserve"> 544,6 млрд. рублей, в том числе по полученным займам и кредитам – 420,0 млрд. рублей.</w:t>
      </w:r>
    </w:p>
    <w:p w14:paraId="0B50F02F" w14:textId="25251A28" w:rsidR="006D16A3" w:rsidRDefault="00320C2C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</w:t>
      </w:r>
      <w:r w:rsidR="00A61C4E" w:rsidRPr="00A61C4E">
        <w:rPr>
          <w:rFonts w:eastAsia="Times New Roman"/>
          <w:bCs/>
          <w:szCs w:val="28"/>
          <w:lang w:eastAsia="ru-RU"/>
        </w:rPr>
        <w:t xml:space="preserve"> прогнозном периоде ожидается рост сальдированного финансового результата в среднем на 4% ежегодно. В 20</w:t>
      </w:r>
      <w:r>
        <w:rPr>
          <w:rFonts w:eastAsia="Times New Roman"/>
          <w:bCs/>
          <w:szCs w:val="28"/>
          <w:lang w:eastAsia="ru-RU"/>
        </w:rPr>
        <w:t>28</w:t>
      </w:r>
      <w:r w:rsidR="00A61C4E" w:rsidRPr="00A61C4E">
        <w:rPr>
          <w:rFonts w:eastAsia="Times New Roman"/>
          <w:bCs/>
          <w:szCs w:val="28"/>
          <w:lang w:eastAsia="ru-RU"/>
        </w:rPr>
        <w:t xml:space="preserve"> году прогнозное значение показателя – </w:t>
      </w:r>
      <w:r>
        <w:rPr>
          <w:rFonts w:eastAsia="Times New Roman"/>
          <w:bCs/>
          <w:szCs w:val="28"/>
          <w:lang w:eastAsia="ru-RU"/>
        </w:rPr>
        <w:t>108,7</w:t>
      </w:r>
      <w:r w:rsidR="00A61C4E" w:rsidRPr="00A61C4E">
        <w:rPr>
          <w:rFonts w:eastAsia="Times New Roman"/>
          <w:bCs/>
          <w:szCs w:val="28"/>
          <w:lang w:eastAsia="ru-RU"/>
        </w:rPr>
        <w:t xml:space="preserve"> млрд. рублей (в базовом варианте прогноза).</w:t>
      </w:r>
    </w:p>
    <w:p w14:paraId="61BA9DCD" w14:textId="77777777" w:rsidR="000818F2" w:rsidRPr="000818F2" w:rsidRDefault="000818F2" w:rsidP="000818F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3B1AF49F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A61C4E">
        <w:rPr>
          <w:rFonts w:eastAsia="Times New Roman"/>
          <w:szCs w:val="28"/>
          <w:lang w:eastAsia="ru-RU"/>
        </w:rPr>
        <w:t>Труд и</w:t>
      </w:r>
      <w:r w:rsidRPr="003B2ABF">
        <w:rPr>
          <w:rFonts w:eastAsia="Times New Roman"/>
          <w:szCs w:val="28"/>
          <w:lang w:eastAsia="ru-RU"/>
        </w:rPr>
        <w:t xml:space="preserve"> занятость</w:t>
      </w:r>
    </w:p>
    <w:p w14:paraId="14273E6C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14:paraId="409273BA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Несмотря на негативное влияние антироссийских санкций и сокращение темпов роста экономики в целом по стране, обусловленное необходимостью перестройки производственных процессов и переориентации логистических цепочек с учетом геополитической обстановки, рынок труда города Мурманска демонстрирует в 2022 году стабильную тенденцию к росту.  </w:t>
      </w:r>
    </w:p>
    <w:p w14:paraId="4D6E6CC7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lastRenderedPageBreak/>
        <w:t>Вместе с тем, развитие рынка труда несколько сдерживается негативными демографическими тенденциями, в частности, сокращением численности трудоспособного населения. В 2022 году среднегодовая численность трудоспособного населения составила 158,73 тыс. человек, сократившись по сравнению с 2021 годом на 4,63 тыс. человек или 2,8%. Вместе с тем, доля населения в трудоспособном возрасте несколько увеличилась: с 57,2% до 58,4% от общей численности населения, что обусловлено увеличением числа прибывших граждан в трудоспособном возрасте.</w:t>
      </w:r>
    </w:p>
    <w:p w14:paraId="204FEFB4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Дальнейшее увеличение доли населения города в трудоспособном возрасте представляется маловероятным в связи с ухудшением возрастной структуры населения.</w:t>
      </w:r>
    </w:p>
    <w:p w14:paraId="35AB84F6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Таким образом, в 2023 году среднегодовая численность населения в трудоспособном возрасте предположительно составит 154,84 тыс. человек, в 2028 году – 136,9 тыс. человек.</w:t>
      </w:r>
    </w:p>
    <w:p w14:paraId="1018B088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Численность работников организаций (без субъектов малого предпринимательства) в 2022 году составила 89,4 тыс. человек, увеличившись к уровню 2021 года (88,8 тыс. человек) на 0,7%. </w:t>
      </w:r>
    </w:p>
    <w:p w14:paraId="1E38F8BF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2023 году вследствие адаптации экономики к новым условиям ведения хозяйственной деятельности, вызванных внешнеэкономической ситуацией, а также в связи со стабильным увеличение потребности работодателей в трудовых ресурсах, обусловленным ростом инвестиционной активности в регионе, численность работников организаций предположительно продолжит расти и составит 89,8 тыс. человек.  </w:t>
      </w:r>
    </w:p>
    <w:p w14:paraId="0AAB78BA" w14:textId="741F822F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среднесрочной перспективе отрицательное влияние обще</w:t>
      </w:r>
      <w:r w:rsidR="00546D7B">
        <w:rPr>
          <w:rFonts w:eastAsia="Times New Roman"/>
          <w:bCs/>
          <w:szCs w:val="28"/>
          <w:lang w:eastAsia="ru-RU"/>
        </w:rPr>
        <w:t>го</w:t>
      </w:r>
      <w:r w:rsidRPr="003B2ABF">
        <w:rPr>
          <w:rFonts w:eastAsia="Times New Roman"/>
          <w:bCs/>
          <w:szCs w:val="28"/>
          <w:lang w:eastAsia="ru-RU"/>
        </w:rPr>
        <w:t xml:space="preserve"> сокращени</w:t>
      </w:r>
      <w:r w:rsidR="00546D7B">
        <w:rPr>
          <w:rFonts w:eastAsia="Times New Roman"/>
          <w:bCs/>
          <w:szCs w:val="28"/>
          <w:lang w:eastAsia="ru-RU"/>
        </w:rPr>
        <w:t>я</w:t>
      </w:r>
      <w:r w:rsidRPr="003B2ABF">
        <w:rPr>
          <w:rFonts w:eastAsia="Times New Roman"/>
          <w:bCs/>
          <w:szCs w:val="28"/>
          <w:lang w:eastAsia="ru-RU"/>
        </w:rPr>
        <w:t xml:space="preserve"> численности населения в трудоспособном возрасте будет сдерживать дальнейший рост числа работников организаций. Вместе с тем увеличение числа компаний-резидентов ТОР «Столица Арктики», реализация арктического пакета преференций и прогнозируемое дальнейшее повышение инвестиционной активности на территории региона позволяют ожидать, что сокращение в базовом варианте прогноза численность работников организаций в среднесрочном периоде будет незначительным – до 89,5 тыс. человек в 2028 году. </w:t>
      </w:r>
    </w:p>
    <w:p w14:paraId="6F433A07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Улучшению ситуации на рынке труда способствует реализация Плана мероприятий, направленного на повышение в 2023 году уровня занятости населения, проживающего на территории муниципального образования город Мурманск, и снижение численности граждан, состоящих на учете в Мурманском кадровом центре ГОБУ Центр занятости населения Мурманской области.</w:t>
      </w:r>
    </w:p>
    <w:p w14:paraId="0116232C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2022 году среднегодовая численность безработных, зарегистрированных в службах занятости населения, снизилась и составила 1,19 тыс. человек, что меньше показателя 2021 года на 52,4%. Уровень безработицы (к трудоспособному населению) снизился на 0,4 процентных пунктов и составил 0,6%. </w:t>
      </w:r>
      <w:r w:rsidRPr="003B2ABF">
        <w:rPr>
          <w:rFonts w:eastAsia="Times New Roman"/>
          <w:szCs w:val="28"/>
          <w:lang w:eastAsia="ru-RU"/>
        </w:rPr>
        <w:t xml:space="preserve">В связи с устойчивым развитием сферы занятости и общей адаптацией экономики региона к новым геополитическим реалиям </w:t>
      </w:r>
      <w:r w:rsidRPr="003B2ABF">
        <w:rPr>
          <w:rFonts w:eastAsia="Times New Roman"/>
          <w:szCs w:val="28"/>
          <w:lang w:eastAsia="ru-RU"/>
        </w:rPr>
        <w:lastRenderedPageBreak/>
        <w:t>ожидается, что уровень безработицы продолжит снижение и составит 0,4% в 2023 году и 0,5% в 2028 году. Среднегодовая численность безработных, зарегистрированных в ГОБУ ЦЗН Мурманской области, предположительно составит 0,85 тыс. человек в 2023 году и 0,9 тыс. человек в 2028 году.</w:t>
      </w:r>
    </w:p>
    <w:p w14:paraId="494FEF94" w14:textId="59FA6F81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Размер среднемесячной заработной платы работников организаций города в 2022 году в номинальном выражении увеличился на 11,8% и составил 97 004,9 рублей. </w:t>
      </w:r>
    </w:p>
    <w:p w14:paraId="1AA6DB22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Рост среднемесячной начисленной заработной платы в реальном выражении отмечен в следующих отраслях:</w:t>
      </w:r>
    </w:p>
    <w:p w14:paraId="0E31688B" w14:textId="68F26170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добыча полезных ископаемых (</w:t>
      </w:r>
      <w:r w:rsidR="001B718C">
        <w:rPr>
          <w:rFonts w:eastAsia="Times New Roman"/>
          <w:bCs/>
          <w:szCs w:val="28"/>
          <w:lang w:eastAsia="ru-RU"/>
        </w:rPr>
        <w:t xml:space="preserve">на </w:t>
      </w:r>
      <w:r w:rsidRPr="003B2ABF">
        <w:rPr>
          <w:rFonts w:eastAsia="Times New Roman"/>
          <w:bCs/>
          <w:szCs w:val="28"/>
          <w:lang w:eastAsia="ru-RU"/>
        </w:rPr>
        <w:t>41,4%);</w:t>
      </w:r>
    </w:p>
    <w:p w14:paraId="18845106" w14:textId="328106D3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деятельность административная и сопутствующие дополнительные услуги (</w:t>
      </w:r>
      <w:r w:rsidR="001B718C">
        <w:rPr>
          <w:rFonts w:eastAsia="Times New Roman"/>
          <w:bCs/>
          <w:szCs w:val="28"/>
          <w:lang w:eastAsia="ru-RU"/>
        </w:rPr>
        <w:t xml:space="preserve">на </w:t>
      </w:r>
      <w:r w:rsidRPr="003B2ABF">
        <w:rPr>
          <w:rFonts w:eastAsia="Times New Roman"/>
          <w:bCs/>
          <w:szCs w:val="28"/>
          <w:lang w:eastAsia="ru-RU"/>
        </w:rPr>
        <w:t>9,6%);</w:t>
      </w:r>
    </w:p>
    <w:p w14:paraId="27251352" w14:textId="042BB48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деятельность гостиниц и предприятий общественного питания (</w:t>
      </w:r>
      <w:r w:rsidR="001B718C">
        <w:rPr>
          <w:rFonts w:eastAsia="Times New Roman"/>
          <w:bCs/>
          <w:szCs w:val="28"/>
          <w:lang w:eastAsia="ru-RU"/>
        </w:rPr>
        <w:t xml:space="preserve">на </w:t>
      </w:r>
      <w:r w:rsidRPr="003B2ABF">
        <w:rPr>
          <w:rFonts w:eastAsia="Times New Roman"/>
          <w:bCs/>
          <w:szCs w:val="28"/>
          <w:lang w:eastAsia="ru-RU"/>
        </w:rPr>
        <w:t>2,8%).</w:t>
      </w:r>
    </w:p>
    <w:p w14:paraId="5462F6D9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прогнозном периоде с учетом действующих мер прогнозируется дальнейший рост среднемесячной заработной платы. Ожидается, что в </w:t>
      </w:r>
      <w:r w:rsidRPr="003B2ABF">
        <w:rPr>
          <w:rFonts w:eastAsia="Times New Roman"/>
          <w:bCs/>
          <w:szCs w:val="28"/>
          <w:lang w:eastAsia="ru-RU"/>
        </w:rPr>
        <w:br/>
        <w:t>2028 году номинальная среднемесячная заработная плата предположительно составит 154 357,8 рублей.</w:t>
      </w:r>
    </w:p>
    <w:p w14:paraId="73A4B64D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F28F27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Развитие социальной сферы</w:t>
      </w:r>
    </w:p>
    <w:p w14:paraId="446A834A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453B8998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Одним из приоритетных направлений развития социальной сферы является повышение доступности качественного образования для всех категорий граждан, сохранение и укрепление здоровья обучающихся и воспитанников.</w:t>
      </w:r>
    </w:p>
    <w:p w14:paraId="181A72A6" w14:textId="58B5B222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szCs w:val="28"/>
        </w:rPr>
      </w:pPr>
      <w:r w:rsidRPr="003B2ABF">
        <w:rPr>
          <w:szCs w:val="28"/>
        </w:rPr>
        <w:t>Система образования города Мурманска представлена дифференцированной сетью образовательных учреждений. В 2022 году функционировало 141 муниципальное образовательное учреждение и учреждени</w:t>
      </w:r>
      <w:r w:rsidR="00546D7B">
        <w:rPr>
          <w:szCs w:val="28"/>
        </w:rPr>
        <w:t>я</w:t>
      </w:r>
      <w:r w:rsidRPr="003B2ABF">
        <w:rPr>
          <w:szCs w:val="28"/>
        </w:rPr>
        <w:t xml:space="preserve"> образования, в том числе:</w:t>
      </w:r>
    </w:p>
    <w:p w14:paraId="49AD0965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szCs w:val="28"/>
        </w:rPr>
      </w:pPr>
      <w:r w:rsidRPr="003B2ABF">
        <w:rPr>
          <w:szCs w:val="28"/>
        </w:rPr>
        <w:t>- 49 общеобразовательных учреждений (с 01.07.2020 приостановлена образовательная деятельность МБОУ г. Мурманска «Средняя общеобразовательная школа № 1» в целях планового ремонта инженерных сетей на период капитального ремонта), из них: 32 общеобразовательные школы, девять гимназий, четыре лицея, четыре прогимназии;</w:t>
      </w:r>
    </w:p>
    <w:p w14:paraId="0E4E3F49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szCs w:val="28"/>
        </w:rPr>
      </w:pPr>
      <w:r w:rsidRPr="003B2ABF">
        <w:rPr>
          <w:szCs w:val="28"/>
        </w:rPr>
        <w:t>- 68 дошкольных образовательных учреждений (далее - ДОУ);</w:t>
      </w:r>
    </w:p>
    <w:p w14:paraId="6ADE93F5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szCs w:val="28"/>
        </w:rPr>
      </w:pPr>
      <w:r w:rsidRPr="003B2ABF">
        <w:rPr>
          <w:szCs w:val="28"/>
        </w:rPr>
        <w:t>- 19 учреждений дополнительного образования, в том числе: 11 детско-юношеских спортивных школ, центр детского и юношеского туризма, детский морской центр, три дома детского творчества, центр патриотического воспитания «Юная Гвардия», центр профессиональной ориентации «ПрофСтарт», МБУ ДО г. Мурманска «Центр психолого-педагогической, медицинской и социальной помощи»;</w:t>
      </w:r>
    </w:p>
    <w:p w14:paraId="77DEFFEF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szCs w:val="28"/>
        </w:rPr>
      </w:pPr>
      <w:r w:rsidRPr="003B2ABF">
        <w:rPr>
          <w:szCs w:val="28"/>
        </w:rPr>
        <w:t>- МБУ ДПО г. Мурманска «Городской информационно-методический центр работников образования»;</w:t>
      </w:r>
    </w:p>
    <w:p w14:paraId="410D5D40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szCs w:val="28"/>
        </w:rPr>
      </w:pPr>
      <w:r w:rsidRPr="003B2ABF">
        <w:rPr>
          <w:szCs w:val="28"/>
        </w:rPr>
        <w:t>- четыре прочих учреждения, обеспечивающих предоставление услуг (выполнение работ) в сфере образования.</w:t>
      </w:r>
    </w:p>
    <w:p w14:paraId="38BF299B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lastRenderedPageBreak/>
        <w:t>В 2022 году в муниципальных ДОУ услугу дошкольного образования получали 15 035 воспитанников муниципальных ДОУ и ОУ, реализующих программы дошкольного образования (44 человека получали услуги дошкольного образования в общеобразовательных учреждениях). Численность воспитанников муниципальных ДОУ сократилась в 2022 году по сравнению с 2021 годом на 1 170 человек. Уменьшение численности воспитанников муниципальных ДОУ обусловлено уменьшением численности детей дошкольного возраста, проживающих в городе Мурманске.</w:t>
      </w:r>
    </w:p>
    <w:p w14:paraId="18ABF27B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связи с отрицательными демографическими тенденциями (сокращением численности женщин репродуктивного возраста, уменьшением числа родившихся) ожидается некоторое уменьшение численности воспитанников ДОУ в среднесрочной перспективе – до 13 815 человек в 2023 году и до 12 550 человек в 2028 году. </w:t>
      </w:r>
    </w:p>
    <w:p w14:paraId="178223FD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городе Мурманске полностью решена проблема предоставления мест в муниципальные дошкольные образовательные учреждения детям в возрасте от трех до семи лет. </w:t>
      </w:r>
    </w:p>
    <w:p w14:paraId="76AB6970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Одним из наиболее эффективных направлений повышения доступности дошкольного образования является внедрение его вариативных форм. С этой целью в муниципальных ДОУ функционируют: </w:t>
      </w:r>
    </w:p>
    <w:p w14:paraId="28F8E74C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- центры игровой поддержки ребенка в количестве 22 единиц; </w:t>
      </w:r>
    </w:p>
    <w:p w14:paraId="6FCE20F4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- консультативные пункты в девяти ДОУ. </w:t>
      </w:r>
    </w:p>
    <w:p w14:paraId="51D32262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В центрах игровой поддержки ребенка и консультативных пунктах детьми, не посещающими детский сад, осваиваются образовательные программы дошкольного образования, а также предоставляется консультативная помощь родителям. </w:t>
      </w:r>
    </w:p>
    <w:p w14:paraId="2BDAD940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Также в ДОУ функционируют 35 логопедических пунктов, в которых по адаптированной программе обучались более 800 детей.</w:t>
      </w:r>
    </w:p>
    <w:p w14:paraId="05CD4951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целях повышения обеспеченности населения города Мурманска местами в дошкольных образовательных учреждениях практически в 2022 году введены в эксплуатацию детские сады на 80 мест в районе ул. Капитана Орликовой и на 196 мест в районе ул. Достоевского в рамках регионального проекта «Содействие занятости» (национальный проект «Демография»). В результате этого обеспеченность населения местами в ДОУ возросла с 83,23 мест на 100 детей дошкольного возраста в 2021 году до 93,8 мест в 2022 году (количество мест в дошкольных образовательных учреждениях увеличилось с 15 355 мест в 2021 году до 15 551 мест в 2022 году).</w:t>
      </w:r>
    </w:p>
    <w:p w14:paraId="2F824C78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С учетом отрицательных демографических тенденций ожидается, что обеспеченность населения местами в дошкольных образовательных учреждениях возрастет до 96,24 мест на 100 детей дошкольного возраста в 2023 году и до 103,33 мест на 100 детей дошкольного возраста в 2028 году. </w:t>
      </w:r>
    </w:p>
    <w:p w14:paraId="34BC593B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Сеть муниципальных учреждений, реализующих общеобразовательные программы, создает условия для получения качественного образования и позволяет в полной мере обеспечивать социальный заказ. Основное общее образование обеспечивает освоение обучающимися общеобразовательных программ основного общего образования, условия для воспитания и </w:t>
      </w:r>
      <w:r w:rsidRPr="003B2ABF">
        <w:rPr>
          <w:rFonts w:eastAsia="Times New Roman"/>
          <w:bCs/>
          <w:szCs w:val="28"/>
          <w:lang w:eastAsia="ru-RU"/>
        </w:rPr>
        <w:lastRenderedPageBreak/>
        <w:t>формирования личности обучающегося, для развития его способности к социальному самоопределению.</w:t>
      </w:r>
    </w:p>
    <w:p w14:paraId="38B80AC5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2022 году средняя численность обучающихся общеобразовательных учреждений (дневных и вечерних) составила 30 875 человек (101,3% к уровню 2021 года). </w:t>
      </w:r>
    </w:p>
    <w:p w14:paraId="0781F559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Федеральный государственный образовательный стандарт реализован на всем уровне начального общего образования, осуществляется поэтапный переход на ФГОС основного общего образования.</w:t>
      </w:r>
    </w:p>
    <w:p w14:paraId="1FADF947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С учетом данных ведомственной статистики за первое полугодие 2023 года ожидается, что в 2023 году общее количество обучающихся общеобразовательных учреждений составит 30 688 человек. В прогнозном периоде в связи с незначительным улучшением демографической обстановки ожидается умеренное увеличение численности обучающихся – до 31 481 человека в 2028 году в базовом варианте прогноза.</w:t>
      </w:r>
    </w:p>
    <w:p w14:paraId="7040D721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При этом достаточно высокой остается 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организациях. Так в 2022 году данный показатель составил 98,68% (на 1,12 п.п. больше, чем в 2021 году). В 2023 ожидается, что в одну смену будут заниматься 98,92% обучающихся общеобразовательных учреждений. В прогнозном периоде значение данного показателя предположительно останется неизменным.</w:t>
      </w:r>
    </w:p>
    <w:p w14:paraId="028A11FD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Численность обучающихся по программам среднего профессионального образования в 2022 году составила 10 754 человека, увеличившись к уровню предыдущего года на 166 человек. В прогнозном периоде с учетом негативных демографических тенденций ожидается, что значение показателя продолжит расти и составит 10 158 человек в 2028 году. </w:t>
      </w:r>
    </w:p>
    <w:p w14:paraId="05E0DA46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Численность обучающихся по программам высшего образования в 2022 году увеличилось на 50 человек по сравнению с 2021 годом и составила 5 711 человек. В прогнозном периоде за счет миграционного оттока молодежи соответствующей возрастной категории ожидается сокращение количества студентов, обучающихся по программам высшего профессионального образования, до 4 686 человека в 2028 году.</w:t>
      </w:r>
    </w:p>
    <w:p w14:paraId="1E226E39" w14:textId="33FF50D1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2022 году в городе Мурманске функционировало 32 общедоступные (публичны</w:t>
      </w:r>
      <w:r w:rsidR="00546D7B">
        <w:rPr>
          <w:rFonts w:eastAsia="Times New Roman"/>
          <w:bCs/>
          <w:szCs w:val="28"/>
          <w:lang w:eastAsia="ru-RU"/>
        </w:rPr>
        <w:t>е</w:t>
      </w:r>
      <w:r w:rsidRPr="003B2ABF">
        <w:rPr>
          <w:rFonts w:eastAsia="Times New Roman"/>
          <w:bCs/>
          <w:szCs w:val="28"/>
          <w:lang w:eastAsia="ru-RU"/>
        </w:rPr>
        <w:t>) библиотеки, в том числе: три областные библиотеки, две муниципальные центральные библиотеки с 29 филиалами, из которых 12 – детских.</w:t>
      </w:r>
    </w:p>
    <w:p w14:paraId="29EB536C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настоящее время в городе создана новая современная модель библиотеки – информационный интеллект-центр. Основным направлением развития библиотек является автоматизация всех информационных и библиотечно-библиографических процессов. На территории муниципального образования осуществляют свою деятельность 17 информационных интеллект-центров, обеспечивающих доступ различных категорий граждан к литературе и информации в сети Интернет.</w:t>
      </w:r>
    </w:p>
    <w:p w14:paraId="43EC0ED8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рамках национального проекта «Культура» в 2019-2022 годах на базе </w:t>
      </w:r>
      <w:r w:rsidRPr="003B2ABF">
        <w:rPr>
          <w:rFonts w:eastAsia="Times New Roman"/>
          <w:bCs/>
          <w:szCs w:val="28"/>
          <w:lang w:eastAsia="ru-RU"/>
        </w:rPr>
        <w:lastRenderedPageBreak/>
        <w:t>МБУК «Центральная детская библиотека города Мурманска» и МБУК «Центральная городская библиотека г. Мурманска» открыты семь модельных библиотек.</w:t>
      </w:r>
    </w:p>
    <w:p w14:paraId="520243EE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2022 году обеспеченность общедоступными библиотеками в расчете на 100 тыс. человек населения возросла на 1,4% к уровню 2021 года и составила 11,92 единиц. В 2023 году данный показатель предположительно составит 12,01 единиц на 100 тыс. человек населения. Ввиду сокращения численности населения города Мурманска в прогнозном периоде ожидается увеличение значения показателя обеспеченности общедоступными библиотеками до 12,48 единиц на 100 тыс. населения в 2028 году. </w:t>
      </w:r>
    </w:p>
    <w:p w14:paraId="3BF4E052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2022 году в городе Мурманске осуществляли деятельность шесть учреждений культурно-досугового типа, в том числе два областных учреждения (ГОАУК «Мурманский областной Дворец культуры и народного творчества им. С.М. Кирова», ГУК «Мурманский дом культуры железнодорожников Октябрьской железной дороги МПС РФ») и четыре муниципальных учреждения (МБУК «Дом культуры «Первомайский» г. Мурманска», МАУК «Дом культуры Ленинского округа г. Мурманска», МБУК «Центр досуга и семейного творчества», МБУК «Дворец культуры Судоремонтник» города Мурманска).</w:t>
      </w:r>
    </w:p>
    <w:p w14:paraId="3C4E81FB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Показатель обеспеченности населения учреждениями культурно-досугового типа в 2022 году незначительно увеличился за счет сокращения численности населения и составил 2,23 единиц на 100 тыс. населения против 2,14 единиц в 2021 году. В 2023 году с учетом уменьшения численности населения города Мурманска обеспеченность учреждениями культурно-досугового типа предположительно составит 2,25 единиц на 100 тыс. населения, а в прогнозном периоде значение данного показателя увеличится до 2,34 единиц на 100 тыс. населения в 2028 году.</w:t>
      </w:r>
    </w:p>
    <w:p w14:paraId="2ADD4C02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сфере физической культуры и спорта в результате проводимых в городе Мурманске официальных физкультурных и спортивных мероприятий (более 140 мероприятий в год), активной пропаганды спорта в СМИ удельный вес населения, систематически занимающегося физической культурой и спортом, увеличился на 1 процентный пункт по сравнению с уровнем 2021 года и составил 54%. Увеличению данного показателя также способствовало активное вовлечение населения города Мурманска в занятия физической культурой и спортом по месту жительства на спортивных объектах МАУ ГСЦ «Авангард» и создание нового крупного объекта спорта: крытого катка с искусственным льдом МАУ ГСЦ «Авангард», расположенного по адресу: г. Мурманск, ул. Капитана Орликовой, 9 микрорайон. </w:t>
      </w:r>
    </w:p>
    <w:p w14:paraId="06B9A9B1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связи с популярностью данного спортивного объекта принято решение о включении в предмет концессионного соглашения дополнительного объекта: отдельно стоящее здание физкультурно-оздоровительного комплекса площадью около 1000 кв.м с пропускной способностью не менее 40 человек в час при учебно-тренировочном процессе. Объект планируется ввести в эксплуатацию в 2024 году.</w:t>
      </w:r>
    </w:p>
    <w:p w14:paraId="1BAFB149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Также с учетом успешного опыта реализации вышеуказанного проекта </w:t>
      </w:r>
      <w:r w:rsidRPr="003B2ABF">
        <w:rPr>
          <w:rFonts w:eastAsia="Times New Roman"/>
          <w:bCs/>
          <w:szCs w:val="28"/>
          <w:lang w:eastAsia="ru-RU"/>
        </w:rPr>
        <w:lastRenderedPageBreak/>
        <w:t>рассматривается возможность расширения применения механизма концессии при создании новых объектов спорта, отвечающих современным стандартам подготовки спортсменов и предоставляющих жителям города широкие возможности для занятия различными видами спорта.</w:t>
      </w:r>
    </w:p>
    <w:p w14:paraId="3E310A06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Таким образом, с учетом описанных выше мер по развитию материально-технической базы спорта города Мурманска, а также данных ведомственной статистики за первое полугодие текущего года ожидается увеличение удельного веса населения, систематически занимающегося физической культурой и спортом, до 55% от общей численности населения в 2023 году и до 63% населения в 2028 году. </w:t>
      </w:r>
    </w:p>
    <w:p w14:paraId="7A5A4D1C" w14:textId="77777777" w:rsidR="006D16A3" w:rsidRPr="00573601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2022 году в эксплуатацию введено 4,6 тыс. кв.м жилых помещений. Ожидается, что в текущем году в эксплуатацию будет введено порядка </w:t>
      </w:r>
      <w:r w:rsidRPr="003B2ABF">
        <w:rPr>
          <w:rFonts w:eastAsia="Times New Roman"/>
          <w:bCs/>
          <w:szCs w:val="28"/>
          <w:lang w:eastAsia="ru-RU"/>
        </w:rPr>
        <w:br/>
        <w:t xml:space="preserve">6,34 тыс. кв.м жилых помещений. Предполагается, что в прогнозном периоде за счет планируемой реализации </w:t>
      </w:r>
      <w:r w:rsidRPr="003B2ABF">
        <w:rPr>
          <w:szCs w:val="28"/>
        </w:rPr>
        <w:t xml:space="preserve">проектов жилищного строительства в районе улиц Анатолия Бредова, Кирпичной и Успенского (Ленинский административный округ города Мурманска) </w:t>
      </w:r>
      <w:r w:rsidRPr="003B2ABF">
        <w:rPr>
          <w:rFonts w:eastAsia="Times New Roman"/>
          <w:bCs/>
          <w:szCs w:val="28"/>
          <w:lang w:eastAsia="ru-RU"/>
        </w:rPr>
        <w:t xml:space="preserve">объем ежегодно вводимого в эксплуатацию жилья увеличится до 21,88 тыс. кв. м в 2025 году с последующим </w:t>
      </w:r>
      <w:r w:rsidRPr="00573601">
        <w:rPr>
          <w:rFonts w:eastAsia="Times New Roman"/>
          <w:bCs/>
          <w:szCs w:val="28"/>
          <w:lang w:eastAsia="ru-RU"/>
        </w:rPr>
        <w:t>сокращением до 6,3 тыс. кв.м в 2028 году.</w:t>
      </w:r>
    </w:p>
    <w:p w14:paraId="4A4C8C1F" w14:textId="04BC95B4" w:rsidR="00A91583" w:rsidRPr="00573601" w:rsidRDefault="00385CDC" w:rsidP="00A9158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73601">
        <w:rPr>
          <w:rFonts w:eastAsia="Times New Roman"/>
          <w:bCs/>
          <w:szCs w:val="28"/>
          <w:lang w:eastAsia="ru-RU"/>
        </w:rPr>
        <w:t>Следует отметить, что к</w:t>
      </w:r>
      <w:r w:rsidR="00A91583" w:rsidRPr="00573601">
        <w:rPr>
          <w:rFonts w:eastAsia="Times New Roman"/>
          <w:bCs/>
          <w:szCs w:val="28"/>
          <w:lang w:eastAsia="ru-RU"/>
        </w:rPr>
        <w:t xml:space="preserve">лючевым приоритетом для </w:t>
      </w:r>
      <w:r w:rsidRPr="00573601">
        <w:rPr>
          <w:rFonts w:eastAsia="Times New Roman"/>
          <w:bCs/>
          <w:szCs w:val="28"/>
          <w:lang w:eastAsia="ru-RU"/>
        </w:rPr>
        <w:t>города</w:t>
      </w:r>
      <w:r w:rsidR="00A91583" w:rsidRPr="00573601">
        <w:rPr>
          <w:rFonts w:eastAsia="Times New Roman"/>
          <w:bCs/>
          <w:szCs w:val="28"/>
          <w:lang w:eastAsia="ru-RU"/>
        </w:rPr>
        <w:t xml:space="preserve"> является кардинальная перезагрузка развития жилищного </w:t>
      </w:r>
      <w:r w:rsidRPr="00573601">
        <w:rPr>
          <w:rFonts w:eastAsia="Times New Roman"/>
          <w:bCs/>
          <w:szCs w:val="28"/>
          <w:lang w:eastAsia="ru-RU"/>
        </w:rPr>
        <w:t>строительства</w:t>
      </w:r>
      <w:r w:rsidR="00A91583" w:rsidRPr="00573601">
        <w:rPr>
          <w:rFonts w:eastAsia="Times New Roman"/>
          <w:bCs/>
          <w:szCs w:val="28"/>
          <w:lang w:eastAsia="ru-RU"/>
        </w:rPr>
        <w:t>, работа которого серьезно осложняется объективными факторами: отсутствие собственного производства строительных материалов и, как следствие, их высокая стоимость, дефицит кадров для гражданского строительства.</w:t>
      </w:r>
    </w:p>
    <w:p w14:paraId="558DF3B2" w14:textId="31832993" w:rsidR="00A91583" w:rsidRPr="00573601" w:rsidRDefault="00385CDC" w:rsidP="00A9158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73601">
        <w:rPr>
          <w:rFonts w:eastAsia="Times New Roman"/>
          <w:bCs/>
          <w:szCs w:val="28"/>
          <w:lang w:eastAsia="ru-RU"/>
        </w:rPr>
        <w:t>Р</w:t>
      </w:r>
      <w:r w:rsidR="00A91583" w:rsidRPr="00573601">
        <w:rPr>
          <w:rFonts w:eastAsia="Times New Roman"/>
          <w:bCs/>
          <w:szCs w:val="28"/>
          <w:lang w:eastAsia="ru-RU"/>
        </w:rPr>
        <w:t>еализуется проект развития жилищного строительства в микрорайонах «Больничный район» и «1 микрорайон» в г. Мурманске, в рамках которого после расселения аварийного жилищного фонда планируется высвобождение территории под реализацию проектов жилищного строительства как силами частных инвесторов, так и за счет бюджетных средств, а также предусмотрена модернизация сопутствующей инфраструктуры. Срок поэтапной реализации проекта – 2022 - 2028 годы.</w:t>
      </w:r>
    </w:p>
    <w:p w14:paraId="41CAD7D8" w14:textId="77777777" w:rsidR="00A91583" w:rsidRPr="00573601" w:rsidRDefault="00A91583" w:rsidP="00A9158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73601">
        <w:rPr>
          <w:rFonts w:eastAsia="Times New Roman"/>
          <w:bCs/>
          <w:szCs w:val="28"/>
          <w:lang w:eastAsia="ru-RU"/>
        </w:rPr>
        <w:t>Кроме этого, с 01.08.2021 на территории Мурманской области реализуется программа по предоставлению гражданам земельных участков в безвозмездное пользование – «Гектар Арктики».</w:t>
      </w:r>
    </w:p>
    <w:p w14:paraId="23009B82" w14:textId="77777777" w:rsidR="0008049C" w:rsidRPr="003B2ABF" w:rsidRDefault="0008049C" w:rsidP="000804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73601">
        <w:rPr>
          <w:rFonts w:eastAsia="Times New Roman"/>
          <w:bCs/>
          <w:szCs w:val="28"/>
          <w:lang w:eastAsia="ru-RU"/>
        </w:rPr>
        <w:t>Средняя обеспеченность населения площадью жилых квартир</w:t>
      </w:r>
      <w:r w:rsidRPr="003B2ABF">
        <w:rPr>
          <w:rFonts w:eastAsia="Times New Roman"/>
          <w:bCs/>
          <w:szCs w:val="28"/>
          <w:lang w:eastAsia="ru-RU"/>
        </w:rPr>
        <w:t xml:space="preserve"> в 2022 году увеличилась по сравнению с 2021 годом на 1,1% и составила 28,1 кв.м на одного жителя. С учетом планируемых объемов ввода жилья ожидается, что в 2023 году средняя обеспеченность населения площадью жилых квартир незначительно увеличится и составит 28,16 кв.м на человека. </w:t>
      </w:r>
    </w:p>
    <w:p w14:paraId="695A9E72" w14:textId="77777777" w:rsidR="0008049C" w:rsidRPr="003B2ABF" w:rsidRDefault="0008049C" w:rsidP="000804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прогнозном периоде ожидается увеличение темпов роста объемов жилищного строительства. В сочетании с тенденцией сокращения численности населения это обусловит увеличение обеспеченности населения площадью жилых квартир до 29,51 кв.м на одного жителя к 2028 году.</w:t>
      </w:r>
    </w:p>
    <w:p w14:paraId="547D5B8C" w14:textId="77777777" w:rsidR="0008049C" w:rsidRPr="003B2ABF" w:rsidRDefault="0008049C" w:rsidP="000804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На реализацию мер по сокращению площади аварийного жилого фонда направлена реализация муниципальных программ города Мурманска «Управление имуществом и жилищная политика» на 2018-2024 годы и </w:t>
      </w:r>
      <w:r w:rsidRPr="003B2ABF">
        <w:rPr>
          <w:rFonts w:eastAsia="Times New Roman"/>
          <w:bCs/>
          <w:szCs w:val="28"/>
          <w:lang w:eastAsia="ru-RU"/>
        </w:rPr>
        <w:lastRenderedPageBreak/>
        <w:t xml:space="preserve">«Жилищная политика» на 2023-2028 годы. </w:t>
      </w:r>
    </w:p>
    <w:p w14:paraId="682DE56B" w14:textId="77777777" w:rsidR="0008049C" w:rsidRPr="003B2ABF" w:rsidRDefault="0008049C" w:rsidP="000804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рамках муниципальной программы «Управление имуществом и жилищная политика» на 2018-2024 годы в 2022 году расселено 298 человек с высвобождением 110 жилых помещений в аварийных домах общей площадью 4087 кв.м.</w:t>
      </w:r>
    </w:p>
    <w:p w14:paraId="43C738BA" w14:textId="77777777" w:rsidR="0008049C" w:rsidRPr="003B2ABF" w:rsidRDefault="0008049C" w:rsidP="000804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В 2022 году, несмотря на реализуемые в рамках указанной муниципальной программы мероприятия, общая площадь аварийного жилищного фонда увеличилась на 5,7% по сравнению с 2024 годом: значение показателя составило 137 393,7 кв.м, или 1,83% от общей площади жилого фонда (против 1,73% в 2021 году). </w:t>
      </w:r>
    </w:p>
    <w:p w14:paraId="4CD7FEE7" w14:textId="77777777" w:rsidR="0008049C" w:rsidRPr="003B2ABF" w:rsidRDefault="0008049C" w:rsidP="000804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Ожидается, что в результате принимаемых мер по сокращению непригодного для проживания жилищного фонда к концу текущего года общая площадь аварийного жилищного фонда сократится до 133 920,7 кв.м (до 1,79% от общей площади жилого фонда). В прогнозном периоде доля площади аварийного жилищного фонда в общей площади жилого фонда предположительно незначительно увеличится до 1,8% к 2028 году. </w:t>
      </w:r>
    </w:p>
    <w:p w14:paraId="3E77A20F" w14:textId="77777777" w:rsidR="00E06432" w:rsidRPr="003B2ABF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Уровень собираемости платежей за жилье и коммунальные услуги в </w:t>
      </w:r>
      <w:r w:rsidRPr="003B2ABF">
        <w:rPr>
          <w:rFonts w:eastAsia="Times New Roman"/>
          <w:bCs/>
          <w:szCs w:val="28"/>
          <w:lang w:eastAsia="ru-RU"/>
        </w:rPr>
        <w:br/>
        <w:t>2022 году составил 93,2%, что выше уровня 2021 года на 0,5 п.п. Данные ведомственной статистики о фактическом возмещении населением затрат за предоставленные жилищно-коммунальные услуги в первом полугодии 2023 года позволяют предположить, что в текущем году уровень собираемости платежей сократится до 89,2%.</w:t>
      </w:r>
    </w:p>
    <w:p w14:paraId="0E90E821" w14:textId="77777777" w:rsidR="00E06432" w:rsidRPr="003B2ABF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В прогнозном периоде на фоне прогнозируемого роста реальных располагаемых доходов населения ожидается, что уровень собираемости платежей за жилищно-коммунальные услуги перейдет к росту и достигнет 91,5% к 2028 году.</w:t>
      </w:r>
    </w:p>
    <w:p w14:paraId="107B9245" w14:textId="77777777" w:rsidR="00E06432" w:rsidRPr="003B2ABF" w:rsidRDefault="00E06432" w:rsidP="00E0643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Протяженность автодорог общего пользования местного значения в городе Мурманске в 2022 году составляет 178,9 км (дороги с усовершенствованным твердым покрытием). В текущем году протяженность дорог общего пользования увеличилась до 205,4 км (в т.ч. 204,57 км дорог с усовершенствованным покрытием) за счет принятия в муниципальную собственность дворовых проездов. Ожидается, что указанное значение в прогнозном периоде останется неизменным.  </w:t>
      </w:r>
    </w:p>
    <w:p w14:paraId="472ECFE5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69EA5FD4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Доходы бюджета</w:t>
      </w:r>
    </w:p>
    <w:p w14:paraId="5F6B2779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2CD63688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Бюджет города Мурманска по налоговым и неналоговым доходам за 2022 год исполнен в сумме 9 538 918,2 тыс. рублей, что по сравнению с 2021 годом ниже на 1 807 309,0 тыс. рублей или на 15,9%.</w:t>
      </w:r>
    </w:p>
    <w:p w14:paraId="30F6D6A0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Снижение поступлений в 2022 году в основном связано с уменьшением следующих видов налоговых доходов: </w:t>
      </w:r>
    </w:p>
    <w:p w14:paraId="08947C17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 xml:space="preserve">- налога на доходы физических лиц - за счет снижения доходов, полученных физическими лицами в виде дивидендов от долевого участия в организациях рыбопромышленной отрасли, на деятельность которых в отчетном году оказало влияние сокращение экспортных поставок рыбной </w:t>
      </w:r>
      <w:r w:rsidRPr="003B2ABF">
        <w:rPr>
          <w:rFonts w:eastAsia="Times New Roman"/>
          <w:bCs/>
          <w:szCs w:val="28"/>
          <w:lang w:eastAsia="ru-RU"/>
        </w:rPr>
        <w:lastRenderedPageBreak/>
        <w:t>продукции, а также доходов, полученных от источников, находящихся за пределами Российской Федерации;</w:t>
      </w:r>
    </w:p>
    <w:p w14:paraId="4369282A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единого сельскохозяйственного налога (далее – ЕСХН) - за счет уменьшения выручки налогоплательщиков в связи с введением в отношении Российской Федерации санкций, оказывающих влияние на финансово-хозяйственную деятельность организаций рыбопромышленной отрасли (в том числе закрытие морских портов для выгрузки крабовой продукции и ограничения по валютным операциям), а также ростом расходов на ремонт и приобретение судов.</w:t>
      </w:r>
    </w:p>
    <w:p w14:paraId="3436BABC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Оценка поступлений налоговых и неналоговых доходов в 2023 году составляет 9 024 307,1 тыс. рублей, что по сравнению с исполнением за 2022 год ниже на 514 611,1 тыс. рублей или на 5,4%.</w:t>
      </w:r>
    </w:p>
    <w:p w14:paraId="32A69238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Основные причины снижения поступлений в 2023 году:</w:t>
      </w:r>
    </w:p>
    <w:p w14:paraId="3B44329B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уменьшение объема поступления ЕСХН в связи со снижением выручки налогоплательщиков и сложившихся убытков по итогам 2022 года;</w:t>
      </w:r>
    </w:p>
    <w:p w14:paraId="425629FE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уменьшение объема поступления земельного налога в связи со снижением с 01.01.2023 кадастровой стоимости земельных участков у учреждений, финансируемых за счет средств областного и местного бюджетов.</w:t>
      </w:r>
    </w:p>
    <w:p w14:paraId="7E95CC43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- уменьшение поступлений по доходам в виде дивидендов по акциям, принадлежащим городским округам, в связи с перечислением в декабре 2022 года дивидендов в размере 140 000,0 тыс. рублей по решению судебного органа.</w:t>
      </w:r>
    </w:p>
    <w:p w14:paraId="53CA221F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szCs w:val="28"/>
        </w:rPr>
        <w:sectPr w:rsidR="006D16A3" w:rsidRPr="003B2ABF">
          <w:pgSz w:w="11906" w:h="16838"/>
          <w:pgMar w:top="1134" w:right="567" w:bottom="1134" w:left="1701" w:header="709" w:footer="709" w:gutter="0"/>
          <w:cols w:space="708"/>
        </w:sectPr>
      </w:pPr>
      <w:r w:rsidRPr="003B2ABF">
        <w:rPr>
          <w:szCs w:val="28"/>
        </w:rPr>
        <w:t>________________________</w:t>
      </w:r>
    </w:p>
    <w:p w14:paraId="0C8BDBCD" w14:textId="77777777" w:rsidR="006D16A3" w:rsidRPr="003B2ABF" w:rsidRDefault="00DF1B2C">
      <w:pPr>
        <w:keepNext/>
        <w:spacing w:after="0" w:line="240" w:lineRule="auto"/>
        <w:jc w:val="right"/>
        <w:rPr>
          <w:rFonts w:eastAsia="Times New Roman"/>
          <w:bCs/>
          <w:szCs w:val="28"/>
        </w:rPr>
      </w:pPr>
      <w:r w:rsidRPr="003B2ABF">
        <w:rPr>
          <w:rFonts w:eastAsia="Times New Roman"/>
          <w:bCs/>
          <w:szCs w:val="28"/>
        </w:rPr>
        <w:lastRenderedPageBreak/>
        <w:t xml:space="preserve">Приложение № 2 </w:t>
      </w:r>
    </w:p>
    <w:p w14:paraId="6C7C0776" w14:textId="77777777" w:rsidR="006D16A3" w:rsidRPr="003B2ABF" w:rsidRDefault="00DF1B2C">
      <w:pPr>
        <w:keepNext/>
        <w:spacing w:after="0" w:line="240" w:lineRule="auto"/>
        <w:jc w:val="right"/>
        <w:rPr>
          <w:rFonts w:eastAsia="Times New Roman"/>
          <w:bCs/>
          <w:szCs w:val="28"/>
        </w:rPr>
      </w:pPr>
      <w:r w:rsidRPr="003B2ABF">
        <w:rPr>
          <w:rFonts w:eastAsia="Times New Roman"/>
          <w:bCs/>
          <w:szCs w:val="28"/>
        </w:rPr>
        <w:t>к прогнозу</w:t>
      </w:r>
    </w:p>
    <w:p w14:paraId="6D371859" w14:textId="77777777" w:rsidR="006D16A3" w:rsidRPr="003B2ABF" w:rsidRDefault="006D16A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75AE107B" w14:textId="77777777" w:rsidR="006D16A3" w:rsidRPr="003B2ABF" w:rsidRDefault="00DF1B2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  <w:r w:rsidRPr="003B2ABF">
        <w:rPr>
          <w:rFonts w:eastAsia="Times New Roman"/>
          <w:szCs w:val="20"/>
          <w:lang w:eastAsia="ru-RU"/>
        </w:rPr>
        <w:t xml:space="preserve">Предварительные итоги социально-экономического развития </w:t>
      </w:r>
      <w:r w:rsidRPr="003B2ABF">
        <w:rPr>
          <w:rFonts w:eastAsia="Times New Roman"/>
          <w:szCs w:val="20"/>
          <w:lang w:eastAsia="ru-RU"/>
        </w:rPr>
        <w:br/>
        <w:t>муниципального образования город Мурманск за первое полугодие 2023 года</w:t>
      </w:r>
    </w:p>
    <w:p w14:paraId="31BB2C28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и ожидаемые итоги социально-экономического развития за 2023 год</w:t>
      </w:r>
    </w:p>
    <w:tbl>
      <w:tblPr>
        <w:tblW w:w="9644" w:type="dxa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1417"/>
        <w:gridCol w:w="1418"/>
        <w:gridCol w:w="1417"/>
        <w:gridCol w:w="1134"/>
      </w:tblGrid>
      <w:tr w:rsidR="006D16A3" w:rsidRPr="003B2ABF" w14:paraId="504638B4" w14:textId="77777777">
        <w:trPr>
          <w:trHeight w:val="945"/>
          <w:tblHeader/>
        </w:trPr>
        <w:tc>
          <w:tcPr>
            <w:tcW w:w="4258" w:type="dxa"/>
            <w:shd w:val="clear" w:color="auto" w:fill="auto"/>
            <w:vAlign w:val="center"/>
          </w:tcPr>
          <w:p w14:paraId="7499BC8A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B2ABF">
              <w:rPr>
                <w:rFonts w:eastAsia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2FB4F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CFE53C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bCs/>
                <w:sz w:val="24"/>
                <w:szCs w:val="24"/>
                <w:lang w:eastAsia="ru-RU"/>
              </w:rPr>
              <w:t>1 полугодие 2022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9F8FA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bCs/>
                <w:sz w:val="24"/>
                <w:szCs w:val="24"/>
                <w:lang w:eastAsia="ru-RU"/>
              </w:rPr>
              <w:t>1 полугодие 2023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161EB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bCs/>
                <w:sz w:val="24"/>
                <w:szCs w:val="24"/>
                <w:lang w:eastAsia="ru-RU"/>
              </w:rPr>
              <w:t>Оценка 2023 года</w:t>
            </w:r>
          </w:p>
        </w:tc>
      </w:tr>
      <w:tr w:rsidR="006D16A3" w:rsidRPr="003B2ABF" w14:paraId="50071F44" w14:textId="77777777">
        <w:trPr>
          <w:trHeight w:val="315"/>
          <w:tblHeader/>
        </w:trPr>
        <w:tc>
          <w:tcPr>
            <w:tcW w:w="4258" w:type="dxa"/>
          </w:tcPr>
          <w:p w14:paraId="30FA4468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C1F1CA8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09B0877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76A06FE1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3F102DA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D16A3" w:rsidRPr="003B2ABF" w14:paraId="71111E81" w14:textId="77777777">
        <w:trPr>
          <w:trHeight w:val="275"/>
        </w:trPr>
        <w:tc>
          <w:tcPr>
            <w:tcW w:w="4258" w:type="dxa"/>
          </w:tcPr>
          <w:p w14:paraId="3C4744C7" w14:textId="77777777" w:rsidR="006D16A3" w:rsidRPr="003B2ABF" w:rsidRDefault="00DF1B2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3B2ABF">
              <w:rPr>
                <w:rFonts w:eastAsia="Times New Roman"/>
                <w:bCs/>
                <w:sz w:val="24"/>
                <w:szCs w:val="24"/>
              </w:rPr>
              <w:t>1. Демографические показатели</w:t>
            </w:r>
          </w:p>
        </w:tc>
        <w:tc>
          <w:tcPr>
            <w:tcW w:w="1417" w:type="dxa"/>
          </w:tcPr>
          <w:p w14:paraId="15264E4D" w14:textId="77777777" w:rsidR="006D16A3" w:rsidRPr="003B2ABF" w:rsidRDefault="006D16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996A8CD" w14:textId="77777777" w:rsidR="006D16A3" w:rsidRPr="003B2ABF" w:rsidRDefault="006D16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3D6AF98" w14:textId="77777777" w:rsidR="006D16A3" w:rsidRPr="003B2ABF" w:rsidRDefault="006D16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1B1C14" w14:textId="77777777" w:rsidR="006D16A3" w:rsidRPr="003B2ABF" w:rsidRDefault="006D16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5571" w:rsidRPr="003B2ABF" w14:paraId="4991496D" w14:textId="77777777">
        <w:trPr>
          <w:trHeight w:val="275"/>
        </w:trPr>
        <w:tc>
          <w:tcPr>
            <w:tcW w:w="4258" w:type="dxa"/>
          </w:tcPr>
          <w:p w14:paraId="38CC22CA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Среднегодовая численность населения</w:t>
            </w:r>
          </w:p>
        </w:tc>
        <w:tc>
          <w:tcPr>
            <w:tcW w:w="1417" w:type="dxa"/>
          </w:tcPr>
          <w:p w14:paraId="0A5F76D4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тыс. человек</w:t>
            </w:r>
          </w:p>
        </w:tc>
        <w:tc>
          <w:tcPr>
            <w:tcW w:w="1418" w:type="dxa"/>
          </w:tcPr>
          <w:p w14:paraId="0B5E5585" w14:textId="3DAD7624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D039321" w14:textId="2EAD2586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4D301B39" w14:textId="6F3DFC85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266,42</w:t>
            </w:r>
          </w:p>
        </w:tc>
      </w:tr>
      <w:tr w:rsidR="00165571" w:rsidRPr="003B2ABF" w14:paraId="1049FE06" w14:textId="77777777">
        <w:trPr>
          <w:trHeight w:val="275"/>
        </w:trPr>
        <w:tc>
          <w:tcPr>
            <w:tcW w:w="4258" w:type="dxa"/>
          </w:tcPr>
          <w:p w14:paraId="65BAADC4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Родилось</w:t>
            </w:r>
          </w:p>
        </w:tc>
        <w:tc>
          <w:tcPr>
            <w:tcW w:w="1417" w:type="dxa"/>
          </w:tcPr>
          <w:p w14:paraId="45A929DF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14:paraId="05B8188C" w14:textId="75EEAB68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1081</w:t>
            </w:r>
          </w:p>
        </w:tc>
        <w:tc>
          <w:tcPr>
            <w:tcW w:w="1417" w:type="dxa"/>
          </w:tcPr>
          <w:p w14:paraId="02925FBF" w14:textId="15A08A80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1103</w:t>
            </w:r>
          </w:p>
        </w:tc>
        <w:tc>
          <w:tcPr>
            <w:tcW w:w="1134" w:type="dxa"/>
          </w:tcPr>
          <w:p w14:paraId="446FCE4B" w14:textId="28187FA0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2094</w:t>
            </w:r>
          </w:p>
        </w:tc>
      </w:tr>
      <w:tr w:rsidR="00165571" w:rsidRPr="003B2ABF" w14:paraId="6B244EDA" w14:textId="77777777">
        <w:trPr>
          <w:trHeight w:val="275"/>
        </w:trPr>
        <w:tc>
          <w:tcPr>
            <w:tcW w:w="4258" w:type="dxa"/>
          </w:tcPr>
          <w:p w14:paraId="01A2F072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Умерло</w:t>
            </w:r>
          </w:p>
        </w:tc>
        <w:tc>
          <w:tcPr>
            <w:tcW w:w="1417" w:type="dxa"/>
          </w:tcPr>
          <w:p w14:paraId="62EEE4BB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14:paraId="01C9D74B" w14:textId="3BB04F48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1900</w:t>
            </w:r>
          </w:p>
        </w:tc>
        <w:tc>
          <w:tcPr>
            <w:tcW w:w="1417" w:type="dxa"/>
          </w:tcPr>
          <w:p w14:paraId="375512C4" w14:textId="6C26F88B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1689</w:t>
            </w:r>
          </w:p>
        </w:tc>
        <w:tc>
          <w:tcPr>
            <w:tcW w:w="1134" w:type="dxa"/>
          </w:tcPr>
          <w:p w14:paraId="55BDBDB9" w14:textId="2EA3D9F0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8"/>
                <w:lang w:val="en-US" w:eastAsia="ru-RU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3422</w:t>
            </w:r>
          </w:p>
        </w:tc>
      </w:tr>
      <w:tr w:rsidR="00165571" w:rsidRPr="003B2ABF" w14:paraId="0CA833C3" w14:textId="77777777">
        <w:trPr>
          <w:trHeight w:val="275"/>
        </w:trPr>
        <w:tc>
          <w:tcPr>
            <w:tcW w:w="4258" w:type="dxa"/>
          </w:tcPr>
          <w:p w14:paraId="6AF1E991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Естественный прирост</w:t>
            </w:r>
          </w:p>
        </w:tc>
        <w:tc>
          <w:tcPr>
            <w:tcW w:w="1417" w:type="dxa"/>
          </w:tcPr>
          <w:p w14:paraId="5D9A60ED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14:paraId="06854AAE" w14:textId="35A7A35D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-819</w:t>
            </w:r>
          </w:p>
        </w:tc>
        <w:tc>
          <w:tcPr>
            <w:tcW w:w="1417" w:type="dxa"/>
          </w:tcPr>
          <w:p w14:paraId="428E9BE0" w14:textId="6FEADD70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3B2ABF">
              <w:rPr>
                <w:rFonts w:eastAsia="Times New Roman"/>
                <w:sz w:val="24"/>
                <w:szCs w:val="24"/>
              </w:rPr>
              <w:t>586</w:t>
            </w:r>
          </w:p>
        </w:tc>
        <w:tc>
          <w:tcPr>
            <w:tcW w:w="1134" w:type="dxa"/>
          </w:tcPr>
          <w:p w14:paraId="73FEAFB9" w14:textId="08A2E52E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3B2ABF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Pr="003B2ABF">
              <w:rPr>
                <w:rFonts w:eastAsia="Times New Roman"/>
                <w:sz w:val="24"/>
                <w:szCs w:val="24"/>
              </w:rPr>
              <w:t>1328</w:t>
            </w:r>
          </w:p>
        </w:tc>
      </w:tr>
      <w:tr w:rsidR="00165571" w:rsidRPr="003B2ABF" w14:paraId="6806617E" w14:textId="77777777">
        <w:trPr>
          <w:trHeight w:val="275"/>
        </w:trPr>
        <w:tc>
          <w:tcPr>
            <w:tcW w:w="4258" w:type="dxa"/>
          </w:tcPr>
          <w:p w14:paraId="2BD67484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Прибыло</w:t>
            </w:r>
          </w:p>
        </w:tc>
        <w:tc>
          <w:tcPr>
            <w:tcW w:w="1417" w:type="dxa"/>
          </w:tcPr>
          <w:p w14:paraId="5D40BA07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14:paraId="172D82BA" w14:textId="42B2C5D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4016</w:t>
            </w:r>
          </w:p>
        </w:tc>
        <w:tc>
          <w:tcPr>
            <w:tcW w:w="1417" w:type="dxa"/>
          </w:tcPr>
          <w:p w14:paraId="47FCC76D" w14:textId="7D268F23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4567</w:t>
            </w:r>
          </w:p>
        </w:tc>
        <w:tc>
          <w:tcPr>
            <w:tcW w:w="1134" w:type="dxa"/>
          </w:tcPr>
          <w:p w14:paraId="477B80BB" w14:textId="130308EE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10033</w:t>
            </w:r>
          </w:p>
        </w:tc>
      </w:tr>
      <w:tr w:rsidR="00165571" w:rsidRPr="003B2ABF" w14:paraId="0944F007" w14:textId="77777777">
        <w:trPr>
          <w:trHeight w:val="275"/>
        </w:trPr>
        <w:tc>
          <w:tcPr>
            <w:tcW w:w="4258" w:type="dxa"/>
          </w:tcPr>
          <w:p w14:paraId="57D71DA0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Выбыло</w:t>
            </w:r>
          </w:p>
        </w:tc>
        <w:tc>
          <w:tcPr>
            <w:tcW w:w="1417" w:type="dxa"/>
          </w:tcPr>
          <w:p w14:paraId="729870D1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14:paraId="5D2CFF21" w14:textId="4D132BC3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5155</w:t>
            </w:r>
          </w:p>
        </w:tc>
        <w:tc>
          <w:tcPr>
            <w:tcW w:w="1417" w:type="dxa"/>
          </w:tcPr>
          <w:p w14:paraId="224482E9" w14:textId="79851F42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4478</w:t>
            </w:r>
          </w:p>
        </w:tc>
        <w:tc>
          <w:tcPr>
            <w:tcW w:w="1134" w:type="dxa"/>
          </w:tcPr>
          <w:p w14:paraId="395EEA07" w14:textId="27E78104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10716</w:t>
            </w:r>
          </w:p>
        </w:tc>
      </w:tr>
      <w:tr w:rsidR="00165571" w:rsidRPr="003B2ABF" w14:paraId="6D8BE991" w14:textId="77777777">
        <w:trPr>
          <w:trHeight w:val="275"/>
        </w:trPr>
        <w:tc>
          <w:tcPr>
            <w:tcW w:w="4258" w:type="dxa"/>
          </w:tcPr>
          <w:p w14:paraId="34B8FC15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Миграционный прирост</w:t>
            </w:r>
          </w:p>
        </w:tc>
        <w:tc>
          <w:tcPr>
            <w:tcW w:w="1417" w:type="dxa"/>
          </w:tcPr>
          <w:p w14:paraId="37AB8CAB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14:paraId="4B404A32" w14:textId="687EFEEA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-1139</w:t>
            </w:r>
          </w:p>
        </w:tc>
        <w:tc>
          <w:tcPr>
            <w:tcW w:w="1417" w:type="dxa"/>
          </w:tcPr>
          <w:p w14:paraId="7C6B4457" w14:textId="13E4C378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US"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89</w:t>
            </w:r>
          </w:p>
        </w:tc>
        <w:tc>
          <w:tcPr>
            <w:tcW w:w="1134" w:type="dxa"/>
          </w:tcPr>
          <w:p w14:paraId="3A29B830" w14:textId="01278B33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3B2ABF">
              <w:rPr>
                <w:rFonts w:eastAsia="Times New Roman"/>
                <w:sz w:val="24"/>
                <w:szCs w:val="20"/>
                <w:lang w:eastAsia="ru-RU"/>
              </w:rPr>
              <w:t>-683</w:t>
            </w:r>
          </w:p>
        </w:tc>
      </w:tr>
      <w:tr w:rsidR="006D16A3" w:rsidRPr="003B2ABF" w14:paraId="1F19B38D" w14:textId="77777777">
        <w:trPr>
          <w:trHeight w:val="275"/>
        </w:trPr>
        <w:tc>
          <w:tcPr>
            <w:tcW w:w="4258" w:type="dxa"/>
          </w:tcPr>
          <w:p w14:paraId="2B8C619A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2. Производство товаров и услуг</w:t>
            </w:r>
          </w:p>
        </w:tc>
        <w:tc>
          <w:tcPr>
            <w:tcW w:w="1417" w:type="dxa"/>
          </w:tcPr>
          <w:p w14:paraId="43892996" w14:textId="77777777" w:rsidR="006D16A3" w:rsidRPr="003B2ABF" w:rsidRDefault="006D16A3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0D34C4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ADEB71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2E1648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16A3" w:rsidRPr="003B2ABF" w14:paraId="086DAD9F" w14:textId="77777777">
        <w:trPr>
          <w:trHeight w:val="300"/>
        </w:trPr>
        <w:tc>
          <w:tcPr>
            <w:tcW w:w="4258" w:type="dxa"/>
            <w:noWrap/>
          </w:tcPr>
          <w:p w14:paraId="3809DEFF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 </w:t>
            </w:r>
          </w:p>
        </w:tc>
        <w:tc>
          <w:tcPr>
            <w:tcW w:w="1417" w:type="dxa"/>
            <w:noWrap/>
          </w:tcPr>
          <w:p w14:paraId="6DBCAE02" w14:textId="77777777" w:rsidR="006D16A3" w:rsidRPr="003B2ABF" w:rsidRDefault="00DF1B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2ABF">
              <w:rPr>
                <w:sz w:val="24"/>
                <w:szCs w:val="24"/>
              </w:rPr>
              <w:t>млн. руб.</w:t>
            </w:r>
          </w:p>
          <w:p w14:paraId="7A6C669A" w14:textId="77777777" w:rsidR="006D16A3" w:rsidRPr="003B2ABF" w:rsidRDefault="00DF1B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2ABF">
              <w:rPr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  <w:noWrap/>
          </w:tcPr>
          <w:p w14:paraId="2BA92718" w14:textId="35BC5F8B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74 617,6</w:t>
            </w:r>
          </w:p>
        </w:tc>
        <w:tc>
          <w:tcPr>
            <w:tcW w:w="1417" w:type="dxa"/>
            <w:noWrap/>
          </w:tcPr>
          <w:p w14:paraId="134D9505" w14:textId="68C2B109" w:rsidR="006D16A3" w:rsidRPr="003B2ABF" w:rsidRDefault="00CA0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52 291,6</w:t>
            </w:r>
          </w:p>
        </w:tc>
        <w:tc>
          <w:tcPr>
            <w:tcW w:w="1134" w:type="dxa"/>
            <w:noWrap/>
          </w:tcPr>
          <w:p w14:paraId="225A975E" w14:textId="1D07CE7C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146 685,0</w:t>
            </w:r>
          </w:p>
        </w:tc>
      </w:tr>
      <w:tr w:rsidR="006D16A3" w:rsidRPr="003B2ABF" w14:paraId="50707E9C" w14:textId="77777777">
        <w:trPr>
          <w:trHeight w:val="300"/>
        </w:trPr>
        <w:tc>
          <w:tcPr>
            <w:tcW w:w="4258" w:type="dxa"/>
            <w:noWrap/>
          </w:tcPr>
          <w:p w14:paraId="72AA5046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Темп роста промышленного производства (раздел С: обрабатывающие производства, раздел D: обеспечение электрической энергией, газом и паром; кондиционирование воздуха, раздел Е: водоснабжение; водоотведение, организация сбора и утилизации отходов, деятельность по ликвидации загрязнений)</w:t>
            </w:r>
          </w:p>
        </w:tc>
        <w:tc>
          <w:tcPr>
            <w:tcW w:w="1417" w:type="dxa"/>
            <w:noWrap/>
          </w:tcPr>
          <w:p w14:paraId="0AD69162" w14:textId="77777777" w:rsidR="006D16A3" w:rsidRPr="003B2ABF" w:rsidRDefault="00DF1B2C">
            <w:pPr>
              <w:spacing w:after="0" w:line="240" w:lineRule="auto"/>
              <w:ind w:left="-110" w:right="-105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% к аналогичному периоду прошлого года</w:t>
            </w:r>
          </w:p>
        </w:tc>
        <w:tc>
          <w:tcPr>
            <w:tcW w:w="1418" w:type="dxa"/>
            <w:noWrap/>
          </w:tcPr>
          <w:p w14:paraId="64940B21" w14:textId="737ED6A6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noWrap/>
          </w:tcPr>
          <w:p w14:paraId="1E7BE97A" w14:textId="7B14444B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134" w:type="dxa"/>
            <w:noWrap/>
          </w:tcPr>
          <w:p w14:paraId="12B8A3CC" w14:textId="194E7922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106,0</w:t>
            </w:r>
          </w:p>
        </w:tc>
      </w:tr>
      <w:tr w:rsidR="006D16A3" w:rsidRPr="003B2ABF" w14:paraId="6543ECA2" w14:textId="77777777">
        <w:trPr>
          <w:trHeight w:val="919"/>
        </w:trPr>
        <w:tc>
          <w:tcPr>
            <w:tcW w:w="4258" w:type="dxa"/>
            <w:noWrap/>
          </w:tcPr>
          <w:p w14:paraId="06B5F4AD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Раздел C: обрабатывающие производства</w:t>
            </w:r>
          </w:p>
        </w:tc>
        <w:tc>
          <w:tcPr>
            <w:tcW w:w="1417" w:type="dxa"/>
            <w:noWrap/>
          </w:tcPr>
          <w:p w14:paraId="0D7847B3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5A635001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  <w:noWrap/>
          </w:tcPr>
          <w:p w14:paraId="2F01161F" w14:textId="3E34970D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66 711,1</w:t>
            </w:r>
          </w:p>
        </w:tc>
        <w:tc>
          <w:tcPr>
            <w:tcW w:w="1417" w:type="dxa"/>
            <w:noWrap/>
          </w:tcPr>
          <w:p w14:paraId="57BA8258" w14:textId="6276C7C6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40 804,6</w:t>
            </w:r>
          </w:p>
        </w:tc>
        <w:tc>
          <w:tcPr>
            <w:tcW w:w="1134" w:type="dxa"/>
            <w:noWrap/>
          </w:tcPr>
          <w:p w14:paraId="29275711" w14:textId="1B9B1662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126 776,7</w:t>
            </w:r>
          </w:p>
        </w:tc>
      </w:tr>
      <w:tr w:rsidR="006D16A3" w:rsidRPr="003B2ABF" w14:paraId="449E87D4" w14:textId="77777777">
        <w:trPr>
          <w:trHeight w:val="300"/>
        </w:trPr>
        <w:tc>
          <w:tcPr>
            <w:tcW w:w="4258" w:type="dxa"/>
            <w:noWrap/>
          </w:tcPr>
          <w:p w14:paraId="79D9EB4C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Темп роста – раздел C: обрабатывающие производства</w:t>
            </w:r>
          </w:p>
        </w:tc>
        <w:tc>
          <w:tcPr>
            <w:tcW w:w="1417" w:type="dxa"/>
            <w:noWrap/>
          </w:tcPr>
          <w:p w14:paraId="3824CAC1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% к предыдуще-му году</w:t>
            </w:r>
          </w:p>
        </w:tc>
        <w:tc>
          <w:tcPr>
            <w:tcW w:w="1418" w:type="dxa"/>
            <w:noWrap/>
          </w:tcPr>
          <w:p w14:paraId="76832999" w14:textId="19FA1858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124,7</w:t>
            </w:r>
          </w:p>
        </w:tc>
        <w:tc>
          <w:tcPr>
            <w:tcW w:w="1417" w:type="dxa"/>
            <w:noWrap/>
          </w:tcPr>
          <w:p w14:paraId="20DFCA78" w14:textId="18955E60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4" w:type="dxa"/>
            <w:noWrap/>
          </w:tcPr>
          <w:p w14:paraId="4467290C" w14:textId="0D16B4A4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6D16A3" w:rsidRPr="003B2ABF" w14:paraId="7AA4F00C" w14:textId="77777777">
        <w:trPr>
          <w:trHeight w:val="300"/>
        </w:trPr>
        <w:tc>
          <w:tcPr>
            <w:tcW w:w="4258" w:type="dxa"/>
            <w:noWrap/>
          </w:tcPr>
          <w:p w14:paraId="10CD9B06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Раздел D: обеспечение электрической энергией, газом и паром; </w:t>
            </w:r>
            <w:r w:rsidRPr="003B2ABF">
              <w:rPr>
                <w:rFonts w:eastAsia="Times New Roman"/>
                <w:sz w:val="24"/>
                <w:szCs w:val="24"/>
              </w:rPr>
              <w:lastRenderedPageBreak/>
              <w:t>кондиционирование воздуха</w:t>
            </w:r>
          </w:p>
        </w:tc>
        <w:tc>
          <w:tcPr>
            <w:tcW w:w="1417" w:type="dxa"/>
            <w:noWrap/>
          </w:tcPr>
          <w:p w14:paraId="3AC0E1D6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lastRenderedPageBreak/>
              <w:t>млн. руб.</w:t>
            </w:r>
          </w:p>
          <w:p w14:paraId="14A4B27A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в ценах </w:t>
            </w:r>
            <w:r w:rsidRPr="003B2ABF">
              <w:rPr>
                <w:rFonts w:eastAsia="Times New Roman"/>
                <w:sz w:val="24"/>
                <w:szCs w:val="24"/>
              </w:rPr>
              <w:lastRenderedPageBreak/>
              <w:t>соответст-вующих лет</w:t>
            </w:r>
          </w:p>
        </w:tc>
        <w:tc>
          <w:tcPr>
            <w:tcW w:w="1418" w:type="dxa"/>
            <w:noWrap/>
          </w:tcPr>
          <w:p w14:paraId="0D5F9CBC" w14:textId="2611C4BD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5 894,7</w:t>
            </w:r>
          </w:p>
        </w:tc>
        <w:tc>
          <w:tcPr>
            <w:tcW w:w="1417" w:type="dxa"/>
            <w:noWrap/>
          </w:tcPr>
          <w:p w14:paraId="280C846E" w14:textId="7BAE5366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6 689,6</w:t>
            </w:r>
          </w:p>
        </w:tc>
        <w:tc>
          <w:tcPr>
            <w:tcW w:w="1134" w:type="dxa"/>
            <w:noWrap/>
          </w:tcPr>
          <w:p w14:paraId="03414948" w14:textId="584E6C0E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  <w:r w:rsidR="00773912"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830,2</w:t>
            </w:r>
          </w:p>
        </w:tc>
      </w:tr>
      <w:tr w:rsidR="006D16A3" w:rsidRPr="003B2ABF" w14:paraId="6BA6E169" w14:textId="77777777">
        <w:trPr>
          <w:trHeight w:val="300"/>
        </w:trPr>
        <w:tc>
          <w:tcPr>
            <w:tcW w:w="4258" w:type="dxa"/>
            <w:noWrap/>
          </w:tcPr>
          <w:p w14:paraId="2499F29A" w14:textId="77777777" w:rsidR="006D16A3" w:rsidRPr="003B2ABF" w:rsidRDefault="00DF1B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Темп роста - раздел D: обеспечение электрической энергией, газом и паром; кондиционирование воздуха </w:t>
            </w:r>
          </w:p>
        </w:tc>
        <w:tc>
          <w:tcPr>
            <w:tcW w:w="1417" w:type="dxa"/>
            <w:noWrap/>
          </w:tcPr>
          <w:p w14:paraId="40FCBA43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% к предыдуще-му году</w:t>
            </w:r>
          </w:p>
        </w:tc>
        <w:tc>
          <w:tcPr>
            <w:tcW w:w="1418" w:type="dxa"/>
            <w:noWrap/>
          </w:tcPr>
          <w:p w14:paraId="3A827EA5" w14:textId="01F43C10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17" w:type="dxa"/>
            <w:noWrap/>
          </w:tcPr>
          <w:p w14:paraId="3B4165C5" w14:textId="2D421D89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1134" w:type="dxa"/>
            <w:noWrap/>
          </w:tcPr>
          <w:p w14:paraId="56EA0AA3" w14:textId="12A24026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</w:tr>
      <w:tr w:rsidR="006D16A3" w:rsidRPr="003B2ABF" w14:paraId="13EE9C68" w14:textId="77777777">
        <w:trPr>
          <w:trHeight w:val="300"/>
        </w:trPr>
        <w:tc>
          <w:tcPr>
            <w:tcW w:w="4258" w:type="dxa"/>
            <w:noWrap/>
          </w:tcPr>
          <w:p w14:paraId="7C225CF2" w14:textId="77777777" w:rsidR="006D16A3" w:rsidRPr="003B2ABF" w:rsidRDefault="00DF1B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noWrap/>
          </w:tcPr>
          <w:p w14:paraId="4D54AE05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  <w:p w14:paraId="44A4C444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ценах соответст-вующих лет</w:t>
            </w:r>
          </w:p>
        </w:tc>
        <w:tc>
          <w:tcPr>
            <w:tcW w:w="1418" w:type="dxa"/>
            <w:noWrap/>
          </w:tcPr>
          <w:p w14:paraId="000A455D" w14:textId="4A91D275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2 011,8</w:t>
            </w:r>
          </w:p>
        </w:tc>
        <w:tc>
          <w:tcPr>
            <w:tcW w:w="1417" w:type="dxa"/>
            <w:noWrap/>
          </w:tcPr>
          <w:p w14:paraId="2513C067" w14:textId="459284BC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2 205,4</w:t>
            </w:r>
          </w:p>
        </w:tc>
        <w:tc>
          <w:tcPr>
            <w:tcW w:w="1134" w:type="dxa"/>
            <w:noWrap/>
          </w:tcPr>
          <w:p w14:paraId="01C8EB11" w14:textId="14DE1C79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5 080,0</w:t>
            </w:r>
          </w:p>
        </w:tc>
      </w:tr>
      <w:tr w:rsidR="006D16A3" w:rsidRPr="003B2ABF" w14:paraId="063EF835" w14:textId="77777777">
        <w:trPr>
          <w:trHeight w:val="300"/>
        </w:trPr>
        <w:tc>
          <w:tcPr>
            <w:tcW w:w="4258" w:type="dxa"/>
            <w:noWrap/>
          </w:tcPr>
          <w:p w14:paraId="43F30239" w14:textId="77777777" w:rsidR="006D16A3" w:rsidRPr="003B2ABF" w:rsidRDefault="00DF1B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Темп роста –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noWrap/>
          </w:tcPr>
          <w:p w14:paraId="5CA91747" w14:textId="77777777" w:rsidR="006D16A3" w:rsidRPr="003B2ABF" w:rsidRDefault="00DF1B2C">
            <w:pPr>
              <w:spacing w:after="0" w:line="240" w:lineRule="auto"/>
              <w:ind w:left="-18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% к предыдуще-му году</w:t>
            </w:r>
          </w:p>
        </w:tc>
        <w:tc>
          <w:tcPr>
            <w:tcW w:w="1418" w:type="dxa"/>
            <w:noWrap/>
          </w:tcPr>
          <w:p w14:paraId="5DEEDF13" w14:textId="7EF4FFA9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417" w:type="dxa"/>
            <w:noWrap/>
          </w:tcPr>
          <w:p w14:paraId="2FF0C567" w14:textId="0E2DB414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134" w:type="dxa"/>
            <w:noWrap/>
          </w:tcPr>
          <w:p w14:paraId="42D1D0AB" w14:textId="6F99F245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104,2</w:t>
            </w:r>
          </w:p>
        </w:tc>
      </w:tr>
      <w:tr w:rsidR="006D16A3" w:rsidRPr="003B2ABF" w14:paraId="30F1668E" w14:textId="77777777">
        <w:trPr>
          <w:trHeight w:val="300"/>
        </w:trPr>
        <w:tc>
          <w:tcPr>
            <w:tcW w:w="4258" w:type="dxa"/>
            <w:noWrap/>
          </w:tcPr>
          <w:p w14:paraId="38C4B2B1" w14:textId="77777777" w:rsidR="006D16A3" w:rsidRPr="003B2ABF" w:rsidRDefault="00DF1B2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3. Рынок товаров и услуг</w:t>
            </w:r>
          </w:p>
        </w:tc>
        <w:tc>
          <w:tcPr>
            <w:tcW w:w="1417" w:type="dxa"/>
            <w:noWrap/>
          </w:tcPr>
          <w:p w14:paraId="6D07F4EF" w14:textId="77777777" w:rsidR="006D16A3" w:rsidRPr="003B2ABF" w:rsidRDefault="006D16A3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14:paraId="654C5D59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14:paraId="3DA60828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2593C4CB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D16A3" w:rsidRPr="003B2ABF" w14:paraId="27FD4822" w14:textId="77777777">
        <w:trPr>
          <w:trHeight w:val="300"/>
        </w:trPr>
        <w:tc>
          <w:tcPr>
            <w:tcW w:w="4258" w:type="dxa"/>
            <w:noWrap/>
          </w:tcPr>
          <w:p w14:paraId="37F82203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17" w:type="dxa"/>
            <w:noWrap/>
          </w:tcPr>
          <w:p w14:paraId="453DB16B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6ACC3806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  <w:noWrap/>
          </w:tcPr>
          <w:p w14:paraId="378E3C6F" w14:textId="6F6F9B4D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32 607,6</w:t>
            </w:r>
          </w:p>
        </w:tc>
        <w:tc>
          <w:tcPr>
            <w:tcW w:w="1417" w:type="dxa"/>
            <w:noWrap/>
          </w:tcPr>
          <w:p w14:paraId="66B14AB5" w14:textId="399E70E9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36 663,3</w:t>
            </w:r>
          </w:p>
        </w:tc>
        <w:tc>
          <w:tcPr>
            <w:tcW w:w="1134" w:type="dxa"/>
            <w:noWrap/>
          </w:tcPr>
          <w:p w14:paraId="3A8C0089" w14:textId="7E7DB5E7" w:rsidR="006D16A3" w:rsidRPr="003B2ABF" w:rsidRDefault="00773912">
            <w:pPr>
              <w:spacing w:after="0" w:line="240" w:lineRule="auto"/>
              <w:ind w:left="-98" w:right="-11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125 665,6</w:t>
            </w:r>
          </w:p>
        </w:tc>
      </w:tr>
      <w:tr w:rsidR="006D16A3" w:rsidRPr="003B2ABF" w14:paraId="015FFBD7" w14:textId="77777777">
        <w:trPr>
          <w:trHeight w:val="300"/>
        </w:trPr>
        <w:tc>
          <w:tcPr>
            <w:tcW w:w="4258" w:type="dxa"/>
            <w:noWrap/>
          </w:tcPr>
          <w:p w14:paraId="3AC51B51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Индекс физического объема оборота розничной торговли</w:t>
            </w:r>
          </w:p>
        </w:tc>
        <w:tc>
          <w:tcPr>
            <w:tcW w:w="1417" w:type="dxa"/>
            <w:noWrap/>
          </w:tcPr>
          <w:p w14:paraId="36B5B989" w14:textId="77777777" w:rsidR="006D16A3" w:rsidRPr="003B2ABF" w:rsidRDefault="00DF1B2C">
            <w:pPr>
              <w:spacing w:after="0" w:line="240" w:lineRule="auto"/>
              <w:ind w:left="-110" w:right="-105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418" w:type="dxa"/>
            <w:noWrap/>
          </w:tcPr>
          <w:p w14:paraId="749B7EB4" w14:textId="58422E09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417" w:type="dxa"/>
            <w:noWrap/>
          </w:tcPr>
          <w:p w14:paraId="0C58B99A" w14:textId="4DD2FA9B" w:rsidR="006D16A3" w:rsidRPr="003B2ABF" w:rsidRDefault="00DE75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75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noWrap/>
          </w:tcPr>
          <w:p w14:paraId="42D50650" w14:textId="5AAF4DFF" w:rsidR="006D16A3" w:rsidRPr="003B2ABF" w:rsidRDefault="00773912">
            <w:pPr>
              <w:spacing w:after="0" w:line="240" w:lineRule="auto"/>
              <w:ind w:left="-98" w:right="-11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  <w:tr w:rsidR="006D16A3" w:rsidRPr="003B2ABF" w14:paraId="069198DC" w14:textId="77777777">
        <w:trPr>
          <w:trHeight w:val="300"/>
        </w:trPr>
        <w:tc>
          <w:tcPr>
            <w:tcW w:w="4258" w:type="dxa"/>
            <w:noWrap/>
          </w:tcPr>
          <w:p w14:paraId="5A4D133D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17" w:type="dxa"/>
            <w:noWrap/>
          </w:tcPr>
          <w:p w14:paraId="59E7E479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3034EF0B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  <w:noWrap/>
          </w:tcPr>
          <w:p w14:paraId="79C340D9" w14:textId="3F211594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1 438,5</w:t>
            </w:r>
          </w:p>
        </w:tc>
        <w:tc>
          <w:tcPr>
            <w:tcW w:w="1417" w:type="dxa"/>
            <w:noWrap/>
          </w:tcPr>
          <w:p w14:paraId="529BCC74" w14:textId="1ED9ED0F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1 709,1</w:t>
            </w:r>
          </w:p>
        </w:tc>
        <w:tc>
          <w:tcPr>
            <w:tcW w:w="1134" w:type="dxa"/>
            <w:noWrap/>
          </w:tcPr>
          <w:p w14:paraId="3DFF4F4A" w14:textId="64454E3A" w:rsidR="006D16A3" w:rsidRPr="003B2ABF" w:rsidRDefault="00773912">
            <w:pPr>
              <w:spacing w:after="0" w:line="240" w:lineRule="auto"/>
              <w:ind w:left="-98" w:right="-11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8 884,4</w:t>
            </w:r>
          </w:p>
        </w:tc>
      </w:tr>
      <w:tr w:rsidR="006D16A3" w:rsidRPr="003B2ABF" w14:paraId="2B94A004" w14:textId="77777777">
        <w:trPr>
          <w:trHeight w:val="300"/>
        </w:trPr>
        <w:tc>
          <w:tcPr>
            <w:tcW w:w="4258" w:type="dxa"/>
            <w:noWrap/>
          </w:tcPr>
          <w:p w14:paraId="1AA1F4A2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417" w:type="dxa"/>
            <w:noWrap/>
          </w:tcPr>
          <w:p w14:paraId="5232B3FB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7E2F88CF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  <w:noWrap/>
          </w:tcPr>
          <w:p w14:paraId="00A06B3C" w14:textId="332DE143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14 925,4</w:t>
            </w:r>
          </w:p>
        </w:tc>
        <w:tc>
          <w:tcPr>
            <w:tcW w:w="1417" w:type="dxa"/>
            <w:noWrap/>
          </w:tcPr>
          <w:p w14:paraId="253E7DFE" w14:textId="16DA3FA8" w:rsidR="006D16A3" w:rsidRPr="003B2ABF" w:rsidRDefault="00773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16 184,6</w:t>
            </w:r>
          </w:p>
        </w:tc>
        <w:tc>
          <w:tcPr>
            <w:tcW w:w="1134" w:type="dxa"/>
            <w:noWrap/>
          </w:tcPr>
          <w:p w14:paraId="69743EA8" w14:textId="7F36D1D7" w:rsidR="006D16A3" w:rsidRPr="003B2ABF" w:rsidRDefault="00773912">
            <w:pPr>
              <w:spacing w:after="0" w:line="240" w:lineRule="auto"/>
              <w:ind w:left="-98" w:right="-11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25 109,7</w:t>
            </w:r>
          </w:p>
        </w:tc>
      </w:tr>
      <w:tr w:rsidR="00DE7527" w:rsidRPr="003B2ABF" w14:paraId="025A3326" w14:textId="77777777">
        <w:trPr>
          <w:trHeight w:val="315"/>
        </w:trPr>
        <w:tc>
          <w:tcPr>
            <w:tcW w:w="4258" w:type="dxa"/>
          </w:tcPr>
          <w:p w14:paraId="7FCB87AD" w14:textId="77777777" w:rsidR="00DE7527" w:rsidRPr="003B2ABF" w:rsidRDefault="00DE7527" w:rsidP="00DE75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Индекс физического объема платных услуг населению</w:t>
            </w:r>
          </w:p>
        </w:tc>
        <w:tc>
          <w:tcPr>
            <w:tcW w:w="1417" w:type="dxa"/>
          </w:tcPr>
          <w:p w14:paraId="3E20E9F7" w14:textId="77777777" w:rsidR="00DE7527" w:rsidRPr="003B2ABF" w:rsidRDefault="00DE7527" w:rsidP="00DE7527">
            <w:pPr>
              <w:spacing w:after="0" w:line="240" w:lineRule="auto"/>
              <w:ind w:left="-110" w:right="-105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% к преды-дущему году</w:t>
            </w:r>
          </w:p>
        </w:tc>
        <w:tc>
          <w:tcPr>
            <w:tcW w:w="1418" w:type="dxa"/>
          </w:tcPr>
          <w:p w14:paraId="0FBC74C9" w14:textId="66F0E8B0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417" w:type="dxa"/>
          </w:tcPr>
          <w:p w14:paraId="4BD90482" w14:textId="253684F8" w:rsidR="00DE7527" w:rsidRPr="00DE7527" w:rsidRDefault="00DE7527" w:rsidP="00DE75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7527">
              <w:rPr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14:paraId="5F8EBF9F" w14:textId="7BEDD19F" w:rsidR="00DE7527" w:rsidRPr="003B2ABF" w:rsidRDefault="00DE7527" w:rsidP="00DE7527">
            <w:pPr>
              <w:spacing w:after="0" w:line="240" w:lineRule="auto"/>
              <w:ind w:left="-98" w:right="-11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100,6</w:t>
            </w:r>
          </w:p>
        </w:tc>
      </w:tr>
      <w:tr w:rsidR="00DE7527" w:rsidRPr="003B2ABF" w14:paraId="04FFFCBE" w14:textId="77777777">
        <w:trPr>
          <w:trHeight w:val="259"/>
        </w:trPr>
        <w:tc>
          <w:tcPr>
            <w:tcW w:w="4258" w:type="dxa"/>
            <w:shd w:val="clear" w:color="auto" w:fill="auto"/>
          </w:tcPr>
          <w:p w14:paraId="5968D9FF" w14:textId="77777777" w:rsidR="00DE7527" w:rsidRPr="003B2ABF" w:rsidRDefault="00DE7527" w:rsidP="00DE75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4. Малое и среднее предпринимательство</w:t>
            </w:r>
          </w:p>
        </w:tc>
        <w:tc>
          <w:tcPr>
            <w:tcW w:w="1417" w:type="dxa"/>
            <w:shd w:val="clear" w:color="auto" w:fill="auto"/>
          </w:tcPr>
          <w:p w14:paraId="267FF763" w14:textId="77777777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26317" w14:textId="77777777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BE01FD5" w14:textId="77777777" w:rsidR="00DE7527" w:rsidRPr="00DE7527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31E3E1" w14:textId="77777777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E7527" w:rsidRPr="003B2ABF" w14:paraId="2133963E" w14:textId="77777777">
        <w:trPr>
          <w:trHeight w:val="259"/>
        </w:trPr>
        <w:tc>
          <w:tcPr>
            <w:tcW w:w="4258" w:type="dxa"/>
          </w:tcPr>
          <w:p w14:paraId="6B8FBBDE" w14:textId="77777777" w:rsidR="00DE7527" w:rsidRPr="003B2ABF" w:rsidRDefault="00DE7527" w:rsidP="00DE75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Количество малых предпри</w:t>
            </w:r>
            <w:r w:rsidRPr="003B2ABF">
              <w:rPr>
                <w:rFonts w:eastAsia="Times New Roman"/>
                <w:sz w:val="24"/>
                <w:szCs w:val="24"/>
              </w:rPr>
              <w:softHyphen/>
              <w:t>ятий, в том числе микропредприятий – всего по состоянию на конец года</w:t>
            </w:r>
            <w:r w:rsidRPr="003B2ABF">
              <w:rPr>
                <w:rFonts w:eastAsia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417" w:type="dxa"/>
          </w:tcPr>
          <w:p w14:paraId="0427325B" w14:textId="77777777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6EC38687" w14:textId="0CC6D389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6 135</w:t>
            </w:r>
          </w:p>
        </w:tc>
        <w:tc>
          <w:tcPr>
            <w:tcW w:w="1417" w:type="dxa"/>
          </w:tcPr>
          <w:p w14:paraId="5E0CCF18" w14:textId="3797DBFC" w:rsidR="00DE7527" w:rsidRPr="00DE7527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5995</w:t>
            </w:r>
          </w:p>
        </w:tc>
        <w:tc>
          <w:tcPr>
            <w:tcW w:w="1134" w:type="dxa"/>
          </w:tcPr>
          <w:p w14:paraId="2C71B4D8" w14:textId="2351C21F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6 175</w:t>
            </w:r>
          </w:p>
        </w:tc>
      </w:tr>
      <w:tr w:rsidR="00DE7527" w:rsidRPr="003B2ABF" w14:paraId="1057AF87" w14:textId="77777777">
        <w:trPr>
          <w:trHeight w:val="259"/>
        </w:trPr>
        <w:tc>
          <w:tcPr>
            <w:tcW w:w="4258" w:type="dxa"/>
          </w:tcPr>
          <w:p w14:paraId="53177ED8" w14:textId="5C6F661C" w:rsidR="00DE7527" w:rsidRPr="003B2ABF" w:rsidRDefault="00DE7527" w:rsidP="00DE75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Численность индивидуальных предпринимателей - по состоянию на конец года</w:t>
            </w:r>
          </w:p>
        </w:tc>
        <w:tc>
          <w:tcPr>
            <w:tcW w:w="1417" w:type="dxa"/>
          </w:tcPr>
          <w:p w14:paraId="476A18C2" w14:textId="77777777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14:paraId="4C44A0B8" w14:textId="6464DCFE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7 378</w:t>
            </w:r>
          </w:p>
        </w:tc>
        <w:tc>
          <w:tcPr>
            <w:tcW w:w="1417" w:type="dxa"/>
          </w:tcPr>
          <w:p w14:paraId="7FD68F4D" w14:textId="57DF2DBC" w:rsidR="00DE7527" w:rsidRPr="00DE7527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7970</w:t>
            </w:r>
          </w:p>
        </w:tc>
        <w:tc>
          <w:tcPr>
            <w:tcW w:w="1134" w:type="dxa"/>
          </w:tcPr>
          <w:p w14:paraId="654482B8" w14:textId="7CD9DACF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7 664</w:t>
            </w:r>
          </w:p>
        </w:tc>
      </w:tr>
      <w:tr w:rsidR="00DE7527" w:rsidRPr="003B2ABF" w14:paraId="20D8E558" w14:textId="77777777">
        <w:trPr>
          <w:trHeight w:val="259"/>
        </w:trPr>
        <w:tc>
          <w:tcPr>
            <w:tcW w:w="4258" w:type="dxa"/>
          </w:tcPr>
          <w:p w14:paraId="0EF589FD" w14:textId="38AD3044" w:rsidR="00DE7527" w:rsidRPr="003B2ABF" w:rsidRDefault="00DE7527" w:rsidP="00DE75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lastRenderedPageBreak/>
              <w:t>Количество средних предприятий – всего</w:t>
            </w:r>
            <w:r w:rsidRPr="003B2ABF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CBB6E5F" w14:textId="77777777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3D862CF2" w14:textId="07770957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5F771242" w14:textId="65A3EFA2" w:rsidR="00DE7527" w:rsidRPr="00DE7527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76045FB7" w14:textId="54AC9DD0" w:rsidR="00DE7527" w:rsidRPr="003B2ABF" w:rsidRDefault="00DE7527" w:rsidP="00DE75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6D16A3" w:rsidRPr="003B2ABF" w14:paraId="0CE24DEE" w14:textId="77777777">
        <w:trPr>
          <w:trHeight w:val="259"/>
        </w:trPr>
        <w:tc>
          <w:tcPr>
            <w:tcW w:w="4258" w:type="dxa"/>
          </w:tcPr>
          <w:p w14:paraId="3BE3302B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5. Инвестиции и строительство</w:t>
            </w:r>
          </w:p>
        </w:tc>
        <w:tc>
          <w:tcPr>
            <w:tcW w:w="1417" w:type="dxa"/>
          </w:tcPr>
          <w:p w14:paraId="15BBBB3D" w14:textId="77777777" w:rsidR="006D16A3" w:rsidRPr="003B2ABF" w:rsidRDefault="006D16A3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0ACFED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D79CD9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9244B" w14:textId="77777777" w:rsidR="006D16A3" w:rsidRPr="003B2ABF" w:rsidRDefault="006D16A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6760D" w:rsidRPr="003B2ABF" w14:paraId="1C429975" w14:textId="77777777">
        <w:trPr>
          <w:trHeight w:val="259"/>
        </w:trPr>
        <w:tc>
          <w:tcPr>
            <w:tcW w:w="4258" w:type="dxa"/>
          </w:tcPr>
          <w:p w14:paraId="60D46087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1417" w:type="dxa"/>
          </w:tcPr>
          <w:p w14:paraId="4E87F64E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5100F151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</w:tcPr>
          <w:p w14:paraId="2C36883E" w14:textId="2B687F2D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20 547,4</w:t>
            </w:r>
          </w:p>
        </w:tc>
        <w:tc>
          <w:tcPr>
            <w:tcW w:w="1417" w:type="dxa"/>
          </w:tcPr>
          <w:p w14:paraId="431587DE" w14:textId="539708DF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24 388,7</w:t>
            </w:r>
          </w:p>
        </w:tc>
        <w:tc>
          <w:tcPr>
            <w:tcW w:w="1134" w:type="dxa"/>
          </w:tcPr>
          <w:p w14:paraId="2C0A2538" w14:textId="72F63FD9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48 691,2</w:t>
            </w:r>
          </w:p>
        </w:tc>
      </w:tr>
      <w:tr w:rsidR="00A6760D" w:rsidRPr="003B2ABF" w14:paraId="5CCECA0A" w14:textId="77777777">
        <w:trPr>
          <w:trHeight w:val="286"/>
        </w:trPr>
        <w:tc>
          <w:tcPr>
            <w:tcW w:w="4258" w:type="dxa"/>
          </w:tcPr>
          <w:p w14:paraId="4205D540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Объем инвестиций (в основной капитал) за счет всех источников финансирования – всего</w:t>
            </w:r>
          </w:p>
        </w:tc>
        <w:tc>
          <w:tcPr>
            <w:tcW w:w="1417" w:type="dxa"/>
          </w:tcPr>
          <w:p w14:paraId="74D2D77B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57A184B7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</w:tcPr>
          <w:p w14:paraId="6A6D4435" w14:textId="4BF980FC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29 682,2</w:t>
            </w:r>
          </w:p>
        </w:tc>
        <w:tc>
          <w:tcPr>
            <w:tcW w:w="1417" w:type="dxa"/>
          </w:tcPr>
          <w:p w14:paraId="7CDE9C63" w14:textId="58E4BFA3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33 617,8</w:t>
            </w:r>
          </w:p>
        </w:tc>
        <w:tc>
          <w:tcPr>
            <w:tcW w:w="1134" w:type="dxa"/>
          </w:tcPr>
          <w:p w14:paraId="03227AD4" w14:textId="3055CF04" w:rsidR="00A6760D" w:rsidRPr="003B2ABF" w:rsidRDefault="00A6760D" w:rsidP="00A6760D">
            <w:pPr>
              <w:spacing w:after="0" w:line="240" w:lineRule="auto"/>
              <w:ind w:left="-103" w:right="-11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88 004,8</w:t>
            </w:r>
          </w:p>
        </w:tc>
      </w:tr>
      <w:tr w:rsidR="00A6760D" w:rsidRPr="003B2ABF" w14:paraId="76757A5F" w14:textId="77777777">
        <w:trPr>
          <w:trHeight w:val="630"/>
        </w:trPr>
        <w:tc>
          <w:tcPr>
            <w:tcW w:w="4258" w:type="dxa"/>
          </w:tcPr>
          <w:p w14:paraId="0429D63A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бюджетные средства,</w:t>
            </w:r>
          </w:p>
          <w:p w14:paraId="540C2B76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14:paraId="71EC3724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0E0C41CA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</w:tcPr>
          <w:p w14:paraId="07449078" w14:textId="281D8C83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9 134,8</w:t>
            </w:r>
          </w:p>
        </w:tc>
        <w:tc>
          <w:tcPr>
            <w:tcW w:w="1417" w:type="dxa"/>
          </w:tcPr>
          <w:p w14:paraId="6C66F3E7" w14:textId="08F7C873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9 229,1</w:t>
            </w:r>
          </w:p>
        </w:tc>
        <w:tc>
          <w:tcPr>
            <w:tcW w:w="1134" w:type="dxa"/>
          </w:tcPr>
          <w:p w14:paraId="44A7DA7B" w14:textId="1A05CEDF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39 313,6</w:t>
            </w:r>
          </w:p>
        </w:tc>
      </w:tr>
      <w:tr w:rsidR="00A6760D" w:rsidRPr="003B2ABF" w14:paraId="75433A8D" w14:textId="77777777">
        <w:trPr>
          <w:trHeight w:val="630"/>
        </w:trPr>
        <w:tc>
          <w:tcPr>
            <w:tcW w:w="4258" w:type="dxa"/>
          </w:tcPr>
          <w:p w14:paraId="13E4789D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3EF3DA4E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2C0AAFD0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</w:tcPr>
          <w:p w14:paraId="3107915C" w14:textId="3E3562DB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8 257,7</w:t>
            </w:r>
          </w:p>
        </w:tc>
        <w:tc>
          <w:tcPr>
            <w:tcW w:w="1417" w:type="dxa"/>
          </w:tcPr>
          <w:p w14:paraId="0A604540" w14:textId="22562059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7 537,3</w:t>
            </w:r>
          </w:p>
        </w:tc>
        <w:tc>
          <w:tcPr>
            <w:tcW w:w="1134" w:type="dxa"/>
          </w:tcPr>
          <w:p w14:paraId="2A4D5F06" w14:textId="3F49D870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33 322,8</w:t>
            </w:r>
          </w:p>
        </w:tc>
      </w:tr>
      <w:tr w:rsidR="00A6760D" w:rsidRPr="003B2ABF" w14:paraId="301E266A" w14:textId="77777777">
        <w:trPr>
          <w:trHeight w:val="630"/>
        </w:trPr>
        <w:tc>
          <w:tcPr>
            <w:tcW w:w="4258" w:type="dxa"/>
          </w:tcPr>
          <w:p w14:paraId="2F2A171A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средства бюджета субъекта Федерации</w:t>
            </w:r>
          </w:p>
        </w:tc>
        <w:tc>
          <w:tcPr>
            <w:tcW w:w="1417" w:type="dxa"/>
          </w:tcPr>
          <w:p w14:paraId="7CC51F3A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314BEBA8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</w:tcPr>
          <w:p w14:paraId="489C61F9" w14:textId="35D41C34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465,9</w:t>
            </w:r>
          </w:p>
        </w:tc>
        <w:tc>
          <w:tcPr>
            <w:tcW w:w="1417" w:type="dxa"/>
          </w:tcPr>
          <w:p w14:paraId="32677469" w14:textId="3F39CA02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1 144,4</w:t>
            </w:r>
          </w:p>
        </w:tc>
        <w:tc>
          <w:tcPr>
            <w:tcW w:w="1134" w:type="dxa"/>
          </w:tcPr>
          <w:p w14:paraId="45E9A9A6" w14:textId="648B1151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4 341,3</w:t>
            </w:r>
          </w:p>
        </w:tc>
      </w:tr>
      <w:tr w:rsidR="00A6760D" w:rsidRPr="003B2ABF" w14:paraId="08788BDB" w14:textId="77777777">
        <w:trPr>
          <w:trHeight w:val="630"/>
        </w:trPr>
        <w:tc>
          <w:tcPr>
            <w:tcW w:w="4258" w:type="dxa"/>
          </w:tcPr>
          <w:p w14:paraId="0FB47392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1417" w:type="dxa"/>
          </w:tcPr>
          <w:p w14:paraId="18C27152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768222FD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</w:tcPr>
          <w:p w14:paraId="798539B2" w14:textId="74C10102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411,2</w:t>
            </w:r>
          </w:p>
        </w:tc>
        <w:tc>
          <w:tcPr>
            <w:tcW w:w="1417" w:type="dxa"/>
          </w:tcPr>
          <w:p w14:paraId="07035030" w14:textId="51B35446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547,5</w:t>
            </w:r>
          </w:p>
        </w:tc>
        <w:tc>
          <w:tcPr>
            <w:tcW w:w="1134" w:type="dxa"/>
          </w:tcPr>
          <w:p w14:paraId="2527F1EB" w14:textId="22C23B6B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1 649,5</w:t>
            </w:r>
          </w:p>
        </w:tc>
      </w:tr>
      <w:tr w:rsidR="00A6760D" w:rsidRPr="003B2ABF" w14:paraId="0CF4E290" w14:textId="77777777">
        <w:trPr>
          <w:trHeight w:val="630"/>
        </w:trPr>
        <w:tc>
          <w:tcPr>
            <w:tcW w:w="4258" w:type="dxa"/>
          </w:tcPr>
          <w:p w14:paraId="139A0EFA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собственные средства предприятий</w:t>
            </w:r>
          </w:p>
          <w:p w14:paraId="183D4C10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029BC0FB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C471562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млн. руб.</w:t>
            </w:r>
          </w:p>
          <w:p w14:paraId="3E0C0CEC" w14:textId="7777777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ценах соответст-вующих лет</w:t>
            </w:r>
          </w:p>
        </w:tc>
        <w:tc>
          <w:tcPr>
            <w:tcW w:w="1418" w:type="dxa"/>
          </w:tcPr>
          <w:p w14:paraId="6F588CAD" w14:textId="702B085A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9 571,7</w:t>
            </w:r>
          </w:p>
        </w:tc>
        <w:tc>
          <w:tcPr>
            <w:tcW w:w="1417" w:type="dxa"/>
          </w:tcPr>
          <w:p w14:paraId="3319CBF9" w14:textId="2E32DC8C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16 923,5</w:t>
            </w:r>
          </w:p>
        </w:tc>
        <w:tc>
          <w:tcPr>
            <w:tcW w:w="1134" w:type="dxa"/>
          </w:tcPr>
          <w:p w14:paraId="7FB2E47F" w14:textId="6DE63701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25 511,2</w:t>
            </w:r>
          </w:p>
        </w:tc>
      </w:tr>
      <w:tr w:rsidR="00A6760D" w:rsidRPr="003B2ABF" w14:paraId="287D1AD7" w14:textId="77777777">
        <w:trPr>
          <w:trHeight w:val="630"/>
        </w:trPr>
        <w:tc>
          <w:tcPr>
            <w:tcW w:w="4258" w:type="dxa"/>
          </w:tcPr>
          <w:p w14:paraId="29A45CB2" w14:textId="77777777" w:rsidR="00A6760D" w:rsidRPr="003B2ABF" w:rsidRDefault="00A6760D" w:rsidP="00A6760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Объем выполненных работ по виду деятельности «Строительство» </w:t>
            </w:r>
          </w:p>
        </w:tc>
        <w:tc>
          <w:tcPr>
            <w:tcW w:w="1417" w:type="dxa"/>
          </w:tcPr>
          <w:p w14:paraId="2184DCDA" w14:textId="0645B375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млн. руб. </w:t>
            </w: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в ценах соответст-вующих лет</w:t>
            </w:r>
          </w:p>
        </w:tc>
        <w:tc>
          <w:tcPr>
            <w:tcW w:w="1418" w:type="dxa"/>
          </w:tcPr>
          <w:p w14:paraId="011955EA" w14:textId="2AA1D82B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4 844,8</w:t>
            </w:r>
          </w:p>
        </w:tc>
        <w:tc>
          <w:tcPr>
            <w:tcW w:w="1417" w:type="dxa"/>
          </w:tcPr>
          <w:p w14:paraId="4401A6C2" w14:textId="6871DE35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6 183,5</w:t>
            </w:r>
          </w:p>
        </w:tc>
        <w:tc>
          <w:tcPr>
            <w:tcW w:w="1134" w:type="dxa"/>
          </w:tcPr>
          <w:p w14:paraId="0E673586" w14:textId="3CAB9047" w:rsidR="00A6760D" w:rsidRPr="003B2ABF" w:rsidRDefault="00A6760D" w:rsidP="00A676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8 038,6</w:t>
            </w:r>
          </w:p>
        </w:tc>
      </w:tr>
      <w:tr w:rsidR="006D16A3" w:rsidRPr="003B2ABF" w14:paraId="7078AF89" w14:textId="77777777">
        <w:trPr>
          <w:trHeight w:val="170"/>
        </w:trPr>
        <w:tc>
          <w:tcPr>
            <w:tcW w:w="4258" w:type="dxa"/>
          </w:tcPr>
          <w:p w14:paraId="627B76AE" w14:textId="77777777" w:rsidR="006D16A3" w:rsidRPr="003B2ABF" w:rsidRDefault="00DF1B2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6. Сальдированный финансовый результат (прибыль, убыток) </w:t>
            </w:r>
            <w:r w:rsidRPr="003B2ABF">
              <w:rPr>
                <w:rFonts w:eastAsia="Times New Roman"/>
                <w:sz w:val="24"/>
                <w:szCs w:val="24"/>
              </w:rPr>
              <w:lastRenderedPageBreak/>
              <w:t>деятельности крупных и средних предприятий</w:t>
            </w:r>
            <w:r w:rsidRPr="003B2ABF">
              <w:rPr>
                <w:rFonts w:eastAsia="Times New Roman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1417" w:type="dxa"/>
          </w:tcPr>
          <w:p w14:paraId="3584E37A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lastRenderedPageBreak/>
              <w:t>млн. руб.</w:t>
            </w:r>
          </w:p>
          <w:p w14:paraId="4617993C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в ценах </w:t>
            </w:r>
            <w:r w:rsidRPr="003B2ABF">
              <w:rPr>
                <w:rFonts w:eastAsia="Times New Roman"/>
                <w:sz w:val="24"/>
                <w:szCs w:val="24"/>
              </w:rPr>
              <w:lastRenderedPageBreak/>
              <w:t>соответст-вующих лет</w:t>
            </w:r>
          </w:p>
        </w:tc>
        <w:tc>
          <w:tcPr>
            <w:tcW w:w="1418" w:type="dxa"/>
          </w:tcPr>
          <w:p w14:paraId="125E6B71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26 976,1</w:t>
            </w:r>
          </w:p>
        </w:tc>
        <w:tc>
          <w:tcPr>
            <w:tcW w:w="1417" w:type="dxa"/>
          </w:tcPr>
          <w:p w14:paraId="4B4C7CF5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41 998,1</w:t>
            </w:r>
          </w:p>
        </w:tc>
        <w:tc>
          <w:tcPr>
            <w:tcW w:w="1134" w:type="dxa"/>
          </w:tcPr>
          <w:p w14:paraId="5062919A" w14:textId="77777777" w:rsidR="006D16A3" w:rsidRPr="003B2ABF" w:rsidRDefault="00DF1B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91 133,1</w:t>
            </w:r>
          </w:p>
        </w:tc>
      </w:tr>
      <w:tr w:rsidR="006D16A3" w:rsidRPr="003B2ABF" w14:paraId="6FDF3807" w14:textId="77777777">
        <w:trPr>
          <w:trHeight w:val="170"/>
        </w:trPr>
        <w:tc>
          <w:tcPr>
            <w:tcW w:w="4258" w:type="dxa"/>
          </w:tcPr>
          <w:p w14:paraId="60F31EDE" w14:textId="77777777" w:rsidR="006D16A3" w:rsidRPr="003B2ABF" w:rsidRDefault="00DF1B2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3B2ABF">
              <w:rPr>
                <w:rFonts w:eastAsia="Times New Roman"/>
                <w:bCs/>
                <w:sz w:val="24"/>
                <w:szCs w:val="24"/>
              </w:rPr>
              <w:t>7. Труд и занятость</w:t>
            </w:r>
          </w:p>
        </w:tc>
        <w:tc>
          <w:tcPr>
            <w:tcW w:w="1417" w:type="dxa"/>
          </w:tcPr>
          <w:p w14:paraId="69F40D7A" w14:textId="77777777" w:rsidR="006D16A3" w:rsidRPr="003B2ABF" w:rsidRDefault="006D16A3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5F190" w14:textId="77777777" w:rsidR="006D16A3" w:rsidRPr="003B2ABF" w:rsidRDefault="006D16A3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00FEE6" w14:textId="77777777" w:rsidR="006D16A3" w:rsidRPr="003B2ABF" w:rsidRDefault="006D16A3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F9260" w14:textId="77777777" w:rsidR="006D16A3" w:rsidRPr="003B2ABF" w:rsidRDefault="006D16A3">
            <w:pPr>
              <w:spacing w:after="0"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  <w:tr w:rsidR="00165571" w:rsidRPr="003B2ABF" w14:paraId="41140483" w14:textId="77777777">
        <w:trPr>
          <w:trHeight w:val="170"/>
        </w:trPr>
        <w:tc>
          <w:tcPr>
            <w:tcW w:w="4258" w:type="dxa"/>
          </w:tcPr>
          <w:p w14:paraId="61754580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Численность населения в трудоспособном возрасте (среднегодовая)</w:t>
            </w:r>
          </w:p>
        </w:tc>
        <w:tc>
          <w:tcPr>
            <w:tcW w:w="1417" w:type="dxa"/>
          </w:tcPr>
          <w:p w14:paraId="6AF81B23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тыс. человек</w:t>
            </w:r>
          </w:p>
        </w:tc>
        <w:tc>
          <w:tcPr>
            <w:tcW w:w="1418" w:type="dxa"/>
          </w:tcPr>
          <w:p w14:paraId="4B35ED2C" w14:textId="2889E89D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417" w:type="dxa"/>
          </w:tcPr>
          <w:p w14:paraId="6ED89AB5" w14:textId="150FE648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14:paraId="06B3F6E9" w14:textId="50990B1C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154,84</w:t>
            </w:r>
          </w:p>
        </w:tc>
      </w:tr>
      <w:tr w:rsidR="00165571" w:rsidRPr="003B2ABF" w14:paraId="4CD1C871" w14:textId="77777777">
        <w:trPr>
          <w:trHeight w:val="170"/>
        </w:trPr>
        <w:tc>
          <w:tcPr>
            <w:tcW w:w="4258" w:type="dxa"/>
          </w:tcPr>
          <w:p w14:paraId="37FDF473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417" w:type="dxa"/>
          </w:tcPr>
          <w:p w14:paraId="2497B7F8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тыс. человек</w:t>
            </w:r>
          </w:p>
        </w:tc>
        <w:tc>
          <w:tcPr>
            <w:tcW w:w="1418" w:type="dxa"/>
          </w:tcPr>
          <w:p w14:paraId="6B7976EA" w14:textId="7072193A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417" w:type="dxa"/>
          </w:tcPr>
          <w:p w14:paraId="2DD3D656" w14:textId="5640C913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14:paraId="32D2674D" w14:textId="48D96234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0,85</w:t>
            </w:r>
          </w:p>
        </w:tc>
      </w:tr>
      <w:tr w:rsidR="00165571" w:rsidRPr="003B2ABF" w14:paraId="78856D6D" w14:textId="77777777">
        <w:trPr>
          <w:trHeight w:val="170"/>
        </w:trPr>
        <w:tc>
          <w:tcPr>
            <w:tcW w:w="4258" w:type="dxa"/>
          </w:tcPr>
          <w:p w14:paraId="27037E3B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417" w:type="dxa"/>
          </w:tcPr>
          <w:p w14:paraId="4C0E557B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5CF2246D" w14:textId="5089B7C9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417" w:type="dxa"/>
          </w:tcPr>
          <w:p w14:paraId="506C5425" w14:textId="4CB8A660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14:paraId="66E4F485" w14:textId="6B601EEA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0,4</w:t>
            </w:r>
          </w:p>
        </w:tc>
      </w:tr>
      <w:tr w:rsidR="00165571" w:rsidRPr="003B2ABF" w14:paraId="1C84B226" w14:textId="77777777">
        <w:trPr>
          <w:trHeight w:val="170"/>
        </w:trPr>
        <w:tc>
          <w:tcPr>
            <w:tcW w:w="4258" w:type="dxa"/>
          </w:tcPr>
          <w:p w14:paraId="31C3EA01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 xml:space="preserve">Среднесписочная численность работников организаций (без субъектов малого предпринимательства) </w:t>
            </w:r>
          </w:p>
        </w:tc>
        <w:tc>
          <w:tcPr>
            <w:tcW w:w="1417" w:type="dxa"/>
          </w:tcPr>
          <w:p w14:paraId="43F5087F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тыс. человек</w:t>
            </w:r>
          </w:p>
        </w:tc>
        <w:tc>
          <w:tcPr>
            <w:tcW w:w="1418" w:type="dxa"/>
          </w:tcPr>
          <w:p w14:paraId="2A53CBB3" w14:textId="2401B2AD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417" w:type="dxa"/>
          </w:tcPr>
          <w:p w14:paraId="6BBA6A84" w14:textId="7A2328FA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134" w:type="dxa"/>
          </w:tcPr>
          <w:p w14:paraId="699537A5" w14:textId="76F29483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89,8</w:t>
            </w:r>
          </w:p>
        </w:tc>
      </w:tr>
      <w:tr w:rsidR="00165571" w:rsidRPr="003B2ABF" w14:paraId="24F1C2D5" w14:textId="77777777">
        <w:trPr>
          <w:trHeight w:val="170"/>
        </w:trPr>
        <w:tc>
          <w:tcPr>
            <w:tcW w:w="4258" w:type="dxa"/>
          </w:tcPr>
          <w:p w14:paraId="29B3234A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Среднемесячная начисленная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417" w:type="dxa"/>
          </w:tcPr>
          <w:p w14:paraId="585D8C4C" w14:textId="77777777" w:rsidR="00165571" w:rsidRPr="003B2ABF" w:rsidRDefault="00165571" w:rsidP="001655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руб. в ценах соответст-вующих лет</w:t>
            </w:r>
          </w:p>
        </w:tc>
        <w:tc>
          <w:tcPr>
            <w:tcW w:w="1418" w:type="dxa"/>
          </w:tcPr>
          <w:p w14:paraId="17DC2537" w14:textId="0946B0D1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94 256,6</w:t>
            </w:r>
          </w:p>
        </w:tc>
        <w:tc>
          <w:tcPr>
            <w:tcW w:w="1417" w:type="dxa"/>
          </w:tcPr>
          <w:p w14:paraId="738C6E24" w14:textId="05AB605C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104 308,0</w:t>
            </w:r>
          </w:p>
        </w:tc>
        <w:tc>
          <w:tcPr>
            <w:tcW w:w="1134" w:type="dxa"/>
          </w:tcPr>
          <w:p w14:paraId="6D6A6000" w14:textId="3555721D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105 683,4</w:t>
            </w:r>
          </w:p>
        </w:tc>
      </w:tr>
      <w:tr w:rsidR="00165571" w:rsidRPr="003B2ABF" w14:paraId="094033C3" w14:textId="77777777">
        <w:trPr>
          <w:trHeight w:val="170"/>
        </w:trPr>
        <w:tc>
          <w:tcPr>
            <w:tcW w:w="4258" w:type="dxa"/>
          </w:tcPr>
          <w:p w14:paraId="69CC2F55" w14:textId="77777777" w:rsidR="00165571" w:rsidRPr="003B2ABF" w:rsidRDefault="00165571" w:rsidP="001655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Среднемесячная реальная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417" w:type="dxa"/>
          </w:tcPr>
          <w:p w14:paraId="5940B46E" w14:textId="77777777" w:rsidR="00165571" w:rsidRPr="003B2ABF" w:rsidRDefault="00165571" w:rsidP="00165571">
            <w:pPr>
              <w:spacing w:after="0" w:line="240" w:lineRule="auto"/>
              <w:ind w:left="-110" w:right="-105"/>
              <w:jc w:val="center"/>
              <w:rPr>
                <w:rFonts w:eastAsia="Times New Roman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4"/>
              </w:rPr>
              <w:t>в % к предыдущему периоду</w:t>
            </w:r>
          </w:p>
        </w:tc>
        <w:tc>
          <w:tcPr>
            <w:tcW w:w="1418" w:type="dxa"/>
          </w:tcPr>
          <w:p w14:paraId="2256D706" w14:textId="4C6D74E6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417" w:type="dxa"/>
          </w:tcPr>
          <w:p w14:paraId="7883CCB4" w14:textId="7BE9B21F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sz w:val="24"/>
                <w:szCs w:val="28"/>
                <w:lang w:eastAsia="ru-RU"/>
              </w:rPr>
              <w:t>х</w:t>
            </w:r>
          </w:p>
        </w:tc>
        <w:tc>
          <w:tcPr>
            <w:tcW w:w="1134" w:type="dxa"/>
          </w:tcPr>
          <w:p w14:paraId="73511930" w14:textId="020C74C8" w:rsidR="00165571" w:rsidRPr="003B2ABF" w:rsidRDefault="00165571" w:rsidP="00165571">
            <w:pPr>
              <w:spacing w:after="0" w:line="240" w:lineRule="auto"/>
              <w:ind w:left="-111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B2ABF">
              <w:rPr>
                <w:rFonts w:eastAsia="Times New Roman"/>
                <w:color w:val="000000"/>
                <w:sz w:val="24"/>
                <w:szCs w:val="24"/>
              </w:rPr>
              <w:t>103,5</w:t>
            </w:r>
          </w:p>
        </w:tc>
      </w:tr>
    </w:tbl>
    <w:p w14:paraId="7F0E73E9" w14:textId="77777777" w:rsidR="006D16A3" w:rsidRPr="003B2ABF" w:rsidRDefault="006D16A3">
      <w:pPr>
        <w:widowControl w:val="0"/>
        <w:spacing w:after="0" w:line="240" w:lineRule="auto"/>
        <w:rPr>
          <w:szCs w:val="28"/>
        </w:rPr>
      </w:pPr>
    </w:p>
    <w:p w14:paraId="6881BB10" w14:textId="77777777" w:rsidR="006D16A3" w:rsidRPr="003B2ABF" w:rsidRDefault="00DF1B2C">
      <w:pPr>
        <w:widowControl w:val="0"/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Пояснительная записка к предварительным итогам социально-</w:t>
      </w:r>
    </w:p>
    <w:p w14:paraId="53F233BF" w14:textId="77777777" w:rsidR="006D16A3" w:rsidRPr="003B2ABF" w:rsidRDefault="00DF1B2C">
      <w:pPr>
        <w:widowControl w:val="0"/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экономического развития муниципального образования город Мурманск</w:t>
      </w:r>
    </w:p>
    <w:p w14:paraId="0DB8058D" w14:textId="77777777" w:rsidR="006D16A3" w:rsidRPr="003B2ABF" w:rsidRDefault="00DF1B2C">
      <w:pPr>
        <w:widowControl w:val="0"/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за первое полугодие 2023 года и ожидаемым итогам</w:t>
      </w:r>
    </w:p>
    <w:p w14:paraId="67B9998F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социально-экономического развития за 2023 год</w:t>
      </w:r>
    </w:p>
    <w:p w14:paraId="5644EAA6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szCs w:val="28"/>
        </w:rPr>
      </w:pPr>
    </w:p>
    <w:p w14:paraId="2CEACB21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Демографические показатели</w:t>
      </w:r>
    </w:p>
    <w:p w14:paraId="467F8F3F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184C72DB" w14:textId="77777777" w:rsidR="00165571" w:rsidRPr="003B2ABF" w:rsidRDefault="00165571" w:rsidP="0016557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Динамика показателей естественного движения населения города Мурманска в 2022 году по отношению к 2021 году характеризуется сокращением числа родившихся (на 6,9%) при опережающем (на 26,1%) сокращении числа умерших. При этом показатель естественного прироста населения в 2022 году, как и в 2021 году, принял отрицательное значение, что позволяет констатировать преобладание негативных тенденций развития демографической ситуации в городе Мурманске.</w:t>
      </w:r>
    </w:p>
    <w:p w14:paraId="47DF0BA8" w14:textId="77777777" w:rsidR="00165571" w:rsidRPr="003B2ABF" w:rsidRDefault="00165571" w:rsidP="0016557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Ожидается, что по итогам 2023 года родится на 22 ребенка меньше, чем в </w:t>
      </w:r>
      <w:r w:rsidRPr="003B2ABF">
        <w:rPr>
          <w:rFonts w:eastAsia="Times New Roman"/>
          <w:szCs w:val="28"/>
          <w:lang w:eastAsia="ru-RU"/>
        </w:rPr>
        <w:lastRenderedPageBreak/>
        <w:t xml:space="preserve">2022 году (2094 ребенка). Коэффициент рождаемости предположительно составит 7,86 человек на 1000 населения, коэффициент смертности – 12,84 человек на 1000 населения. Коэффициент естественного прироста предположительно составит -4,98 человек на 1000 населения. </w:t>
      </w:r>
    </w:p>
    <w:p w14:paraId="52CF0C8A" w14:textId="77777777" w:rsidR="00165571" w:rsidRPr="003B2ABF" w:rsidRDefault="00165571" w:rsidP="0016557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Основной и наиболее существенной причиной сокращения населения города Мурманска остается миграционный отток. </w:t>
      </w:r>
    </w:p>
    <w:p w14:paraId="6C20E22C" w14:textId="77777777" w:rsidR="00165571" w:rsidRPr="003B2ABF" w:rsidRDefault="00165571" w:rsidP="0016557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первом полугодии текущего года количество прибывших увеличилось на 551 человека, или на 12,1% по сравнению с аналогичным периодом 2022 года, и составило 4567 человек. Кроме того, уменьшилось количество выбывших - на 677 человек по сравнению с первым полугодии 2022 года до 4478 человек. По итогам 2023 года коэффициент миграционного прироста предположительно составит -2,56 человека на 1000 населения.</w:t>
      </w:r>
    </w:p>
    <w:p w14:paraId="44919C3C" w14:textId="77777777" w:rsidR="00165571" w:rsidRPr="003B2ABF" w:rsidRDefault="00165571" w:rsidP="0016557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Ожидается, что в 2023 году среднегодовое значение численности населения города Мурманска сократится на 0,8% к предыдущему году и составит 266 417 человек.</w:t>
      </w:r>
    </w:p>
    <w:p w14:paraId="2B0F76B3" w14:textId="21237327" w:rsidR="006D16A3" w:rsidRPr="003B2ABF" w:rsidRDefault="00165571" w:rsidP="0016557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На улучшение демографической ситуации в городе и развитие человеческого потенциала направлены муниципальные программы города Мурманска в сфере образования, социальной поддержки, градостроительной политики, культуры и т.д., в рамках которых обеспечивается поддержка молодых и многодетных семей, защита социально уязвимых категорий граждан, развитие семейных форм устройства детей, повышение уровня благоустройства городской среды и пр.</w:t>
      </w:r>
    </w:p>
    <w:p w14:paraId="0B4969D4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1A6D915B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Производство товаров и услуг</w:t>
      </w:r>
    </w:p>
    <w:p w14:paraId="786E1165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EAFE4A" w14:textId="49868E52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Объем отгруженных товаров собственного производства, выполненных работ и услуг собственными силами организаций в действующих ценах в сфере промышленного производства в первом полугодии 202</w:t>
      </w:r>
      <w:r w:rsidR="00CA087E" w:rsidRPr="003B2ABF">
        <w:rPr>
          <w:rFonts w:eastAsia="Times New Roman"/>
          <w:szCs w:val="28"/>
          <w:lang w:eastAsia="ru-RU"/>
        </w:rPr>
        <w:t>3</w:t>
      </w:r>
      <w:r w:rsidRPr="003B2ABF">
        <w:rPr>
          <w:rFonts w:eastAsia="Times New Roman"/>
          <w:szCs w:val="28"/>
          <w:lang w:eastAsia="ru-RU"/>
        </w:rPr>
        <w:t xml:space="preserve"> года </w:t>
      </w:r>
      <w:r w:rsidR="00CA087E" w:rsidRPr="003B2ABF">
        <w:rPr>
          <w:rFonts w:eastAsia="Times New Roman"/>
          <w:szCs w:val="28"/>
          <w:lang w:eastAsia="ru-RU"/>
        </w:rPr>
        <w:t xml:space="preserve">снизился </w:t>
      </w:r>
      <w:r w:rsidRPr="003B2ABF">
        <w:rPr>
          <w:rFonts w:eastAsia="Times New Roman"/>
          <w:szCs w:val="28"/>
          <w:lang w:eastAsia="ru-RU"/>
        </w:rPr>
        <w:t xml:space="preserve">до </w:t>
      </w:r>
      <w:r w:rsidR="008D2F98" w:rsidRPr="003B2ABF">
        <w:rPr>
          <w:rFonts w:eastAsia="Times New Roman"/>
          <w:szCs w:val="28"/>
          <w:lang w:eastAsia="ru-RU"/>
        </w:rPr>
        <w:br/>
      </w:r>
      <w:r w:rsidR="00CA087E" w:rsidRPr="003B2ABF">
        <w:rPr>
          <w:rFonts w:eastAsia="Times New Roman"/>
          <w:szCs w:val="28"/>
          <w:lang w:eastAsia="ru-RU"/>
        </w:rPr>
        <w:t>52,3</w:t>
      </w:r>
      <w:r w:rsidRPr="003B2ABF">
        <w:rPr>
          <w:rFonts w:eastAsia="Times New Roman"/>
          <w:szCs w:val="28"/>
          <w:lang w:eastAsia="ru-RU"/>
        </w:rPr>
        <w:t xml:space="preserve"> млрд. рублей (</w:t>
      </w:r>
      <w:r w:rsidR="00CA087E" w:rsidRPr="003B2ABF">
        <w:rPr>
          <w:rFonts w:eastAsia="Times New Roman"/>
          <w:szCs w:val="28"/>
          <w:lang w:eastAsia="ru-RU"/>
        </w:rPr>
        <w:t>70,1</w:t>
      </w:r>
      <w:r w:rsidRPr="003B2ABF">
        <w:rPr>
          <w:rFonts w:eastAsia="Times New Roman"/>
          <w:szCs w:val="28"/>
          <w:lang w:eastAsia="ru-RU"/>
        </w:rPr>
        <w:t xml:space="preserve">%) за счет </w:t>
      </w:r>
      <w:r w:rsidR="00CA087E" w:rsidRPr="003B2ABF">
        <w:rPr>
          <w:rFonts w:eastAsia="Times New Roman"/>
          <w:szCs w:val="28"/>
          <w:lang w:eastAsia="ru-RU"/>
        </w:rPr>
        <w:t>снижения</w:t>
      </w:r>
      <w:r w:rsidRPr="003B2ABF">
        <w:rPr>
          <w:rFonts w:eastAsia="Times New Roman"/>
          <w:szCs w:val="28"/>
          <w:lang w:eastAsia="ru-RU"/>
        </w:rPr>
        <w:t xml:space="preserve"> показателя в сфере обрабатывающих производств до </w:t>
      </w:r>
      <w:r w:rsidR="00CA087E" w:rsidRPr="003B2ABF">
        <w:rPr>
          <w:rFonts w:eastAsia="Times New Roman"/>
          <w:szCs w:val="28"/>
          <w:lang w:eastAsia="ru-RU"/>
        </w:rPr>
        <w:t>40,8</w:t>
      </w:r>
      <w:r w:rsidRPr="003B2ABF">
        <w:rPr>
          <w:rFonts w:eastAsia="Times New Roman"/>
          <w:szCs w:val="28"/>
          <w:lang w:eastAsia="ru-RU"/>
        </w:rPr>
        <w:t xml:space="preserve"> млрд. рублей (</w:t>
      </w:r>
      <w:r w:rsidR="00AD3963" w:rsidRPr="003B2ABF">
        <w:rPr>
          <w:rFonts w:eastAsia="Times New Roman"/>
          <w:szCs w:val="28"/>
          <w:lang w:eastAsia="ru-RU"/>
        </w:rPr>
        <w:t>61,2</w:t>
      </w:r>
      <w:r w:rsidRPr="003B2ABF">
        <w:rPr>
          <w:rFonts w:eastAsia="Times New Roman"/>
          <w:szCs w:val="28"/>
          <w:lang w:eastAsia="ru-RU"/>
        </w:rPr>
        <w:t xml:space="preserve">%). </w:t>
      </w:r>
      <w:r w:rsidR="008D2F98" w:rsidRPr="003B2ABF">
        <w:rPr>
          <w:rFonts w:eastAsia="Times New Roman"/>
          <w:szCs w:val="28"/>
          <w:lang w:eastAsia="ru-RU"/>
        </w:rPr>
        <w:t>У</w:t>
      </w:r>
      <w:r w:rsidRPr="003B2ABF">
        <w:rPr>
          <w:rFonts w:eastAsia="Times New Roman"/>
          <w:szCs w:val="28"/>
          <w:lang w:eastAsia="ru-RU"/>
        </w:rPr>
        <w:t xml:space="preserve">величение объема отгруженной продукции отмечено в сфере обеспечения электрической энергией, газом и паром; кондиционирования воздуха до </w:t>
      </w:r>
      <w:r w:rsidR="008D2F98" w:rsidRPr="003B2ABF">
        <w:rPr>
          <w:rFonts w:eastAsia="Times New Roman"/>
          <w:szCs w:val="28"/>
          <w:lang w:eastAsia="ru-RU"/>
        </w:rPr>
        <w:t>6,7</w:t>
      </w:r>
      <w:r w:rsidRPr="003B2ABF">
        <w:rPr>
          <w:rFonts w:eastAsia="Times New Roman"/>
          <w:szCs w:val="28"/>
          <w:lang w:eastAsia="ru-RU"/>
        </w:rPr>
        <w:t xml:space="preserve"> млрд. рублей (1</w:t>
      </w:r>
      <w:r w:rsidR="008D2F98" w:rsidRPr="003B2ABF">
        <w:rPr>
          <w:rFonts w:eastAsia="Times New Roman"/>
          <w:szCs w:val="28"/>
          <w:lang w:eastAsia="ru-RU"/>
        </w:rPr>
        <w:t>1</w:t>
      </w:r>
      <w:r w:rsidRPr="003B2ABF">
        <w:rPr>
          <w:rFonts w:eastAsia="Times New Roman"/>
          <w:szCs w:val="28"/>
          <w:lang w:eastAsia="ru-RU"/>
        </w:rPr>
        <w:t>3,</w:t>
      </w:r>
      <w:r w:rsidR="008D2F98" w:rsidRPr="003B2ABF">
        <w:rPr>
          <w:rFonts w:eastAsia="Times New Roman"/>
          <w:szCs w:val="28"/>
          <w:lang w:eastAsia="ru-RU"/>
        </w:rPr>
        <w:t>5</w:t>
      </w:r>
      <w:r w:rsidRPr="003B2ABF">
        <w:rPr>
          <w:rFonts w:eastAsia="Times New Roman"/>
          <w:szCs w:val="28"/>
          <w:lang w:eastAsia="ru-RU"/>
        </w:rPr>
        <w:t>% к аналогичному периоду 2021 года)</w:t>
      </w:r>
      <w:r w:rsidR="008D2F98" w:rsidRPr="003B2ABF">
        <w:rPr>
          <w:rFonts w:eastAsia="Times New Roman"/>
          <w:szCs w:val="28"/>
          <w:lang w:eastAsia="ru-RU"/>
        </w:rPr>
        <w:t>, а также в сфере водоснабжения; водоотведения, организации сбора и утилизации отходов, деятельности по ликвидации загрязнений до 2,2 млрд. рублей (109,6% к январю-июню 2022 года).</w:t>
      </w:r>
    </w:p>
    <w:p w14:paraId="5B2A2AA8" w14:textId="4A0ECD43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 xml:space="preserve">Объем </w:t>
      </w:r>
      <w:r w:rsidRPr="003B2ABF">
        <w:rPr>
          <w:rFonts w:eastAsia="Times New Roman"/>
          <w:bCs/>
          <w:szCs w:val="28"/>
          <w:lang w:eastAsia="ru-RU"/>
        </w:rPr>
        <w:t>отгруженных работ и услуг собственными силами организаций в сфере</w:t>
      </w:r>
      <w:r w:rsidRPr="003B2ABF">
        <w:rPr>
          <w:rFonts w:eastAsia="Times New Roman"/>
          <w:szCs w:val="28"/>
          <w:lang w:eastAsia="ru-RU"/>
        </w:rPr>
        <w:t xml:space="preserve"> рыболовства и рыбоводства в первом полугодии 202</w:t>
      </w:r>
      <w:r w:rsidR="003A3608" w:rsidRPr="003B2ABF">
        <w:rPr>
          <w:rFonts w:eastAsia="Times New Roman"/>
          <w:szCs w:val="28"/>
          <w:lang w:eastAsia="ru-RU"/>
        </w:rPr>
        <w:t>3</w:t>
      </w:r>
      <w:r w:rsidRPr="003B2ABF">
        <w:rPr>
          <w:rFonts w:eastAsia="Times New Roman"/>
          <w:szCs w:val="28"/>
          <w:lang w:eastAsia="ru-RU"/>
        </w:rPr>
        <w:t xml:space="preserve"> года составил </w:t>
      </w:r>
      <w:r w:rsidRPr="003B2ABF">
        <w:rPr>
          <w:szCs w:val="28"/>
        </w:rPr>
        <w:t>3</w:t>
      </w:r>
      <w:r w:rsidR="003A3608" w:rsidRPr="003B2ABF">
        <w:rPr>
          <w:szCs w:val="28"/>
        </w:rPr>
        <w:t>4</w:t>
      </w:r>
      <w:r w:rsidRPr="003B2ABF">
        <w:rPr>
          <w:szCs w:val="28"/>
        </w:rPr>
        <w:t>,</w:t>
      </w:r>
      <w:r w:rsidR="003A3608" w:rsidRPr="003B2ABF">
        <w:rPr>
          <w:szCs w:val="28"/>
        </w:rPr>
        <w:t>3</w:t>
      </w:r>
      <w:r w:rsidRPr="003B2ABF">
        <w:rPr>
          <w:szCs w:val="28"/>
        </w:rPr>
        <w:t xml:space="preserve"> </w:t>
      </w:r>
      <w:r w:rsidRPr="003B2ABF">
        <w:rPr>
          <w:rFonts w:eastAsia="Times New Roman"/>
          <w:szCs w:val="28"/>
          <w:lang w:eastAsia="ru-RU"/>
        </w:rPr>
        <w:t>млрд. рублей (</w:t>
      </w:r>
      <w:r w:rsidR="003A3608" w:rsidRPr="003B2ABF">
        <w:rPr>
          <w:rFonts w:eastAsia="Times New Roman"/>
          <w:szCs w:val="28"/>
          <w:lang w:eastAsia="ru-RU"/>
        </w:rPr>
        <w:t>101,7</w:t>
      </w:r>
      <w:r w:rsidRPr="003B2ABF">
        <w:rPr>
          <w:rFonts w:eastAsia="Times New Roman"/>
          <w:szCs w:val="28"/>
          <w:lang w:eastAsia="ru-RU"/>
        </w:rPr>
        <w:t>% к аналогичному периоду 202</w:t>
      </w:r>
      <w:r w:rsidR="003A3608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года).</w:t>
      </w:r>
    </w:p>
    <w:p w14:paraId="7BB35DB2" w14:textId="30C755FA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3B2ABF">
        <w:rPr>
          <w:rFonts w:eastAsia="Times New Roman"/>
          <w:color w:val="000000"/>
          <w:szCs w:val="28"/>
          <w:lang w:eastAsia="ru-RU"/>
        </w:rPr>
        <w:t xml:space="preserve">Ввиду </w:t>
      </w:r>
      <w:r w:rsidR="00EE3067" w:rsidRPr="003B2ABF">
        <w:rPr>
          <w:color w:val="000000"/>
          <w:szCs w:val="28"/>
        </w:rPr>
        <w:t>реализации мер, направленных на развитие импортозамещения, повышение конкурентоспособности, стимулирование инвестиционной активности</w:t>
      </w:r>
      <w:r w:rsidR="00EE3067" w:rsidRPr="003B2ABF">
        <w:rPr>
          <w:rFonts w:eastAsia="Times New Roman"/>
          <w:color w:val="000000"/>
          <w:szCs w:val="28"/>
          <w:lang w:eastAsia="ru-RU"/>
        </w:rPr>
        <w:t xml:space="preserve"> </w:t>
      </w:r>
      <w:r w:rsidRPr="003B2ABF">
        <w:rPr>
          <w:rFonts w:eastAsia="Times New Roman"/>
          <w:color w:val="000000"/>
          <w:szCs w:val="28"/>
          <w:lang w:eastAsia="ru-RU"/>
        </w:rPr>
        <w:t>города, по итогам 202</w:t>
      </w:r>
      <w:r w:rsidR="00EE3067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ожидается незначительное </w:t>
      </w:r>
      <w:r w:rsidR="00EE3067" w:rsidRPr="003B2ABF">
        <w:rPr>
          <w:rFonts w:eastAsia="Times New Roman"/>
          <w:color w:val="000000"/>
          <w:szCs w:val="28"/>
          <w:lang w:eastAsia="ru-RU"/>
        </w:rPr>
        <w:t xml:space="preserve">увеличение </w:t>
      </w:r>
      <w:r w:rsidRPr="003B2ABF">
        <w:rPr>
          <w:rFonts w:eastAsia="Times New Roman"/>
          <w:color w:val="000000"/>
          <w:szCs w:val="28"/>
          <w:lang w:eastAsia="ru-RU"/>
        </w:rPr>
        <w:t xml:space="preserve">темпа роста промышленного производства до </w:t>
      </w:r>
      <w:r w:rsidR="00EE3067" w:rsidRPr="003B2ABF">
        <w:rPr>
          <w:rFonts w:eastAsia="Times New Roman"/>
          <w:color w:val="000000"/>
          <w:szCs w:val="28"/>
          <w:lang w:eastAsia="ru-RU"/>
        </w:rPr>
        <w:t>106,6</w:t>
      </w:r>
      <w:r w:rsidRPr="003B2ABF">
        <w:rPr>
          <w:rFonts w:eastAsia="Times New Roman"/>
          <w:color w:val="000000"/>
          <w:szCs w:val="28"/>
          <w:lang w:eastAsia="ru-RU"/>
        </w:rPr>
        <w:t xml:space="preserve">%, в том числе в сфере обрабатывающей промышленности – </w:t>
      </w:r>
      <w:r w:rsidR="00EE3067" w:rsidRPr="003B2ABF">
        <w:rPr>
          <w:rFonts w:eastAsia="Times New Roman"/>
          <w:color w:val="000000"/>
          <w:szCs w:val="28"/>
          <w:lang w:eastAsia="ru-RU"/>
        </w:rPr>
        <w:t>106,6</w:t>
      </w:r>
      <w:r w:rsidRPr="003B2ABF">
        <w:rPr>
          <w:rFonts w:eastAsia="Times New Roman"/>
          <w:color w:val="000000"/>
          <w:szCs w:val="28"/>
          <w:lang w:eastAsia="ru-RU"/>
        </w:rPr>
        <w:t xml:space="preserve">%. Объем отгруженных товаров собственного производства, выполненных работ и услуг собственными силами, </w:t>
      </w:r>
      <w:r w:rsidRPr="003B2ABF">
        <w:rPr>
          <w:rFonts w:eastAsia="Times New Roman"/>
          <w:color w:val="000000"/>
          <w:szCs w:val="28"/>
          <w:lang w:eastAsia="ru-RU"/>
        </w:rPr>
        <w:lastRenderedPageBreak/>
        <w:t>по видам деятельности, относящимся к промышленному производству по крупным и средним предприятиям, по итогам 202</w:t>
      </w:r>
      <w:r w:rsidR="00EE3067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оценочно составит </w:t>
      </w:r>
      <w:r w:rsidR="00EE3067" w:rsidRPr="003B2ABF">
        <w:rPr>
          <w:rFonts w:eastAsia="Times New Roman"/>
          <w:color w:val="000000"/>
          <w:szCs w:val="28"/>
          <w:lang w:eastAsia="ru-RU"/>
        </w:rPr>
        <w:t>146,7</w:t>
      </w:r>
      <w:r w:rsidRPr="003B2ABF">
        <w:rPr>
          <w:rFonts w:eastAsia="Times New Roman"/>
          <w:color w:val="000000"/>
          <w:szCs w:val="28"/>
          <w:lang w:eastAsia="ru-RU"/>
        </w:rPr>
        <w:t xml:space="preserve"> млрд. рублей.</w:t>
      </w:r>
    </w:p>
    <w:p w14:paraId="2B1E80BC" w14:textId="332D41E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color w:val="000000"/>
          <w:szCs w:val="28"/>
          <w:lang w:eastAsia="ru-RU"/>
        </w:rPr>
        <w:t>Темп роста по виду деятельности «Обеспечение электрической энергией, газом и паром; кондиционирование воздуха» в первой половине 202</w:t>
      </w:r>
      <w:r w:rsidR="00EE3067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по оценочным данным составил </w:t>
      </w:r>
      <w:r w:rsidR="00EE3067" w:rsidRPr="003B2ABF">
        <w:rPr>
          <w:rFonts w:eastAsia="Times New Roman"/>
          <w:color w:val="000000"/>
          <w:szCs w:val="28"/>
          <w:lang w:eastAsia="ru-RU"/>
        </w:rPr>
        <w:t>113,5</w:t>
      </w:r>
      <w:r w:rsidRPr="003B2ABF">
        <w:rPr>
          <w:rFonts w:eastAsia="Times New Roman"/>
          <w:color w:val="000000"/>
          <w:szCs w:val="28"/>
          <w:lang w:eastAsia="ru-RU"/>
        </w:rPr>
        <w:t>% к соответствующему периоду предыдущего года. Объем отгруженной продукции по данному виду деятельности в первом полугодии 202</w:t>
      </w:r>
      <w:r w:rsidR="00EE3067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составил около </w:t>
      </w:r>
      <w:r w:rsidR="00EE3067" w:rsidRPr="003B2ABF">
        <w:rPr>
          <w:rFonts w:eastAsia="Times New Roman"/>
          <w:color w:val="000000"/>
          <w:szCs w:val="28"/>
          <w:lang w:eastAsia="ru-RU"/>
        </w:rPr>
        <w:t>6,7</w:t>
      </w:r>
      <w:r w:rsidRPr="003B2ABF">
        <w:rPr>
          <w:rFonts w:eastAsia="Times New Roman"/>
          <w:color w:val="000000"/>
          <w:szCs w:val="28"/>
          <w:lang w:eastAsia="ru-RU"/>
        </w:rPr>
        <w:t xml:space="preserve"> млрд. рублей, по итогам 202</w:t>
      </w:r>
      <w:r w:rsidR="00EE3067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прогнозируется увеличение до 11,8 млрд. рублей. </w:t>
      </w:r>
    </w:p>
    <w:p w14:paraId="4C3D6491" w14:textId="3CE068E0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color w:val="000000"/>
          <w:szCs w:val="28"/>
          <w:lang w:eastAsia="ru-RU"/>
        </w:rPr>
        <w:t>Объем промышленного производства по виду деятельности «Водоснабжение; водоотведение, организация сбора и утилизация отходов, деятельность по ликвидации загрязнений» в первом полугодии 202</w:t>
      </w:r>
      <w:r w:rsidR="00EE3067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составил около 2,</w:t>
      </w:r>
      <w:r w:rsidR="00EE3067" w:rsidRPr="003B2ABF">
        <w:rPr>
          <w:rFonts w:eastAsia="Times New Roman"/>
          <w:color w:val="000000"/>
          <w:szCs w:val="28"/>
          <w:lang w:eastAsia="ru-RU"/>
        </w:rPr>
        <w:t>2</w:t>
      </w:r>
      <w:r w:rsidRPr="003B2ABF">
        <w:rPr>
          <w:rFonts w:eastAsia="Times New Roman"/>
          <w:color w:val="000000"/>
          <w:szCs w:val="28"/>
          <w:lang w:eastAsia="ru-RU"/>
        </w:rPr>
        <w:t xml:space="preserve"> млрд. рублей или </w:t>
      </w:r>
      <w:r w:rsidR="00EE3067" w:rsidRPr="003B2ABF">
        <w:rPr>
          <w:rFonts w:eastAsia="Times New Roman"/>
          <w:color w:val="000000"/>
          <w:szCs w:val="28"/>
          <w:lang w:eastAsia="ru-RU"/>
        </w:rPr>
        <w:t>109,6</w:t>
      </w:r>
      <w:r w:rsidRPr="003B2ABF">
        <w:rPr>
          <w:rFonts w:eastAsia="Times New Roman"/>
          <w:color w:val="000000"/>
          <w:szCs w:val="28"/>
          <w:lang w:eastAsia="ru-RU"/>
        </w:rPr>
        <w:t>% к аналогичному периоду предыдущего года. По итогам 202</w:t>
      </w:r>
      <w:r w:rsidR="00EE3067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объем отгруженной продукции по данному виду деятельности предположительно составит </w:t>
      </w:r>
      <w:r w:rsidR="00EE3067" w:rsidRPr="003B2ABF">
        <w:rPr>
          <w:rFonts w:eastAsia="Times New Roman"/>
          <w:color w:val="000000"/>
          <w:szCs w:val="28"/>
          <w:lang w:eastAsia="ru-RU"/>
        </w:rPr>
        <w:t>5,1</w:t>
      </w:r>
      <w:r w:rsidRPr="003B2ABF">
        <w:rPr>
          <w:rFonts w:eastAsia="Times New Roman"/>
          <w:color w:val="000000"/>
          <w:szCs w:val="28"/>
          <w:lang w:eastAsia="ru-RU"/>
        </w:rPr>
        <w:t xml:space="preserve"> млрд. рублей.</w:t>
      </w:r>
    </w:p>
    <w:p w14:paraId="660E6656" w14:textId="2A1C985C" w:rsidR="006D16A3" w:rsidRPr="003B2ABF" w:rsidRDefault="00EE3067" w:rsidP="00EE306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bCs/>
          <w:szCs w:val="28"/>
          <w:lang w:eastAsia="ru-RU"/>
        </w:rPr>
        <w:t>За первое полугодие 2023 года отмечено снижение показателей в сфере автотранспорта по объёму перевезенных грузов грузовыми автомобилями организаций до 129,4 тыс. т (90,9% к аналогичному периоду 2022 года), отмечен значительный рост грузооборота грузовых автомобилей до 21 465,1 тыс.т.км. (в 2 раза к аналогичному периоду 2022 года), рост показателей числа перевезенных пассажиров автобусным транспортом до 17,9 млн. человек (120,6% к аналогичному периоду 2022 года), а также роста пассажирооборота до 165 475,9 тыс. пассажиро-километров (127,1% к аналогичному периоду 2022 года). В сфере морского транспорта наблюдается увеличение показателей по отправлению грузов (141,1% к аналогичному периоду 2022 года).</w:t>
      </w:r>
    </w:p>
    <w:p w14:paraId="08618F06" w14:textId="77777777" w:rsidR="00EE3067" w:rsidRPr="003B2ABF" w:rsidRDefault="00EE3067" w:rsidP="00EE306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5178D772" w14:textId="7777777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Рынок товаров и услуг</w:t>
      </w:r>
    </w:p>
    <w:p w14:paraId="23EE00F7" w14:textId="77777777" w:rsidR="006D16A3" w:rsidRPr="003B2ABF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7CA7C151" w14:textId="055507E5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В первом полугодии 202</w:t>
      </w:r>
      <w:r w:rsidR="004D0FC9" w:rsidRPr="003B2ABF">
        <w:rPr>
          <w:rFonts w:eastAsia="Times New Roman"/>
          <w:szCs w:val="28"/>
          <w:lang w:eastAsia="ru-RU"/>
        </w:rPr>
        <w:t>3</w:t>
      </w:r>
      <w:r w:rsidRPr="003B2ABF">
        <w:rPr>
          <w:rFonts w:eastAsia="Times New Roman"/>
          <w:szCs w:val="28"/>
          <w:lang w:eastAsia="ru-RU"/>
        </w:rPr>
        <w:t xml:space="preserve"> года отмечено увеличение в действующих ценах оборота розничной торговли (</w:t>
      </w:r>
      <w:r w:rsidR="004D0FC9" w:rsidRPr="003B2ABF">
        <w:rPr>
          <w:rFonts w:eastAsia="Times New Roman"/>
          <w:szCs w:val="28"/>
          <w:lang w:eastAsia="ru-RU"/>
        </w:rPr>
        <w:t>36,7</w:t>
      </w:r>
      <w:r w:rsidRPr="003B2ABF">
        <w:rPr>
          <w:rFonts w:eastAsia="Times New Roman"/>
          <w:szCs w:val="28"/>
          <w:lang w:eastAsia="ru-RU"/>
        </w:rPr>
        <w:t xml:space="preserve"> млрд. рублей или </w:t>
      </w:r>
      <w:r w:rsidR="004D0FC9" w:rsidRPr="003B2ABF">
        <w:rPr>
          <w:rFonts w:eastAsia="Times New Roman"/>
          <w:szCs w:val="28"/>
          <w:lang w:eastAsia="ru-RU"/>
        </w:rPr>
        <w:t>125,1</w:t>
      </w:r>
      <w:r w:rsidRPr="003B2ABF">
        <w:rPr>
          <w:rFonts w:eastAsia="Times New Roman"/>
          <w:szCs w:val="28"/>
          <w:lang w:eastAsia="ru-RU"/>
        </w:rPr>
        <w:t>% к аналогичному периоду 202</w:t>
      </w:r>
      <w:r w:rsidR="004D0FC9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</w:t>
      </w:r>
      <w:r w:rsidR="00DE7527">
        <w:rPr>
          <w:rFonts w:eastAsia="Times New Roman"/>
          <w:szCs w:val="28"/>
          <w:lang w:eastAsia="ru-RU"/>
        </w:rPr>
        <w:t>, без субъектов малого предпринимательства</w:t>
      </w:r>
      <w:r w:rsidRPr="003B2ABF">
        <w:rPr>
          <w:rFonts w:eastAsia="Times New Roman"/>
          <w:szCs w:val="28"/>
          <w:lang w:eastAsia="ru-RU"/>
        </w:rPr>
        <w:t>). Оборот общественного питания составил 1,</w:t>
      </w:r>
      <w:r w:rsidR="004D0FC9" w:rsidRPr="003B2ABF">
        <w:rPr>
          <w:rFonts w:eastAsia="Times New Roman"/>
          <w:szCs w:val="28"/>
          <w:lang w:eastAsia="ru-RU"/>
        </w:rPr>
        <w:t>7</w:t>
      </w:r>
      <w:r w:rsidRPr="003B2ABF">
        <w:rPr>
          <w:rFonts w:eastAsia="Times New Roman"/>
          <w:szCs w:val="28"/>
          <w:lang w:eastAsia="ru-RU"/>
        </w:rPr>
        <w:t xml:space="preserve"> млрд. рублей (</w:t>
      </w:r>
      <w:r w:rsidR="004D0FC9" w:rsidRPr="003B2ABF">
        <w:rPr>
          <w:rFonts w:eastAsia="Times New Roman"/>
          <w:szCs w:val="28"/>
          <w:lang w:eastAsia="ru-RU"/>
        </w:rPr>
        <w:t>112,0</w:t>
      </w:r>
      <w:r w:rsidRPr="003B2ABF">
        <w:rPr>
          <w:rFonts w:eastAsia="Times New Roman"/>
          <w:szCs w:val="28"/>
          <w:lang w:eastAsia="ru-RU"/>
        </w:rPr>
        <w:t>%). Стоимость минимального набора продуктов питания, входящих в потребительскую корзину, составила 7</w:t>
      </w:r>
      <w:r w:rsidR="00981833" w:rsidRPr="003B2ABF">
        <w:rPr>
          <w:rFonts w:eastAsia="Times New Roman"/>
          <w:szCs w:val="28"/>
          <w:lang w:eastAsia="ru-RU"/>
        </w:rPr>
        <w:t> 486,33</w:t>
      </w:r>
      <w:r w:rsidRPr="003B2ABF">
        <w:rPr>
          <w:rFonts w:eastAsia="Times New Roman"/>
          <w:szCs w:val="28"/>
          <w:lang w:eastAsia="ru-RU"/>
        </w:rPr>
        <w:t xml:space="preserve"> руб. (</w:t>
      </w:r>
      <w:r w:rsidR="00981833" w:rsidRPr="003B2ABF">
        <w:rPr>
          <w:rFonts w:eastAsia="Times New Roman"/>
          <w:szCs w:val="28"/>
          <w:lang w:eastAsia="ru-RU"/>
        </w:rPr>
        <w:t>101,2</w:t>
      </w:r>
      <w:r w:rsidRPr="003B2ABF">
        <w:rPr>
          <w:rFonts w:eastAsia="Times New Roman"/>
          <w:szCs w:val="28"/>
          <w:lang w:eastAsia="ru-RU"/>
        </w:rPr>
        <w:t>% к аналогичному периоду 202</w:t>
      </w:r>
      <w:r w:rsidR="00981833" w:rsidRPr="003B2ABF">
        <w:rPr>
          <w:rFonts w:eastAsia="Times New Roman"/>
          <w:szCs w:val="28"/>
          <w:lang w:eastAsia="ru-RU"/>
        </w:rPr>
        <w:t xml:space="preserve">2 </w:t>
      </w:r>
      <w:r w:rsidRPr="003B2ABF">
        <w:rPr>
          <w:rFonts w:eastAsia="Times New Roman"/>
          <w:szCs w:val="28"/>
          <w:lang w:eastAsia="ru-RU"/>
        </w:rPr>
        <w:t>года).</w:t>
      </w:r>
    </w:p>
    <w:p w14:paraId="286E1B93" w14:textId="77777777" w:rsidR="00981833" w:rsidRPr="003B2ABF" w:rsidRDefault="0098183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Общий объем платных услуг населению составил 16,2 млрд. рублей (108,5% к аналогичному периоду 2022 года), из них рост отмечен в области услуг учреждений культуры (в 1,7 раз больше по сравнению с аналогичным периодом 2022 года), транспортных услуг (124,3% к аналогичному периоду 2022 года), физической культуры и спорта (115,6% к аналогичному периоду 2022 года), коммунальных услуг (110,4% к аналогичному периоду 2022 года). Отмечен рост в действующих ценах объема бытовых услуг (в 2,7 раз больше по сравнению с аналогичным периодом 2022 года).</w:t>
      </w:r>
    </w:p>
    <w:p w14:paraId="68725DCD" w14:textId="213BA001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B2ABF">
        <w:rPr>
          <w:rFonts w:eastAsia="Times New Roman"/>
          <w:color w:val="000000"/>
          <w:szCs w:val="28"/>
          <w:lang w:eastAsia="ru-RU"/>
        </w:rPr>
        <w:t>Сохраняется тенденция роста обеспеченности населения торговыми площадями. Всего в первом полугодии 202</w:t>
      </w:r>
      <w:r w:rsidR="00981833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введено </w:t>
      </w:r>
      <w:r w:rsidR="00981833" w:rsidRPr="003B2ABF">
        <w:rPr>
          <w:rFonts w:eastAsia="Times New Roman"/>
          <w:color w:val="000000"/>
          <w:szCs w:val="28"/>
          <w:lang w:eastAsia="ru-RU"/>
        </w:rPr>
        <w:t>три</w:t>
      </w:r>
      <w:r w:rsidRPr="003B2ABF">
        <w:rPr>
          <w:rFonts w:eastAsia="Times New Roman"/>
          <w:color w:val="000000"/>
          <w:szCs w:val="28"/>
          <w:lang w:eastAsia="ru-RU"/>
        </w:rPr>
        <w:t xml:space="preserve"> коммерческих зданий общей площадью </w:t>
      </w:r>
      <w:r w:rsidR="00981833" w:rsidRPr="003B2ABF">
        <w:rPr>
          <w:rFonts w:eastAsia="Times New Roman"/>
          <w:color w:val="000000"/>
          <w:szCs w:val="28"/>
          <w:lang w:eastAsia="ru-RU"/>
        </w:rPr>
        <w:t>1 153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кв.м.</w:t>
      </w:r>
    </w:p>
    <w:p w14:paraId="068562E2" w14:textId="260DD5CB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73601">
        <w:rPr>
          <w:rFonts w:eastAsia="Times New Roman"/>
          <w:color w:val="000000"/>
          <w:szCs w:val="28"/>
          <w:lang w:eastAsia="ru-RU"/>
        </w:rPr>
        <w:lastRenderedPageBreak/>
        <w:t>По итогам 202</w:t>
      </w:r>
      <w:r w:rsidR="00981833" w:rsidRPr="00573601">
        <w:rPr>
          <w:rFonts w:eastAsia="Times New Roman"/>
          <w:color w:val="000000"/>
          <w:szCs w:val="28"/>
          <w:lang w:eastAsia="ru-RU"/>
        </w:rPr>
        <w:t>3</w:t>
      </w:r>
      <w:r w:rsidRPr="00573601">
        <w:rPr>
          <w:rFonts w:eastAsia="Times New Roman"/>
          <w:color w:val="000000"/>
          <w:szCs w:val="28"/>
          <w:lang w:eastAsia="ru-RU"/>
        </w:rPr>
        <w:t xml:space="preserve"> года, несмотря на сдержанный рост доходов населения и переориентирование потребителей на осуществление покупок в Интернет-магазинах, ожидается увеличение оборота розничной торговли до </w:t>
      </w:r>
      <w:r w:rsidR="00981833" w:rsidRPr="00573601">
        <w:rPr>
          <w:rFonts w:eastAsia="Times New Roman"/>
          <w:color w:val="000000"/>
          <w:szCs w:val="28"/>
          <w:lang w:eastAsia="ru-RU"/>
        </w:rPr>
        <w:t>125,7</w:t>
      </w:r>
      <w:r w:rsidRPr="00573601">
        <w:rPr>
          <w:rFonts w:eastAsia="Times New Roman"/>
          <w:color w:val="000000"/>
          <w:szCs w:val="28"/>
          <w:lang w:eastAsia="ru-RU"/>
        </w:rPr>
        <w:t xml:space="preserve"> млрд. рублей. Прогнозные</w:t>
      </w:r>
      <w:r w:rsidRPr="003B2ABF">
        <w:rPr>
          <w:rFonts w:eastAsia="Times New Roman"/>
          <w:color w:val="000000"/>
          <w:szCs w:val="28"/>
          <w:lang w:eastAsia="ru-RU"/>
        </w:rPr>
        <w:t xml:space="preserve"> значения оборота общественного питания и объема платных услуг населению по итогам 202</w:t>
      </w:r>
      <w:r w:rsidR="00981833" w:rsidRPr="003B2ABF">
        <w:rPr>
          <w:rFonts w:eastAsia="Times New Roman"/>
          <w:color w:val="000000"/>
          <w:szCs w:val="28"/>
          <w:lang w:eastAsia="ru-RU"/>
        </w:rPr>
        <w:t>3</w:t>
      </w:r>
      <w:r w:rsidRPr="003B2ABF">
        <w:rPr>
          <w:rFonts w:eastAsia="Times New Roman"/>
          <w:color w:val="000000"/>
          <w:szCs w:val="28"/>
          <w:lang w:eastAsia="ru-RU"/>
        </w:rPr>
        <w:t xml:space="preserve"> года возрастут и составят </w:t>
      </w:r>
      <w:r w:rsidR="00981833" w:rsidRPr="003B2ABF">
        <w:rPr>
          <w:rFonts w:eastAsia="Times New Roman"/>
          <w:color w:val="000000"/>
          <w:szCs w:val="28"/>
          <w:lang w:eastAsia="ru-RU"/>
        </w:rPr>
        <w:t>8,9</w:t>
      </w:r>
      <w:r w:rsidRPr="003B2ABF">
        <w:rPr>
          <w:rFonts w:eastAsia="Times New Roman"/>
          <w:color w:val="000000"/>
          <w:szCs w:val="28"/>
          <w:lang w:eastAsia="ru-RU"/>
        </w:rPr>
        <w:t xml:space="preserve"> млрд. рублей и </w:t>
      </w:r>
      <w:r w:rsidR="00981833" w:rsidRPr="003B2ABF">
        <w:rPr>
          <w:rFonts w:eastAsia="Times New Roman"/>
          <w:color w:val="000000"/>
          <w:szCs w:val="28"/>
          <w:lang w:eastAsia="ru-RU"/>
        </w:rPr>
        <w:t>25,1</w:t>
      </w:r>
      <w:r w:rsidRPr="003B2ABF">
        <w:rPr>
          <w:rFonts w:eastAsia="Times New Roman"/>
          <w:color w:val="000000"/>
          <w:szCs w:val="28"/>
          <w:lang w:eastAsia="ru-RU"/>
        </w:rPr>
        <w:t xml:space="preserve"> млрд. рублей соответственно.</w:t>
      </w:r>
    </w:p>
    <w:p w14:paraId="462F30AC" w14:textId="77777777" w:rsidR="006D16A3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1B6B15A5" w14:textId="77777777" w:rsidR="006D16A3" w:rsidRPr="00DE7527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DE7527">
        <w:rPr>
          <w:rFonts w:eastAsia="Times New Roman"/>
          <w:szCs w:val="28"/>
          <w:lang w:eastAsia="ru-RU"/>
        </w:rPr>
        <w:t>Малое и среднее предпринимательство</w:t>
      </w:r>
    </w:p>
    <w:p w14:paraId="762A28A4" w14:textId="77777777" w:rsidR="006D16A3" w:rsidRPr="00DE7527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14:paraId="2A9611DD" w14:textId="77777777" w:rsidR="00DE7527" w:rsidRPr="00DE7527" w:rsidRDefault="00DE7527" w:rsidP="00DE752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E7527">
        <w:rPr>
          <w:rFonts w:eastAsia="Times New Roman"/>
          <w:szCs w:val="28"/>
          <w:lang w:eastAsia="ru-RU"/>
        </w:rPr>
        <w:t xml:space="preserve">По данным Единого реестра субъектов малого и среднего предпринимательства на 10.07.2023 года количество субъектов малого и среднего предпринимательства составило 13 992 субъекта, что на 3,5% больше уровня аналогичного периода 2022 года. </w:t>
      </w:r>
    </w:p>
    <w:p w14:paraId="5A381683" w14:textId="77777777" w:rsidR="00DE7527" w:rsidRPr="00DE7527" w:rsidRDefault="00DE7527" w:rsidP="00DE752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E7527">
        <w:rPr>
          <w:rFonts w:eastAsia="Times New Roman"/>
          <w:szCs w:val="28"/>
          <w:lang w:eastAsia="ru-RU"/>
        </w:rPr>
        <w:t>Количество малых предприятий, включая микропредприятия, учтенных в Едином реестре субъектов малого и среднего предпринимательства на 10.07.2023 года, составило 5995 единиц (97,7 % к первому полугодию 2022 года), количество индивидуальных предпринимателей – 7970 (108 % к первому полугодию 2022 года).</w:t>
      </w:r>
    </w:p>
    <w:p w14:paraId="34C48784" w14:textId="77777777" w:rsidR="00DE7527" w:rsidRPr="00DE7527" w:rsidRDefault="00DE7527" w:rsidP="00DE752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E7527">
        <w:rPr>
          <w:rFonts w:eastAsia="Times New Roman"/>
          <w:szCs w:val="28"/>
          <w:lang w:eastAsia="ru-RU"/>
        </w:rPr>
        <w:t xml:space="preserve">Количество средних предприятий по данным Единого реестра субъектов малого и среднего предпринимательства на первое полугодие 2023 года – 27 организация (93,1 % к соответствующему периоду предыдущего года). </w:t>
      </w:r>
    </w:p>
    <w:p w14:paraId="728FAA51" w14:textId="55C66163" w:rsidR="00DE7527" w:rsidRDefault="00DE7527" w:rsidP="00DE752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E7527">
        <w:rPr>
          <w:rFonts w:eastAsia="Times New Roman"/>
          <w:szCs w:val="28"/>
          <w:lang w:eastAsia="ru-RU"/>
        </w:rPr>
        <w:t>На фоне реализации мероприятий по поддержке начинающих и действующих предпринимателей как на муниципальном, так и региональном уровне ожидается положительная динамика показателей развития малого и среднего бизнеса. Количество малых (в том числе микро-) предприятий по итогам 2023 года оценочно составит 6 175 единиц, индивидуальных предпринимателей – 7 664 человек, средних предприятий – 32 единицы.</w:t>
      </w:r>
    </w:p>
    <w:p w14:paraId="407ECAE2" w14:textId="77777777" w:rsidR="00DE7527" w:rsidRPr="00DE7527" w:rsidRDefault="00DE7527" w:rsidP="00DE752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699B16C1" w14:textId="77777777" w:rsidR="006D16A3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DE7527">
        <w:rPr>
          <w:rFonts w:eastAsia="Times New Roman"/>
          <w:szCs w:val="28"/>
          <w:lang w:eastAsia="ru-RU"/>
        </w:rPr>
        <w:t>Инвестиции и строительство</w:t>
      </w:r>
    </w:p>
    <w:p w14:paraId="7DC4CC44" w14:textId="77777777" w:rsidR="006D16A3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14:paraId="7A60B733" w14:textId="7C87B512" w:rsidR="00CE413C" w:rsidRPr="00CE413C" w:rsidRDefault="00D378EF" w:rsidP="00CE413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>По предварительным данным, о</w:t>
      </w:r>
      <w:r w:rsidR="00CE413C" w:rsidRPr="00824400">
        <w:rPr>
          <w:rFonts w:eastAsia="Times New Roman"/>
          <w:szCs w:val="28"/>
          <w:lang w:eastAsia="ru-RU"/>
        </w:rPr>
        <w:t>бъ</w:t>
      </w:r>
      <w:r w:rsidR="00CE413C" w:rsidRPr="00CE413C">
        <w:rPr>
          <w:rFonts w:eastAsia="Times New Roman"/>
          <w:szCs w:val="28"/>
          <w:lang w:eastAsia="ru-RU"/>
        </w:rPr>
        <w:t>ем инвестиций в основной капитал за первое полугодие 2023 года составил 33 617,8 млн. рублей (113,3% к аналогичному периоду 2022 года).</w:t>
      </w:r>
    </w:p>
    <w:p w14:paraId="04E4CEFF" w14:textId="3B7F936A" w:rsidR="00CE413C" w:rsidRPr="00CE413C" w:rsidRDefault="00CE413C" w:rsidP="00CE413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413C">
        <w:rPr>
          <w:rFonts w:eastAsia="Times New Roman"/>
          <w:szCs w:val="28"/>
          <w:lang w:eastAsia="ru-RU"/>
        </w:rPr>
        <w:t>Отмечен рост доли собственных средств до 16,9 млрд. рублей (176,8% к аналогичному периоду 2022 года), а также снижение доли привлеченных средств до 16,7 млрд. рублей (83,0% к аналогичному периоду 2022 года).</w:t>
      </w:r>
    </w:p>
    <w:p w14:paraId="034C9016" w14:textId="61D6D18D" w:rsidR="00CE413C" w:rsidRPr="00CE413C" w:rsidRDefault="00CE413C" w:rsidP="00CE413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413C">
        <w:rPr>
          <w:rFonts w:eastAsia="Times New Roman"/>
          <w:szCs w:val="28"/>
          <w:lang w:eastAsia="ru-RU"/>
        </w:rPr>
        <w:t xml:space="preserve">В первом полугодии 2023 года наиболее инвестиционно-активными были предприятия в сфере деятельности гостиниц и предприятий общественного питания, на долю которых пришлось увеличение капиталовложения до 535,8 млн. </w:t>
      </w:r>
      <w:r w:rsidRPr="009C3419">
        <w:rPr>
          <w:rFonts w:eastAsia="Times New Roman"/>
          <w:szCs w:val="28"/>
          <w:lang w:eastAsia="ru-RU"/>
        </w:rPr>
        <w:t>рублей (в 51,</w:t>
      </w:r>
      <w:r w:rsidR="009C3419" w:rsidRPr="009C3419">
        <w:rPr>
          <w:rFonts w:eastAsia="Times New Roman"/>
          <w:szCs w:val="28"/>
          <w:lang w:eastAsia="ru-RU"/>
        </w:rPr>
        <w:t>5</w:t>
      </w:r>
      <w:r w:rsidRPr="009C3419">
        <w:rPr>
          <w:rFonts w:eastAsia="Times New Roman"/>
          <w:szCs w:val="28"/>
          <w:lang w:eastAsia="ru-RU"/>
        </w:rPr>
        <w:t xml:space="preserve"> раз к аналогичному</w:t>
      </w:r>
      <w:r w:rsidRPr="00CE413C">
        <w:rPr>
          <w:rFonts w:eastAsia="Times New Roman"/>
          <w:szCs w:val="28"/>
          <w:lang w:eastAsia="ru-RU"/>
        </w:rPr>
        <w:t xml:space="preserve"> периоду 2022 года), в сфере деятельности органов государственного управления по обеспечению военной безопасности, обязательному социальному обеспечению, на долю которых пришлось увеличение капиталовложения до 3,6 млрд. рублей (в 7,8 раз к аналогичному периоду 2022 года), а также предприятия в области операций с недвижимым имуществом, на долю которых пришлось увеличение своих </w:t>
      </w:r>
      <w:r w:rsidRPr="00CE413C">
        <w:rPr>
          <w:rFonts w:eastAsia="Times New Roman"/>
          <w:szCs w:val="28"/>
          <w:lang w:eastAsia="ru-RU"/>
        </w:rPr>
        <w:lastRenderedPageBreak/>
        <w:t>капиталовложений до 390,6 млн. рублей (в 6,1 раз к аналогичному периоду 2022 года), предприятия в области  добычи полезных ископаемых, на долю которых пришлось увеличение своих капиталовложений до 1,3 млрд. рублей (в 3,9 раза к аналогичному периоду 2022 года).</w:t>
      </w:r>
    </w:p>
    <w:p w14:paraId="44A6FE7E" w14:textId="0230F0C4" w:rsidR="00CE413C" w:rsidRDefault="00CE413C" w:rsidP="00CE413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  <w:r w:rsidRPr="00CE413C">
        <w:rPr>
          <w:rFonts w:eastAsia="Times New Roman"/>
          <w:szCs w:val="28"/>
          <w:lang w:eastAsia="ru-RU"/>
        </w:rPr>
        <w:t>За первое полугодие 2023 года значительное снижение инвестиций в основной капитал по сравнению с первым полугодием 2022 года отмечено в области строительства до 28,4 млн. рублей (</w:t>
      </w:r>
      <w:r w:rsidR="009C3419">
        <w:rPr>
          <w:rFonts w:eastAsia="Times New Roman"/>
          <w:szCs w:val="28"/>
          <w:lang w:eastAsia="ru-RU"/>
        </w:rPr>
        <w:t>3,9%</w:t>
      </w:r>
      <w:r w:rsidR="00E64A80">
        <w:rPr>
          <w:rFonts w:eastAsia="Times New Roman"/>
          <w:szCs w:val="28"/>
          <w:lang w:eastAsia="ru-RU"/>
        </w:rPr>
        <w:t xml:space="preserve"> к </w:t>
      </w:r>
      <w:r w:rsidR="00E64A80" w:rsidRPr="00CE413C">
        <w:rPr>
          <w:rFonts w:eastAsia="Times New Roman"/>
          <w:szCs w:val="28"/>
          <w:lang w:eastAsia="ru-RU"/>
        </w:rPr>
        <w:t>аналогичному периоду 2022 года</w:t>
      </w:r>
      <w:r w:rsidRPr="00CE413C">
        <w:rPr>
          <w:rFonts w:eastAsia="Times New Roman"/>
          <w:szCs w:val="28"/>
          <w:lang w:eastAsia="ru-RU"/>
        </w:rPr>
        <w:t>), в области обеспечения электрической энергией, газом и паром; кондиционирования воздуха до 380,8 млн. рублей (</w:t>
      </w:r>
      <w:r w:rsidR="00E64A80">
        <w:rPr>
          <w:rFonts w:eastAsia="Times New Roman"/>
          <w:szCs w:val="28"/>
          <w:lang w:eastAsia="ru-RU"/>
        </w:rPr>
        <w:t>12% к</w:t>
      </w:r>
      <w:r w:rsidR="00E64A80" w:rsidRPr="00E64A80">
        <w:rPr>
          <w:rFonts w:eastAsia="Times New Roman"/>
          <w:szCs w:val="28"/>
          <w:lang w:eastAsia="ru-RU"/>
        </w:rPr>
        <w:t xml:space="preserve"> </w:t>
      </w:r>
      <w:r w:rsidR="00E64A80" w:rsidRPr="00CE413C">
        <w:rPr>
          <w:rFonts w:eastAsia="Times New Roman"/>
          <w:szCs w:val="28"/>
          <w:lang w:eastAsia="ru-RU"/>
        </w:rPr>
        <w:t>аналогичному периоду 2022 года</w:t>
      </w:r>
      <w:r w:rsidRPr="00CE413C">
        <w:rPr>
          <w:rFonts w:eastAsia="Times New Roman"/>
          <w:szCs w:val="28"/>
          <w:lang w:eastAsia="ru-RU"/>
        </w:rPr>
        <w:t>), а также в области деятельности финансовой и страховой до 61,3 млн. рублей (</w:t>
      </w:r>
      <w:r w:rsidR="00E64A80">
        <w:rPr>
          <w:rFonts w:eastAsia="Times New Roman"/>
          <w:szCs w:val="28"/>
          <w:lang w:eastAsia="ru-RU"/>
        </w:rPr>
        <w:t>40</w:t>
      </w:r>
      <w:r w:rsidR="00824400">
        <w:rPr>
          <w:rFonts w:eastAsia="Times New Roman"/>
          <w:szCs w:val="28"/>
          <w:lang w:eastAsia="ru-RU"/>
        </w:rPr>
        <w:t>,</w:t>
      </w:r>
      <w:r w:rsidR="00E64A80">
        <w:rPr>
          <w:rFonts w:eastAsia="Times New Roman"/>
          <w:szCs w:val="28"/>
          <w:lang w:eastAsia="ru-RU"/>
        </w:rPr>
        <w:t>3%</w:t>
      </w:r>
      <w:r w:rsidR="00E64A80" w:rsidRPr="00E64A80">
        <w:rPr>
          <w:rFonts w:eastAsia="Times New Roman"/>
          <w:szCs w:val="28"/>
          <w:lang w:eastAsia="ru-RU"/>
        </w:rPr>
        <w:t xml:space="preserve"> </w:t>
      </w:r>
      <w:r w:rsidR="00E64A80">
        <w:rPr>
          <w:rFonts w:eastAsia="Times New Roman"/>
          <w:szCs w:val="28"/>
          <w:lang w:eastAsia="ru-RU"/>
        </w:rPr>
        <w:t xml:space="preserve">к </w:t>
      </w:r>
      <w:r w:rsidR="00E64A80" w:rsidRPr="00CE413C">
        <w:rPr>
          <w:rFonts w:eastAsia="Times New Roman"/>
          <w:szCs w:val="28"/>
          <w:lang w:eastAsia="ru-RU"/>
        </w:rPr>
        <w:t>аналогичному периоду 2022 года</w:t>
      </w:r>
      <w:r w:rsidRPr="00CE413C">
        <w:rPr>
          <w:rFonts w:eastAsia="Times New Roman"/>
          <w:szCs w:val="28"/>
          <w:lang w:eastAsia="ru-RU"/>
        </w:rPr>
        <w:t>).</w:t>
      </w:r>
    </w:p>
    <w:p w14:paraId="73923AF2" w14:textId="0F3F15B8" w:rsidR="00A6760D" w:rsidRPr="00824400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 xml:space="preserve">Объемы бюджетного финансирования </w:t>
      </w:r>
      <w:r w:rsidR="00824400" w:rsidRPr="00824400">
        <w:rPr>
          <w:rFonts w:eastAsia="Times New Roman"/>
          <w:szCs w:val="28"/>
          <w:lang w:eastAsia="ru-RU"/>
        </w:rPr>
        <w:t>увеличились</w:t>
      </w:r>
      <w:r w:rsidRPr="00824400">
        <w:rPr>
          <w:rFonts w:eastAsia="Times New Roman"/>
          <w:szCs w:val="28"/>
          <w:lang w:eastAsia="ru-RU"/>
        </w:rPr>
        <w:t xml:space="preserve"> до 9,</w:t>
      </w:r>
      <w:r w:rsidR="00824400" w:rsidRPr="00824400">
        <w:rPr>
          <w:rFonts w:eastAsia="Times New Roman"/>
          <w:szCs w:val="28"/>
          <w:lang w:eastAsia="ru-RU"/>
        </w:rPr>
        <w:t>2</w:t>
      </w:r>
      <w:r w:rsidRPr="00824400">
        <w:rPr>
          <w:rFonts w:eastAsia="Times New Roman"/>
          <w:szCs w:val="28"/>
          <w:lang w:eastAsia="ru-RU"/>
        </w:rPr>
        <w:t xml:space="preserve"> млрд. рублей (</w:t>
      </w:r>
      <w:r w:rsidR="00824400" w:rsidRPr="00824400">
        <w:rPr>
          <w:rFonts w:eastAsia="Times New Roman"/>
          <w:szCs w:val="28"/>
          <w:lang w:eastAsia="ru-RU"/>
        </w:rPr>
        <w:t>101</w:t>
      </w:r>
      <w:r w:rsidRPr="00824400">
        <w:rPr>
          <w:rFonts w:eastAsia="Times New Roman"/>
          <w:szCs w:val="28"/>
          <w:lang w:eastAsia="ru-RU"/>
        </w:rPr>
        <w:t xml:space="preserve">% к аналогичному показателю прошлого года) за счет </w:t>
      </w:r>
      <w:r w:rsidR="00824400" w:rsidRPr="00824400">
        <w:rPr>
          <w:rFonts w:eastAsia="Times New Roman"/>
          <w:szCs w:val="28"/>
          <w:lang w:eastAsia="ru-RU"/>
        </w:rPr>
        <w:t>увеличения</w:t>
      </w:r>
      <w:r w:rsidRPr="00824400">
        <w:rPr>
          <w:rFonts w:eastAsia="Times New Roman"/>
          <w:szCs w:val="28"/>
          <w:lang w:eastAsia="ru-RU"/>
        </w:rPr>
        <w:t xml:space="preserve"> до </w:t>
      </w:r>
      <w:r w:rsidR="00824400" w:rsidRPr="00824400">
        <w:rPr>
          <w:rFonts w:eastAsia="Times New Roman"/>
          <w:szCs w:val="28"/>
          <w:lang w:eastAsia="ru-RU"/>
        </w:rPr>
        <w:br/>
        <w:t>1,1</w:t>
      </w:r>
      <w:r w:rsidRPr="00824400">
        <w:rPr>
          <w:rFonts w:eastAsia="Times New Roman"/>
          <w:szCs w:val="28"/>
          <w:lang w:eastAsia="ru-RU"/>
        </w:rPr>
        <w:t xml:space="preserve"> млрд. рублей объемов финансирования за счет средств </w:t>
      </w:r>
      <w:r w:rsidR="00824400" w:rsidRPr="00824400">
        <w:rPr>
          <w:rFonts w:eastAsia="Times New Roman"/>
          <w:szCs w:val="28"/>
          <w:lang w:eastAsia="ru-RU"/>
        </w:rPr>
        <w:t>областного бюджета</w:t>
      </w:r>
      <w:r w:rsidRPr="00824400">
        <w:rPr>
          <w:rFonts w:eastAsia="Times New Roman"/>
          <w:szCs w:val="28"/>
          <w:lang w:eastAsia="ru-RU"/>
        </w:rPr>
        <w:t xml:space="preserve"> </w:t>
      </w:r>
      <w:r w:rsidR="00824400" w:rsidRPr="00824400">
        <w:rPr>
          <w:rFonts w:eastAsia="Times New Roman"/>
          <w:szCs w:val="28"/>
          <w:lang w:eastAsia="ru-RU"/>
        </w:rPr>
        <w:br/>
      </w:r>
      <w:r w:rsidRPr="00824400">
        <w:rPr>
          <w:rFonts w:eastAsia="Times New Roman"/>
          <w:szCs w:val="28"/>
          <w:lang w:eastAsia="ru-RU"/>
        </w:rPr>
        <w:t>(</w:t>
      </w:r>
      <w:r w:rsidR="00824400" w:rsidRPr="00824400">
        <w:rPr>
          <w:rFonts w:eastAsia="Times New Roman"/>
          <w:szCs w:val="28"/>
          <w:lang w:eastAsia="ru-RU"/>
        </w:rPr>
        <w:t>в 2,5 раз</w:t>
      </w:r>
      <w:r w:rsidRPr="00824400">
        <w:rPr>
          <w:rFonts w:eastAsia="Times New Roman"/>
          <w:szCs w:val="28"/>
          <w:lang w:eastAsia="ru-RU"/>
        </w:rPr>
        <w:t xml:space="preserve"> к уровню 202</w:t>
      </w:r>
      <w:r w:rsidR="00824400" w:rsidRPr="00824400">
        <w:rPr>
          <w:rFonts w:eastAsia="Times New Roman"/>
          <w:szCs w:val="28"/>
          <w:lang w:eastAsia="ru-RU"/>
        </w:rPr>
        <w:t>2</w:t>
      </w:r>
      <w:r w:rsidRPr="00824400">
        <w:rPr>
          <w:rFonts w:eastAsia="Times New Roman"/>
          <w:szCs w:val="28"/>
          <w:lang w:eastAsia="ru-RU"/>
        </w:rPr>
        <w:t xml:space="preserve"> года) и за счет средств </w:t>
      </w:r>
      <w:r w:rsidR="00824400" w:rsidRPr="00824400">
        <w:rPr>
          <w:rFonts w:eastAsia="Times New Roman"/>
          <w:szCs w:val="28"/>
          <w:lang w:eastAsia="ru-RU"/>
        </w:rPr>
        <w:t>местного</w:t>
      </w:r>
      <w:r w:rsidRPr="00824400">
        <w:rPr>
          <w:rFonts w:eastAsia="Times New Roman"/>
          <w:szCs w:val="28"/>
          <w:lang w:eastAsia="ru-RU"/>
        </w:rPr>
        <w:t xml:space="preserve"> бюджета до 732,1 млн. рублей (</w:t>
      </w:r>
      <w:r w:rsidR="00824400" w:rsidRPr="00824400">
        <w:rPr>
          <w:rFonts w:eastAsia="Times New Roman"/>
          <w:szCs w:val="28"/>
          <w:lang w:eastAsia="ru-RU"/>
        </w:rPr>
        <w:t>133,1</w:t>
      </w:r>
      <w:r w:rsidRPr="00824400">
        <w:rPr>
          <w:rFonts w:eastAsia="Times New Roman"/>
          <w:szCs w:val="28"/>
          <w:lang w:eastAsia="ru-RU"/>
        </w:rPr>
        <w:t>% к аналогичному периоду 202</w:t>
      </w:r>
      <w:r w:rsidR="00824400" w:rsidRPr="00824400">
        <w:rPr>
          <w:rFonts w:eastAsia="Times New Roman"/>
          <w:szCs w:val="28"/>
          <w:lang w:eastAsia="ru-RU"/>
        </w:rPr>
        <w:t>2</w:t>
      </w:r>
      <w:r w:rsidRPr="00824400">
        <w:rPr>
          <w:rFonts w:eastAsia="Times New Roman"/>
          <w:szCs w:val="28"/>
          <w:lang w:eastAsia="ru-RU"/>
        </w:rPr>
        <w:t xml:space="preserve"> года).</w:t>
      </w:r>
    </w:p>
    <w:p w14:paraId="4BEC403D" w14:textId="7D2ABFB7" w:rsidR="00A6760D" w:rsidRPr="00824400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 xml:space="preserve">Объем работ строительного подряда в действующих ценах увеличился </w:t>
      </w:r>
      <w:r w:rsidRPr="00824400">
        <w:rPr>
          <w:rFonts w:eastAsia="Times New Roman"/>
          <w:szCs w:val="28"/>
          <w:lang w:eastAsia="ru-RU"/>
        </w:rPr>
        <w:br/>
        <w:t>до 6 183,5 млн. рублей (127,6% к аналогичному периоду 2022 года). Увеличение связано с изменением объёма работ на объекте по ремонту судов. В первом полугодии 2023 года введено 11 зданий общей площадью 2 755 кв. м (24,5% к первому полугодию 2022 года), в том числе 8 жилых домов (включая индивидуальные жилые дома, построенные населением, введенные в эксплуатацию в установленном порядке) общей площадью 1,6 тыс. кв. м. Также введено 3 нежилых зданий (23,1% к январю-июню 2022 года) общей площадью 1,2 тыс. кв. м, включая 3 коммерческих. В течение первого полугодия 2023 года выданы разрешения на ввод в эксплуатацию следующих наиболее крупных социально-значимых объектов:</w:t>
      </w:r>
    </w:p>
    <w:p w14:paraId="41693469" w14:textId="77777777" w:rsidR="00A6760D" w:rsidRPr="00824400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>- «Административное здание для осуществления проектной деятельности по адресу: г. Мурманск, ул. Три Ручья»;</w:t>
      </w:r>
    </w:p>
    <w:p w14:paraId="7C0C6839" w14:textId="08C2240B" w:rsidR="00A6760D" w:rsidRPr="00824400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 xml:space="preserve">- «Реконструкция автостоянки, расположенной по адресу г. Мурманск, </w:t>
      </w:r>
      <w:r w:rsidRPr="00824400">
        <w:rPr>
          <w:rFonts w:eastAsia="Times New Roman"/>
          <w:szCs w:val="28"/>
          <w:lang w:eastAsia="ru-RU"/>
        </w:rPr>
        <w:br/>
        <w:t>ул</w:t>
      </w:r>
      <w:r w:rsidR="00165571">
        <w:rPr>
          <w:rFonts w:eastAsia="Times New Roman"/>
          <w:szCs w:val="28"/>
          <w:lang w:eastAsia="ru-RU"/>
        </w:rPr>
        <w:t>.</w:t>
      </w:r>
      <w:r w:rsidRPr="00824400">
        <w:rPr>
          <w:rFonts w:eastAsia="Times New Roman"/>
          <w:szCs w:val="28"/>
          <w:lang w:eastAsia="ru-RU"/>
        </w:rPr>
        <w:t xml:space="preserve"> Павлова»;</w:t>
      </w:r>
    </w:p>
    <w:p w14:paraId="030748DF" w14:textId="77777777" w:rsidR="00A6760D" w:rsidRPr="00824400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>- магазин по ул. Калинина, д.37, г. Мурманск;</w:t>
      </w:r>
    </w:p>
    <w:p w14:paraId="498357B9" w14:textId="38190301" w:rsidR="00A6760D" w:rsidRPr="00824400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 xml:space="preserve">- офис продаж и пункт осмотра автомобилей, расположенный по адресу </w:t>
      </w:r>
      <w:r w:rsidRPr="00824400">
        <w:rPr>
          <w:rFonts w:eastAsia="Times New Roman"/>
          <w:szCs w:val="28"/>
          <w:lang w:eastAsia="ru-RU"/>
        </w:rPr>
        <w:br/>
        <w:t>пр. Кольский, д. 120 корп. 1, г. Мурманск;</w:t>
      </w:r>
    </w:p>
    <w:p w14:paraId="4EC91D57" w14:textId="1AED5FEA" w:rsidR="00A6760D" w:rsidRPr="00824400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>- открытый склад, расположенный по адресу ул</w:t>
      </w:r>
      <w:r w:rsidR="00165571">
        <w:rPr>
          <w:rFonts w:eastAsia="Times New Roman"/>
          <w:szCs w:val="28"/>
          <w:lang w:eastAsia="ru-RU"/>
        </w:rPr>
        <w:t>.</w:t>
      </w:r>
      <w:r w:rsidRPr="00824400">
        <w:rPr>
          <w:rFonts w:eastAsia="Times New Roman"/>
          <w:szCs w:val="28"/>
          <w:lang w:eastAsia="ru-RU"/>
        </w:rPr>
        <w:t xml:space="preserve"> Верхне-Ростинская, </w:t>
      </w:r>
      <w:r w:rsidRPr="00824400">
        <w:rPr>
          <w:rFonts w:eastAsia="Times New Roman"/>
          <w:szCs w:val="28"/>
          <w:lang w:eastAsia="ru-RU"/>
        </w:rPr>
        <w:br/>
        <w:t>г. Мурманск.</w:t>
      </w:r>
    </w:p>
    <w:p w14:paraId="002259ED" w14:textId="147767E0" w:rsidR="006D16A3" w:rsidRDefault="00A6760D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24400">
        <w:rPr>
          <w:rFonts w:eastAsia="Times New Roman"/>
          <w:szCs w:val="28"/>
          <w:lang w:eastAsia="ru-RU"/>
        </w:rPr>
        <w:t>С учетом реализуемых и планируемых к реализации на территории города Мурманска инвестиционных проектов объем инвестиций в основной капитал за счет всех источников финансирования по итогам 2023 года оценочно составит 88 млрд. рублей, в том числе 39,3 млрд. рублей за счет бюджетных средств.</w:t>
      </w:r>
    </w:p>
    <w:p w14:paraId="7704186B" w14:textId="77777777" w:rsidR="00A11A24" w:rsidRDefault="00A11A24" w:rsidP="00A6760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0E08D9F" w14:textId="77777777" w:rsidR="006D16A3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Сальдированный финансовый результат (прибыль, убыток) </w:t>
      </w:r>
      <w:r>
        <w:rPr>
          <w:rFonts w:eastAsia="Times New Roman"/>
          <w:szCs w:val="28"/>
          <w:lang w:eastAsia="ru-RU"/>
        </w:rPr>
        <w:br/>
        <w:t>деятельности крупных и средних предприятий</w:t>
      </w:r>
    </w:p>
    <w:p w14:paraId="01A5F345" w14:textId="77777777" w:rsidR="006D16A3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14:paraId="56724C25" w14:textId="259FAC27" w:rsidR="006D16A3" w:rsidRPr="003B2ABF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lastRenderedPageBreak/>
        <w:t xml:space="preserve">Наблюдается </w:t>
      </w:r>
      <w:r w:rsidR="00736CF5" w:rsidRPr="003B2ABF">
        <w:rPr>
          <w:rFonts w:eastAsia="Times New Roman"/>
          <w:szCs w:val="28"/>
          <w:lang w:eastAsia="ru-RU"/>
        </w:rPr>
        <w:t>значительное снижение</w:t>
      </w:r>
      <w:r w:rsidRPr="003B2ABF">
        <w:rPr>
          <w:rFonts w:eastAsia="Times New Roman"/>
          <w:szCs w:val="28"/>
          <w:lang w:eastAsia="ru-RU"/>
        </w:rPr>
        <w:t xml:space="preserve"> в январе-</w:t>
      </w:r>
      <w:r w:rsidR="00736CF5" w:rsidRPr="003B2ABF">
        <w:rPr>
          <w:rFonts w:eastAsia="Times New Roman"/>
          <w:szCs w:val="28"/>
          <w:lang w:eastAsia="ru-RU"/>
        </w:rPr>
        <w:t>июне</w:t>
      </w:r>
      <w:r w:rsidRPr="003B2ABF">
        <w:rPr>
          <w:rFonts w:eastAsia="Times New Roman"/>
          <w:szCs w:val="28"/>
          <w:lang w:eastAsia="ru-RU"/>
        </w:rPr>
        <w:t xml:space="preserve"> 202</w:t>
      </w:r>
      <w:r w:rsidR="00A14F5C" w:rsidRPr="003B2ABF">
        <w:rPr>
          <w:rFonts w:eastAsia="Times New Roman"/>
          <w:szCs w:val="28"/>
          <w:lang w:eastAsia="ru-RU"/>
        </w:rPr>
        <w:t>3</w:t>
      </w:r>
      <w:r w:rsidRPr="003B2ABF">
        <w:rPr>
          <w:rFonts w:eastAsia="Times New Roman"/>
          <w:szCs w:val="28"/>
          <w:lang w:eastAsia="ru-RU"/>
        </w:rPr>
        <w:t xml:space="preserve"> года сальдированного финансового результата деятельности организаций до </w:t>
      </w:r>
      <w:r w:rsidR="00736CF5" w:rsidRPr="003B2ABF">
        <w:rPr>
          <w:rFonts w:eastAsia="Times New Roman"/>
          <w:szCs w:val="28"/>
          <w:lang w:eastAsia="ru-RU"/>
        </w:rPr>
        <w:t>24,9</w:t>
      </w:r>
      <w:r w:rsidRPr="003B2ABF">
        <w:rPr>
          <w:rFonts w:eastAsia="Times New Roman"/>
          <w:szCs w:val="28"/>
          <w:lang w:eastAsia="ru-RU"/>
        </w:rPr>
        <w:t xml:space="preserve"> млрд. руб. (</w:t>
      </w:r>
      <w:r w:rsidR="00736CF5" w:rsidRPr="003B2ABF">
        <w:rPr>
          <w:rFonts w:eastAsia="Times New Roman"/>
          <w:szCs w:val="28"/>
          <w:lang w:eastAsia="ru-RU"/>
        </w:rPr>
        <w:t>40,9</w:t>
      </w:r>
      <w:r w:rsidRPr="003B2ABF">
        <w:rPr>
          <w:rFonts w:eastAsia="Times New Roman"/>
          <w:szCs w:val="28"/>
          <w:lang w:eastAsia="ru-RU"/>
        </w:rPr>
        <w:t>% к январю-</w:t>
      </w:r>
      <w:r w:rsidR="00736CF5" w:rsidRPr="003B2ABF">
        <w:rPr>
          <w:rFonts w:eastAsia="Times New Roman"/>
          <w:szCs w:val="28"/>
          <w:lang w:eastAsia="ru-RU"/>
        </w:rPr>
        <w:t>июню</w:t>
      </w:r>
      <w:r w:rsidRPr="003B2ABF">
        <w:rPr>
          <w:rFonts w:eastAsia="Times New Roman"/>
          <w:szCs w:val="28"/>
          <w:lang w:eastAsia="ru-RU"/>
        </w:rPr>
        <w:t xml:space="preserve"> 202</w:t>
      </w:r>
      <w:r w:rsidR="00736CF5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года). Дебиторская задолженность организаций города Мурманска в январе-</w:t>
      </w:r>
      <w:r w:rsidR="00361249" w:rsidRPr="003B2ABF">
        <w:rPr>
          <w:rFonts w:eastAsia="Times New Roman"/>
          <w:szCs w:val="28"/>
          <w:lang w:eastAsia="ru-RU"/>
        </w:rPr>
        <w:t xml:space="preserve">июне </w:t>
      </w:r>
      <w:r w:rsidRPr="003B2ABF">
        <w:rPr>
          <w:rFonts w:eastAsia="Times New Roman"/>
          <w:szCs w:val="28"/>
          <w:lang w:eastAsia="ru-RU"/>
        </w:rPr>
        <w:t>202</w:t>
      </w:r>
      <w:r w:rsidR="00361249" w:rsidRPr="003B2ABF">
        <w:rPr>
          <w:rFonts w:eastAsia="Times New Roman"/>
          <w:szCs w:val="28"/>
          <w:lang w:eastAsia="ru-RU"/>
        </w:rPr>
        <w:t>3</w:t>
      </w:r>
      <w:r w:rsidRPr="003B2ABF">
        <w:rPr>
          <w:rFonts w:eastAsia="Times New Roman"/>
          <w:szCs w:val="28"/>
          <w:lang w:eastAsia="ru-RU"/>
        </w:rPr>
        <w:t xml:space="preserve"> года составила </w:t>
      </w:r>
      <w:r w:rsidR="00361249" w:rsidRPr="003B2ABF">
        <w:rPr>
          <w:rFonts w:eastAsia="Times New Roman"/>
          <w:szCs w:val="28"/>
          <w:lang w:eastAsia="ru-RU"/>
        </w:rPr>
        <w:t>199,8</w:t>
      </w:r>
      <w:r w:rsidRPr="003B2ABF">
        <w:rPr>
          <w:rFonts w:eastAsia="Times New Roman"/>
          <w:szCs w:val="28"/>
          <w:lang w:eastAsia="ru-RU"/>
        </w:rPr>
        <w:t xml:space="preserve"> млрд. руб. (</w:t>
      </w:r>
      <w:r w:rsidR="00361249" w:rsidRPr="003B2ABF">
        <w:rPr>
          <w:rFonts w:eastAsia="Times New Roman"/>
          <w:szCs w:val="28"/>
          <w:lang w:eastAsia="ru-RU"/>
        </w:rPr>
        <w:t>109,9</w:t>
      </w:r>
      <w:r w:rsidRPr="003B2ABF">
        <w:rPr>
          <w:rFonts w:eastAsia="Times New Roman"/>
          <w:szCs w:val="28"/>
          <w:lang w:eastAsia="ru-RU"/>
        </w:rPr>
        <w:t>% к аналогичному периоду 202</w:t>
      </w:r>
      <w:r w:rsidR="00361249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года). Кредиторская задолженность составила </w:t>
      </w:r>
      <w:r w:rsidR="00361249" w:rsidRPr="003B2ABF">
        <w:rPr>
          <w:rFonts w:eastAsia="Times New Roman"/>
          <w:szCs w:val="28"/>
          <w:lang w:eastAsia="ru-RU"/>
        </w:rPr>
        <w:t>132,1</w:t>
      </w:r>
      <w:r w:rsidRPr="003B2ABF">
        <w:rPr>
          <w:rFonts w:eastAsia="Times New Roman"/>
          <w:szCs w:val="28"/>
          <w:lang w:eastAsia="ru-RU"/>
        </w:rPr>
        <w:t xml:space="preserve"> млрд. руб. (</w:t>
      </w:r>
      <w:r w:rsidR="00361249" w:rsidRPr="003B2ABF">
        <w:rPr>
          <w:rFonts w:eastAsia="Times New Roman"/>
          <w:szCs w:val="28"/>
          <w:lang w:eastAsia="ru-RU"/>
        </w:rPr>
        <w:t>105,1</w:t>
      </w:r>
      <w:r w:rsidRPr="003B2ABF">
        <w:rPr>
          <w:rFonts w:eastAsia="Times New Roman"/>
          <w:szCs w:val="28"/>
          <w:lang w:eastAsia="ru-RU"/>
        </w:rPr>
        <w:t>% к январю-</w:t>
      </w:r>
      <w:r w:rsidR="00361249" w:rsidRPr="003B2ABF">
        <w:rPr>
          <w:rFonts w:eastAsia="Times New Roman"/>
          <w:szCs w:val="28"/>
          <w:lang w:eastAsia="ru-RU"/>
        </w:rPr>
        <w:t>июню</w:t>
      </w:r>
      <w:r w:rsidRPr="003B2ABF">
        <w:rPr>
          <w:rFonts w:eastAsia="Times New Roman"/>
          <w:szCs w:val="28"/>
          <w:lang w:eastAsia="ru-RU"/>
        </w:rPr>
        <w:t xml:space="preserve"> 202</w:t>
      </w:r>
      <w:r w:rsidR="00361249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года). </w:t>
      </w:r>
      <w:r w:rsidRPr="003B2ABF">
        <w:rPr>
          <w:rFonts w:eastAsia="Times New Roman"/>
          <w:bCs/>
          <w:szCs w:val="28"/>
          <w:lang w:eastAsia="ru-RU"/>
        </w:rPr>
        <w:t>Следует отметить снижение задолженности по платежам в бюджеты всех уровней (</w:t>
      </w:r>
      <w:r w:rsidR="00DF7821" w:rsidRPr="003B2ABF">
        <w:rPr>
          <w:rFonts w:eastAsia="Times New Roman"/>
          <w:bCs/>
          <w:szCs w:val="28"/>
          <w:lang w:eastAsia="ru-RU"/>
        </w:rPr>
        <w:t>94,4</w:t>
      </w:r>
      <w:r w:rsidRPr="003B2ABF">
        <w:rPr>
          <w:rFonts w:eastAsia="Times New Roman"/>
          <w:bCs/>
          <w:szCs w:val="28"/>
          <w:lang w:eastAsia="ru-RU"/>
        </w:rPr>
        <w:t>% к аналогичному периоду 202</w:t>
      </w:r>
      <w:r w:rsidR="00DF7821" w:rsidRPr="003B2ABF">
        <w:rPr>
          <w:rFonts w:eastAsia="Times New Roman"/>
          <w:bCs/>
          <w:szCs w:val="28"/>
          <w:lang w:eastAsia="ru-RU"/>
        </w:rPr>
        <w:t>2</w:t>
      </w:r>
      <w:r w:rsidRPr="003B2ABF">
        <w:rPr>
          <w:rFonts w:eastAsia="Times New Roman"/>
          <w:bCs/>
          <w:szCs w:val="28"/>
          <w:lang w:eastAsia="ru-RU"/>
        </w:rPr>
        <w:t xml:space="preserve"> года). Увеличилась задолженность поставщикам и подрядчикам за товары, работы и услуги из общей суммы кредиторской задолженности до </w:t>
      </w:r>
      <w:r w:rsidR="00DF7821" w:rsidRPr="003B2ABF">
        <w:rPr>
          <w:rFonts w:eastAsia="Times New Roman"/>
          <w:bCs/>
          <w:szCs w:val="28"/>
          <w:lang w:eastAsia="ru-RU"/>
        </w:rPr>
        <w:t>5,3</w:t>
      </w:r>
      <w:r w:rsidRPr="003B2ABF">
        <w:rPr>
          <w:rFonts w:eastAsia="Times New Roman"/>
          <w:bCs/>
          <w:szCs w:val="28"/>
          <w:lang w:eastAsia="ru-RU"/>
        </w:rPr>
        <w:t xml:space="preserve"> млрд. рублей (</w:t>
      </w:r>
      <w:r w:rsidR="00DF7821" w:rsidRPr="003B2ABF">
        <w:rPr>
          <w:rFonts w:eastAsia="Times New Roman"/>
          <w:bCs/>
          <w:szCs w:val="28"/>
          <w:lang w:eastAsia="ru-RU"/>
        </w:rPr>
        <w:t>108,3</w:t>
      </w:r>
      <w:r w:rsidRPr="003B2ABF">
        <w:rPr>
          <w:rFonts w:eastAsia="Times New Roman"/>
          <w:bCs/>
          <w:szCs w:val="28"/>
          <w:lang w:eastAsia="ru-RU"/>
        </w:rPr>
        <w:t xml:space="preserve">% к </w:t>
      </w:r>
      <w:r w:rsidR="00DF7821" w:rsidRPr="003B2ABF">
        <w:rPr>
          <w:rFonts w:eastAsia="Times New Roman"/>
          <w:szCs w:val="28"/>
          <w:lang w:eastAsia="ru-RU"/>
        </w:rPr>
        <w:t>январю-июню</w:t>
      </w:r>
      <w:r w:rsidR="00DF7821" w:rsidRPr="003B2ABF">
        <w:rPr>
          <w:rFonts w:eastAsia="Times New Roman"/>
          <w:bCs/>
          <w:szCs w:val="28"/>
          <w:lang w:eastAsia="ru-RU"/>
        </w:rPr>
        <w:t xml:space="preserve"> </w:t>
      </w:r>
      <w:r w:rsidRPr="003B2ABF">
        <w:rPr>
          <w:rFonts w:eastAsia="Times New Roman"/>
          <w:bCs/>
          <w:szCs w:val="28"/>
          <w:lang w:eastAsia="ru-RU"/>
        </w:rPr>
        <w:t>202</w:t>
      </w:r>
      <w:r w:rsidR="00DF7821" w:rsidRPr="003B2ABF">
        <w:rPr>
          <w:rFonts w:eastAsia="Times New Roman"/>
          <w:bCs/>
          <w:szCs w:val="28"/>
          <w:lang w:eastAsia="ru-RU"/>
        </w:rPr>
        <w:t>2</w:t>
      </w:r>
      <w:r w:rsidRPr="003B2ABF">
        <w:rPr>
          <w:rFonts w:eastAsia="Times New Roman"/>
          <w:bCs/>
          <w:szCs w:val="28"/>
          <w:lang w:eastAsia="ru-RU"/>
        </w:rPr>
        <w:t xml:space="preserve"> году).</w:t>
      </w:r>
    </w:p>
    <w:p w14:paraId="79E01C7A" w14:textId="12633440" w:rsidR="006D16A3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2ABF">
        <w:rPr>
          <w:rFonts w:eastAsia="Times New Roman"/>
          <w:szCs w:val="28"/>
          <w:lang w:eastAsia="ru-RU"/>
        </w:rPr>
        <w:t>Общее количество прибыльных организаций у</w:t>
      </w:r>
      <w:r w:rsidR="00013B56" w:rsidRPr="003B2ABF">
        <w:rPr>
          <w:rFonts w:eastAsia="Times New Roman"/>
          <w:szCs w:val="28"/>
          <w:lang w:eastAsia="ru-RU"/>
        </w:rPr>
        <w:t>величилось</w:t>
      </w:r>
      <w:r w:rsidRPr="003B2ABF">
        <w:rPr>
          <w:rFonts w:eastAsia="Times New Roman"/>
          <w:szCs w:val="28"/>
          <w:lang w:eastAsia="ru-RU"/>
        </w:rPr>
        <w:t xml:space="preserve"> и составило - 8</w:t>
      </w:r>
      <w:r w:rsidR="00013B56" w:rsidRPr="003B2ABF">
        <w:rPr>
          <w:rFonts w:eastAsia="Times New Roman"/>
          <w:szCs w:val="28"/>
          <w:lang w:eastAsia="ru-RU"/>
        </w:rPr>
        <w:t>4</w:t>
      </w:r>
      <w:r w:rsidRPr="003B2ABF">
        <w:rPr>
          <w:rFonts w:eastAsia="Times New Roman"/>
          <w:szCs w:val="28"/>
          <w:lang w:eastAsia="ru-RU"/>
        </w:rPr>
        <w:t xml:space="preserve"> единицы (</w:t>
      </w:r>
      <w:r w:rsidR="00013B56" w:rsidRPr="003B2ABF">
        <w:rPr>
          <w:rFonts w:eastAsia="Times New Roman"/>
          <w:szCs w:val="28"/>
          <w:lang w:eastAsia="ru-RU"/>
        </w:rPr>
        <w:t>103,7</w:t>
      </w:r>
      <w:r w:rsidRPr="003B2ABF">
        <w:rPr>
          <w:rFonts w:eastAsia="Times New Roman"/>
          <w:szCs w:val="28"/>
          <w:lang w:eastAsia="ru-RU"/>
        </w:rPr>
        <w:t>% к январю-</w:t>
      </w:r>
      <w:r w:rsidR="00013B56" w:rsidRPr="003B2ABF">
        <w:rPr>
          <w:rFonts w:eastAsia="Times New Roman"/>
          <w:szCs w:val="28"/>
          <w:lang w:eastAsia="ru-RU"/>
        </w:rPr>
        <w:t>июню</w:t>
      </w:r>
      <w:r w:rsidRPr="003B2ABF">
        <w:rPr>
          <w:rFonts w:eastAsia="Times New Roman"/>
          <w:szCs w:val="28"/>
          <w:lang w:eastAsia="ru-RU"/>
        </w:rPr>
        <w:t xml:space="preserve"> 202</w:t>
      </w:r>
      <w:r w:rsidR="00013B56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года), сумма прибыли – </w:t>
      </w:r>
      <w:r w:rsidR="00013B56" w:rsidRPr="003B2ABF">
        <w:rPr>
          <w:rFonts w:eastAsia="Times New Roman"/>
          <w:szCs w:val="28"/>
          <w:lang w:eastAsia="ru-RU"/>
        </w:rPr>
        <w:t>42,3</w:t>
      </w:r>
      <w:r w:rsidRPr="003B2ABF">
        <w:rPr>
          <w:rFonts w:eastAsia="Times New Roman"/>
          <w:szCs w:val="28"/>
          <w:lang w:eastAsia="ru-RU"/>
        </w:rPr>
        <w:t xml:space="preserve"> млрд. руб. (</w:t>
      </w:r>
      <w:r w:rsidR="00013B56" w:rsidRPr="003B2ABF">
        <w:rPr>
          <w:rFonts w:eastAsia="Times New Roman"/>
          <w:szCs w:val="28"/>
          <w:lang w:eastAsia="ru-RU"/>
        </w:rPr>
        <w:t xml:space="preserve">59,5% к </w:t>
      </w:r>
      <w:r w:rsidRPr="003B2ABF">
        <w:rPr>
          <w:rFonts w:eastAsia="Times New Roman"/>
          <w:szCs w:val="28"/>
          <w:lang w:eastAsia="ru-RU"/>
        </w:rPr>
        <w:t>аналогичном</w:t>
      </w:r>
      <w:r w:rsidR="00013B56" w:rsidRPr="003B2ABF">
        <w:rPr>
          <w:rFonts w:eastAsia="Times New Roman"/>
          <w:szCs w:val="28"/>
          <w:lang w:eastAsia="ru-RU"/>
        </w:rPr>
        <w:t>у</w:t>
      </w:r>
      <w:r w:rsidRPr="003B2ABF">
        <w:rPr>
          <w:rFonts w:eastAsia="Times New Roman"/>
          <w:szCs w:val="28"/>
          <w:lang w:eastAsia="ru-RU"/>
        </w:rPr>
        <w:t xml:space="preserve"> период</w:t>
      </w:r>
      <w:r w:rsidR="00013B56" w:rsidRPr="003B2ABF">
        <w:rPr>
          <w:rFonts w:eastAsia="Times New Roman"/>
          <w:szCs w:val="28"/>
          <w:lang w:eastAsia="ru-RU"/>
        </w:rPr>
        <w:t>у</w:t>
      </w:r>
      <w:r w:rsidRPr="003B2ABF">
        <w:rPr>
          <w:rFonts w:eastAsia="Times New Roman"/>
          <w:szCs w:val="28"/>
          <w:lang w:eastAsia="ru-RU"/>
        </w:rPr>
        <w:t xml:space="preserve"> 202</w:t>
      </w:r>
      <w:r w:rsidR="00013B56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года). Общее число убыточных организаций – 4</w:t>
      </w:r>
      <w:r w:rsidR="00013B56" w:rsidRPr="003B2ABF">
        <w:rPr>
          <w:rFonts w:eastAsia="Times New Roman"/>
          <w:szCs w:val="28"/>
          <w:lang w:eastAsia="ru-RU"/>
        </w:rPr>
        <w:t>6</w:t>
      </w:r>
      <w:r w:rsidRPr="003B2ABF">
        <w:rPr>
          <w:rFonts w:eastAsia="Times New Roman"/>
          <w:szCs w:val="28"/>
          <w:lang w:eastAsia="ru-RU"/>
        </w:rPr>
        <w:t xml:space="preserve"> единица (1</w:t>
      </w:r>
      <w:r w:rsidR="00013B56" w:rsidRPr="003B2ABF">
        <w:rPr>
          <w:rFonts w:eastAsia="Times New Roman"/>
          <w:szCs w:val="28"/>
          <w:lang w:eastAsia="ru-RU"/>
        </w:rPr>
        <w:t>1</w:t>
      </w:r>
      <w:r w:rsidRPr="003B2ABF">
        <w:rPr>
          <w:rFonts w:eastAsia="Times New Roman"/>
          <w:szCs w:val="28"/>
          <w:lang w:eastAsia="ru-RU"/>
        </w:rPr>
        <w:t>2,</w:t>
      </w:r>
      <w:r w:rsidR="00013B56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>% к аналогичному периоду 202</w:t>
      </w:r>
      <w:r w:rsidR="00013B56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года), сумма убытка – </w:t>
      </w:r>
      <w:r w:rsidR="00013B56" w:rsidRPr="003B2ABF">
        <w:rPr>
          <w:rFonts w:eastAsia="Times New Roman"/>
          <w:szCs w:val="28"/>
          <w:lang w:eastAsia="ru-RU"/>
        </w:rPr>
        <w:t>17,3</w:t>
      </w:r>
      <w:r w:rsidRPr="003B2ABF">
        <w:rPr>
          <w:rFonts w:eastAsia="Times New Roman"/>
          <w:szCs w:val="28"/>
          <w:lang w:eastAsia="ru-RU"/>
        </w:rPr>
        <w:t xml:space="preserve"> млрд. рублей (увеличение в </w:t>
      </w:r>
      <w:r w:rsidR="00013B56" w:rsidRPr="003B2ABF">
        <w:rPr>
          <w:rFonts w:eastAsia="Times New Roman"/>
          <w:szCs w:val="28"/>
          <w:lang w:eastAsia="ru-RU"/>
        </w:rPr>
        <w:t>1,6</w:t>
      </w:r>
      <w:r w:rsidRPr="003B2ABF">
        <w:rPr>
          <w:rFonts w:eastAsia="Times New Roman"/>
          <w:szCs w:val="28"/>
          <w:lang w:eastAsia="ru-RU"/>
        </w:rPr>
        <w:t xml:space="preserve"> раза по сравнению с январем-</w:t>
      </w:r>
      <w:r w:rsidR="00013B56" w:rsidRPr="003B2ABF">
        <w:rPr>
          <w:rFonts w:eastAsia="Times New Roman"/>
          <w:szCs w:val="28"/>
          <w:lang w:eastAsia="ru-RU"/>
        </w:rPr>
        <w:t>июнем</w:t>
      </w:r>
      <w:r w:rsidRPr="003B2ABF">
        <w:rPr>
          <w:rFonts w:eastAsia="Times New Roman"/>
          <w:szCs w:val="28"/>
          <w:lang w:eastAsia="ru-RU"/>
        </w:rPr>
        <w:t xml:space="preserve"> 202</w:t>
      </w:r>
      <w:r w:rsidR="00013B56" w:rsidRPr="003B2ABF">
        <w:rPr>
          <w:rFonts w:eastAsia="Times New Roman"/>
          <w:szCs w:val="28"/>
          <w:lang w:eastAsia="ru-RU"/>
        </w:rPr>
        <w:t>2</w:t>
      </w:r>
      <w:r w:rsidRPr="003B2ABF">
        <w:rPr>
          <w:rFonts w:eastAsia="Times New Roman"/>
          <w:szCs w:val="28"/>
          <w:lang w:eastAsia="ru-RU"/>
        </w:rPr>
        <w:t xml:space="preserve"> года).</w:t>
      </w:r>
    </w:p>
    <w:p w14:paraId="25B17559" w14:textId="77777777" w:rsidR="006D16A3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23EFA915" w14:textId="77777777" w:rsidR="006D16A3" w:rsidRDefault="00DF1B2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Труд и занятость</w:t>
      </w:r>
    </w:p>
    <w:p w14:paraId="3C3644A0" w14:textId="77777777" w:rsidR="006D16A3" w:rsidRDefault="006D16A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</w:p>
    <w:p w14:paraId="69B2938A" w14:textId="4B3B7C2B" w:rsidR="00C636C3" w:rsidRDefault="00C636C3" w:rsidP="00C636C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Сложившаяся в городе Мурманске демографическая ситуация </w:t>
      </w:r>
      <w:r w:rsidR="00A81328">
        <w:rPr>
          <w:rFonts w:eastAsia="Times New Roman"/>
          <w:szCs w:val="28"/>
          <w:lang w:eastAsia="ru-RU"/>
        </w:rPr>
        <w:t>характеризуется, в частности,</w:t>
      </w:r>
      <w:r>
        <w:rPr>
          <w:rFonts w:eastAsia="Times New Roman"/>
          <w:szCs w:val="28"/>
          <w:lang w:eastAsia="ru-RU"/>
        </w:rPr>
        <w:t xml:space="preserve"> сокращением численности трудоспособного населения. Так в 2022 году среднегодовая численность населения указанной категории сократилась на 3,94 тыс. человек, или на 2,45% к 2027 году, и составила 158,73 тыс. человек. </w:t>
      </w:r>
    </w:p>
    <w:p w14:paraId="02D2FD70" w14:textId="77777777" w:rsidR="00C636C3" w:rsidRDefault="00C636C3" w:rsidP="00C636C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2023 году ожидается сохранение отрицательной динамики: среднегодовое значение численности населения в трудоспособном возрасте предположительно составит 154,84 тыс. человек.</w:t>
      </w:r>
    </w:p>
    <w:p w14:paraId="73515F2B" w14:textId="77777777" w:rsidR="00C636C3" w:rsidRDefault="00C636C3" w:rsidP="00C636C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этом в первом полугодии текущего года отмечено увеличение по сравнению с аналогичным периодом 2022 года численности работников организаций города Мурманска (без субъектов малого предпринимательства) на 6,5% до 97,0 тыс. человек. </w:t>
      </w:r>
    </w:p>
    <w:p w14:paraId="13BCD848" w14:textId="77777777" w:rsidR="00C636C3" w:rsidRDefault="00C636C3" w:rsidP="00C636C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Ожидается, что к концу 2023 года численность работников организаций составит 89,8 тыс. человек (на 0,5% больше, чем в 2022 году).</w:t>
      </w:r>
    </w:p>
    <w:p w14:paraId="68C5E91A" w14:textId="77777777" w:rsidR="00573601" w:rsidRDefault="00C636C3" w:rsidP="0057360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kern w:val="32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этом ожидается рост среднемесячной номинальной начисленной заработной платы. В первом полугодии текущего года ее рост составил 10,7% </w:t>
      </w:r>
      <w:r>
        <w:rPr>
          <w:rFonts w:eastAsia="Times New Roman"/>
          <w:szCs w:val="28"/>
          <w:lang w:eastAsia="ru-RU"/>
        </w:rPr>
        <w:br/>
        <w:t>к соответствующему периоду 2022 года. В 2023 году ожидается увеличение среднемесячной заработной платы до 105 683,4 тыс. рублей.</w:t>
      </w:r>
    </w:p>
    <w:p w14:paraId="0A9D4780" w14:textId="101A4A35" w:rsidR="006D16A3" w:rsidRDefault="00C636C3" w:rsidP="0057360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2023 году среднегодовая численность безработных, зарегистрированных в службах занятости населения, предположительно</w:t>
      </w:r>
      <w:r w:rsidR="0057360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составит 0,85 тыс. человек.</w:t>
      </w:r>
    </w:p>
    <w:p w14:paraId="421D4662" w14:textId="77777777" w:rsidR="00A81328" w:rsidRDefault="00A81328" w:rsidP="0057360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</w:p>
    <w:p w14:paraId="50C201AC" w14:textId="1250725E" w:rsidR="00A81328" w:rsidRPr="00573601" w:rsidRDefault="00A81328" w:rsidP="00A8132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</w:t>
      </w:r>
    </w:p>
    <w:sectPr w:rsidR="00A81328" w:rsidRPr="00573601" w:rsidSect="0016557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9C49" w14:textId="77777777" w:rsidR="00603542" w:rsidRDefault="00603542">
      <w:pPr>
        <w:spacing w:after="0" w:line="240" w:lineRule="auto"/>
      </w:pPr>
      <w:r>
        <w:separator/>
      </w:r>
    </w:p>
  </w:endnote>
  <w:endnote w:type="continuationSeparator" w:id="0">
    <w:p w14:paraId="19A61467" w14:textId="77777777" w:rsidR="00603542" w:rsidRDefault="0060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EDEF" w14:textId="77777777" w:rsidR="00603542" w:rsidRDefault="00603542">
      <w:pPr>
        <w:spacing w:after="0" w:line="240" w:lineRule="auto"/>
      </w:pPr>
      <w:r>
        <w:separator/>
      </w:r>
    </w:p>
  </w:footnote>
  <w:footnote w:type="continuationSeparator" w:id="0">
    <w:p w14:paraId="209B0DAF" w14:textId="77777777" w:rsidR="00603542" w:rsidRDefault="00603542">
      <w:pPr>
        <w:spacing w:after="0" w:line="240" w:lineRule="auto"/>
      </w:pPr>
      <w:r>
        <w:continuationSeparator/>
      </w:r>
    </w:p>
  </w:footnote>
  <w:footnote w:id="1">
    <w:p w14:paraId="3A34014C" w14:textId="77777777" w:rsidR="00603542" w:rsidRDefault="00603542">
      <w:pPr>
        <w:pStyle w:val="aff0"/>
      </w:pPr>
      <w:r>
        <w:rPr>
          <w:rStyle w:val="aff8"/>
        </w:rPr>
        <w:footnoteRef/>
      </w:r>
      <w:r>
        <w:t xml:space="preserve"> Здесь и далее по сноске оценочные данные.</w:t>
      </w:r>
    </w:p>
  </w:footnote>
  <w:footnote w:id="2">
    <w:p w14:paraId="7822943A" w14:textId="77777777" w:rsidR="00603542" w:rsidRDefault="00603542">
      <w:pPr>
        <w:pStyle w:val="aff0"/>
      </w:pPr>
      <w:r>
        <w:rPr>
          <w:rStyle w:val="aff8"/>
        </w:rPr>
        <w:footnoteRef/>
      </w:r>
      <w:r>
        <w:t xml:space="preserve"> 1-й вариант – базовый (см. пояснительную записку к прогнозу).</w:t>
      </w:r>
    </w:p>
  </w:footnote>
  <w:footnote w:id="3">
    <w:p w14:paraId="619D6A2E" w14:textId="77777777" w:rsidR="00603542" w:rsidRDefault="00603542">
      <w:pPr>
        <w:pStyle w:val="aff0"/>
      </w:pPr>
      <w:r>
        <w:rPr>
          <w:rStyle w:val="aff8"/>
        </w:rPr>
        <w:footnoteRef/>
      </w:r>
      <w:r>
        <w:t xml:space="preserve"> 2-й вариант – целевой (см. пояснительную записку к прогнозу).</w:t>
      </w:r>
    </w:p>
  </w:footnote>
  <w:footnote w:id="4">
    <w:p w14:paraId="6EFF6350" w14:textId="77777777" w:rsidR="00603542" w:rsidRDefault="00603542">
      <w:pPr>
        <w:pStyle w:val="aff0"/>
        <w:ind w:right="-598"/>
        <w:jc w:val="both"/>
      </w:pPr>
      <w:r>
        <w:rPr>
          <w:rStyle w:val="aff8"/>
        </w:rPr>
        <w:footnoteRef/>
      </w:r>
      <w:r>
        <w:t xml:space="preserve"> Отчётные данные приведены по данным Единого реестра субъектов малого и среднего предпринимательства Федеральной налоговой службы РФ в соответствии с Федеральным законом от 29.12.2015 № 408-ФЗ «О внесении изменений в отдельные законодательные акты Российской Федерации», методическими рекомендациями по разработке основных показателей прогноза социально-экономического развития муниципального образования Мурманской области.</w:t>
      </w:r>
    </w:p>
  </w:footnote>
  <w:footnote w:id="5">
    <w:p w14:paraId="5691F6E3" w14:textId="77777777" w:rsidR="00603542" w:rsidRPr="003B2ABF" w:rsidRDefault="00603542">
      <w:pPr>
        <w:pStyle w:val="aff0"/>
        <w:ind w:right="-598"/>
        <w:jc w:val="both"/>
      </w:pPr>
      <w:r w:rsidRPr="004640F4">
        <w:rPr>
          <w:rStyle w:val="aff8"/>
        </w:rPr>
        <w:footnoteRef/>
      </w:r>
      <w:r w:rsidRPr="004640F4">
        <w:t xml:space="preserve"> Статистические</w:t>
      </w:r>
      <w:r w:rsidRPr="003B2ABF">
        <w:t xml:space="preserve"> данные отсутствуют (Мурманскстатом не формируются). В прогнозе социально-экономического развития Мурманской области на среднесрочный период до 2026 года данный показатель отсутствует, значение по области не приводится. Произвести экспертную оценку не представляется возможным.</w:t>
      </w:r>
    </w:p>
  </w:footnote>
  <w:footnote w:id="6">
    <w:p w14:paraId="38B94200" w14:textId="77777777" w:rsidR="00603542" w:rsidRDefault="00603542">
      <w:pPr>
        <w:pStyle w:val="aff0"/>
      </w:pPr>
      <w:r w:rsidRPr="003B2ABF">
        <w:rPr>
          <w:rStyle w:val="aff8"/>
        </w:rPr>
        <w:footnoteRef/>
      </w:r>
      <w:r w:rsidRPr="003B2ABF">
        <w:t xml:space="preserve"> </w:t>
      </w:r>
      <w:r w:rsidRPr="003B2ABF">
        <w:rPr>
          <w:bCs/>
        </w:rPr>
        <w:t>Без субъектов малого предпринимательства</w:t>
      </w:r>
    </w:p>
  </w:footnote>
  <w:footnote w:id="7">
    <w:p w14:paraId="3625C42E" w14:textId="77777777" w:rsidR="00603542" w:rsidRDefault="00603542">
      <w:pPr>
        <w:pStyle w:val="aff0"/>
        <w:ind w:right="-598"/>
        <w:jc w:val="both"/>
      </w:pPr>
      <w:r>
        <w:rPr>
          <w:rStyle w:val="aff8"/>
        </w:rPr>
        <w:footnoteRef/>
      </w:r>
      <w:r>
        <w:t xml:space="preserve"> Статистические данные отсутствуют (Мурманскстатом не формируются). В прогнозе социально-экономического развития Мурманской области на среднесрочный период до 2026 года данный показатель отсутствует, значение по области не приводится. Произвести экспертную оценку не представляется возможным.</w:t>
      </w:r>
    </w:p>
  </w:footnote>
  <w:footnote w:id="8">
    <w:p w14:paraId="61E3EBCE" w14:textId="77777777" w:rsidR="00603542" w:rsidRDefault="00603542">
      <w:pPr>
        <w:pStyle w:val="aff0"/>
        <w:jc w:val="both"/>
      </w:pPr>
      <w:r>
        <w:rPr>
          <w:rStyle w:val="aff8"/>
        </w:rPr>
        <w:footnoteRef/>
      </w:r>
      <w:r>
        <w:t xml:space="preserve"> </w:t>
      </w:r>
      <w:r>
        <w:rPr>
          <w:szCs w:val="28"/>
          <w:shd w:val="clear" w:color="auto" w:fill="FFFFFF"/>
        </w:rPr>
        <w:t>В августе 2020 года вступил в силу Федеральный закон от 13.07.2020 № 193-ФЗ «О государственной поддержке предпринимательской деятельности в Арктической зоне РФ».</w:t>
      </w:r>
    </w:p>
  </w:footnote>
  <w:footnote w:id="9">
    <w:p w14:paraId="7FDA2888" w14:textId="77777777" w:rsidR="00DE7527" w:rsidRDefault="00DE7527" w:rsidP="00DE7527">
      <w:pPr>
        <w:pStyle w:val="aff0"/>
        <w:jc w:val="both"/>
      </w:pPr>
      <w:r>
        <w:rPr>
          <w:rStyle w:val="aff8"/>
        </w:rPr>
        <w:footnoteRef/>
      </w:r>
      <w:r>
        <w:t xml:space="preserve"> По данным Единого реестра субъектов малого и среднего предпринимательства Федеральной налоговой службы РФ.</w:t>
      </w:r>
    </w:p>
  </w:footnote>
  <w:footnote w:id="10">
    <w:p w14:paraId="6F51DC6B" w14:textId="77777777" w:rsidR="00603542" w:rsidRDefault="00603542">
      <w:pPr>
        <w:pStyle w:val="aff0"/>
      </w:pPr>
      <w:r>
        <w:rPr>
          <w:rStyle w:val="aff8"/>
        </w:rPr>
        <w:footnoteRef/>
      </w:r>
      <w:r>
        <w:t xml:space="preserve"> Отчетные данные за январь-май соответствующего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810084"/>
      <w:docPartObj>
        <w:docPartGallery w:val="Page Numbers (Top of Page)"/>
        <w:docPartUnique/>
      </w:docPartObj>
    </w:sdtPr>
    <w:sdtEndPr/>
    <w:sdtContent>
      <w:p w14:paraId="2CC460E5" w14:textId="77777777" w:rsidR="00F7757C" w:rsidRDefault="00F7757C">
        <w:pPr>
          <w:pStyle w:val="afa"/>
          <w:jc w:val="center"/>
        </w:pPr>
        <w:r>
          <w:rPr>
            <w:lang w:val="en-US"/>
          </w:rPr>
          <w:t>2</w:t>
        </w:r>
      </w:p>
    </w:sdtContent>
  </w:sdt>
  <w:p w14:paraId="04C5FAC6" w14:textId="77777777" w:rsidR="00F7757C" w:rsidRDefault="00F7757C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5BE2" w14:textId="77777777" w:rsidR="00F7757C" w:rsidRPr="00171F2A" w:rsidRDefault="00F7757C" w:rsidP="0018720B">
    <w:pPr>
      <w:pStyle w:val="afa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895662"/>
      <w:docPartObj>
        <w:docPartGallery w:val="Page Numbers (Top of Page)"/>
        <w:docPartUnique/>
      </w:docPartObj>
    </w:sdtPr>
    <w:sdtEndPr/>
    <w:sdtContent>
      <w:p w14:paraId="1F160C7A" w14:textId="1832CFF0" w:rsidR="00603542" w:rsidRDefault="00603542" w:rsidP="00EF000D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E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E87"/>
    <w:multiLevelType w:val="singleLevel"/>
    <w:tmpl w:val="243C8F1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FEC1445"/>
    <w:multiLevelType w:val="hybridMultilevel"/>
    <w:tmpl w:val="95F8B78C"/>
    <w:lvl w:ilvl="0" w:tplc="F8880708">
      <w:start w:val="1"/>
      <w:numFmt w:val="decimal"/>
      <w:lvlText w:val="%1."/>
      <w:lvlJc w:val="left"/>
      <w:pPr>
        <w:ind w:left="1260" w:hanging="360"/>
      </w:pPr>
    </w:lvl>
    <w:lvl w:ilvl="1" w:tplc="3086EEA8" w:tentative="1">
      <w:start w:val="1"/>
      <w:numFmt w:val="lowerLetter"/>
      <w:lvlText w:val="%2."/>
      <w:lvlJc w:val="left"/>
      <w:pPr>
        <w:ind w:left="1980" w:hanging="360"/>
      </w:pPr>
    </w:lvl>
    <w:lvl w:ilvl="2" w:tplc="304A036E" w:tentative="1">
      <w:start w:val="1"/>
      <w:numFmt w:val="lowerRoman"/>
      <w:lvlText w:val="%3."/>
      <w:lvlJc w:val="right"/>
      <w:pPr>
        <w:ind w:left="2700" w:hanging="180"/>
      </w:pPr>
    </w:lvl>
    <w:lvl w:ilvl="3" w:tplc="0854D286" w:tentative="1">
      <w:start w:val="1"/>
      <w:numFmt w:val="decimal"/>
      <w:lvlText w:val="%4."/>
      <w:lvlJc w:val="left"/>
      <w:pPr>
        <w:ind w:left="3420" w:hanging="360"/>
      </w:pPr>
    </w:lvl>
    <w:lvl w:ilvl="4" w:tplc="DE0AB760" w:tentative="1">
      <w:start w:val="1"/>
      <w:numFmt w:val="lowerLetter"/>
      <w:lvlText w:val="%5."/>
      <w:lvlJc w:val="left"/>
      <w:pPr>
        <w:ind w:left="4140" w:hanging="360"/>
      </w:pPr>
    </w:lvl>
    <w:lvl w:ilvl="5" w:tplc="63481FDE" w:tentative="1">
      <w:start w:val="1"/>
      <w:numFmt w:val="lowerRoman"/>
      <w:lvlText w:val="%6."/>
      <w:lvlJc w:val="right"/>
      <w:pPr>
        <w:ind w:left="4860" w:hanging="180"/>
      </w:pPr>
    </w:lvl>
    <w:lvl w:ilvl="6" w:tplc="ED60FA4C" w:tentative="1">
      <w:start w:val="1"/>
      <w:numFmt w:val="decimal"/>
      <w:lvlText w:val="%7."/>
      <w:lvlJc w:val="left"/>
      <w:pPr>
        <w:ind w:left="5580" w:hanging="360"/>
      </w:pPr>
    </w:lvl>
    <w:lvl w:ilvl="7" w:tplc="E4089C52" w:tentative="1">
      <w:start w:val="1"/>
      <w:numFmt w:val="lowerLetter"/>
      <w:lvlText w:val="%8."/>
      <w:lvlJc w:val="left"/>
      <w:pPr>
        <w:ind w:left="6300" w:hanging="360"/>
      </w:pPr>
    </w:lvl>
    <w:lvl w:ilvl="8" w:tplc="9872F8C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2BC758B"/>
    <w:multiLevelType w:val="hybridMultilevel"/>
    <w:tmpl w:val="726C30D6"/>
    <w:lvl w:ilvl="0" w:tplc="0AB65D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99A1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8C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AD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09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2C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4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69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4B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F2D"/>
    <w:multiLevelType w:val="hybridMultilevel"/>
    <w:tmpl w:val="8B7472E2"/>
    <w:lvl w:ilvl="0" w:tplc="B55C2F88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BAE6A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08B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E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CF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F69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CC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8A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B4E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1303E"/>
    <w:multiLevelType w:val="hybridMultilevel"/>
    <w:tmpl w:val="F376B884"/>
    <w:lvl w:ilvl="0" w:tplc="23CE0248">
      <w:start w:val="20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D01C7C7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6B0527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9BE87C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01A390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E3845D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B6CEE6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E847F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78EC74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19E39CD"/>
    <w:multiLevelType w:val="hybridMultilevel"/>
    <w:tmpl w:val="4EEE653A"/>
    <w:lvl w:ilvl="0" w:tplc="EAF445D4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5AF273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8B30117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981F8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68A571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85127B6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B66E1A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C5853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B4050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455536A"/>
    <w:multiLevelType w:val="hybridMultilevel"/>
    <w:tmpl w:val="89D097B6"/>
    <w:lvl w:ilvl="0" w:tplc="8F08A546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4228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40A19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AA9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03C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B37E86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6F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81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AACCB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45E71"/>
    <w:multiLevelType w:val="hybridMultilevel"/>
    <w:tmpl w:val="B106C268"/>
    <w:lvl w:ilvl="0" w:tplc="974EF180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7E40D6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2E2AD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3815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258DD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28ADA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0688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DE5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7CE70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1F1A6E"/>
    <w:multiLevelType w:val="hybridMultilevel"/>
    <w:tmpl w:val="336C2E72"/>
    <w:lvl w:ilvl="0" w:tplc="4DE6D84C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935A479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CE6A5C7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AFFE12A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0EA259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F42B23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19507F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6B2FDC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4F2796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53B63205"/>
    <w:multiLevelType w:val="hybridMultilevel"/>
    <w:tmpl w:val="61C64AA4"/>
    <w:lvl w:ilvl="0" w:tplc="0CC4381C">
      <w:start w:val="20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61069B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0D80B2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E42730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7FC04D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2DE159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A3A428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E72432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C04633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784E3D"/>
    <w:multiLevelType w:val="hybridMultilevel"/>
    <w:tmpl w:val="A086A514"/>
    <w:lvl w:ilvl="0" w:tplc="642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03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A0D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23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62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5CB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82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2B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5EC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E181C"/>
    <w:multiLevelType w:val="hybridMultilevel"/>
    <w:tmpl w:val="418AD576"/>
    <w:lvl w:ilvl="0" w:tplc="A5CAD61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1EECC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E4E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22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65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6CF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8F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0B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624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97A23"/>
    <w:multiLevelType w:val="hybridMultilevel"/>
    <w:tmpl w:val="A13AA97A"/>
    <w:lvl w:ilvl="0" w:tplc="4C2ED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65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EE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8E9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44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88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F64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87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CC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355B09"/>
    <w:multiLevelType w:val="hybridMultilevel"/>
    <w:tmpl w:val="4A2CD676"/>
    <w:lvl w:ilvl="0" w:tplc="028E844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46424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3C3F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0C884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DC19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5E778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168FE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AC6DC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18D7A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48302B"/>
    <w:multiLevelType w:val="hybridMultilevel"/>
    <w:tmpl w:val="2AD8122A"/>
    <w:lvl w:ilvl="0" w:tplc="3104F2B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AC6C2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1C1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F8C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C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6A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D0D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3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00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B0F74"/>
    <w:multiLevelType w:val="hybridMultilevel"/>
    <w:tmpl w:val="EBF01AFE"/>
    <w:lvl w:ilvl="0" w:tplc="EAAA0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8B484" w:tentative="1">
      <w:start w:val="1"/>
      <w:numFmt w:val="lowerLetter"/>
      <w:lvlText w:val="%2."/>
      <w:lvlJc w:val="left"/>
      <w:pPr>
        <w:ind w:left="1440" w:hanging="360"/>
      </w:pPr>
    </w:lvl>
    <w:lvl w:ilvl="2" w:tplc="E410E654" w:tentative="1">
      <w:start w:val="1"/>
      <w:numFmt w:val="lowerRoman"/>
      <w:lvlText w:val="%3."/>
      <w:lvlJc w:val="right"/>
      <w:pPr>
        <w:ind w:left="2160" w:hanging="180"/>
      </w:pPr>
    </w:lvl>
    <w:lvl w:ilvl="3" w:tplc="AA16B098" w:tentative="1">
      <w:start w:val="1"/>
      <w:numFmt w:val="decimal"/>
      <w:lvlText w:val="%4."/>
      <w:lvlJc w:val="left"/>
      <w:pPr>
        <w:ind w:left="2880" w:hanging="360"/>
      </w:pPr>
    </w:lvl>
    <w:lvl w:ilvl="4" w:tplc="54BAF2F0" w:tentative="1">
      <w:start w:val="1"/>
      <w:numFmt w:val="lowerLetter"/>
      <w:lvlText w:val="%5."/>
      <w:lvlJc w:val="left"/>
      <w:pPr>
        <w:ind w:left="3600" w:hanging="360"/>
      </w:pPr>
    </w:lvl>
    <w:lvl w:ilvl="5" w:tplc="86F61806" w:tentative="1">
      <w:start w:val="1"/>
      <w:numFmt w:val="lowerRoman"/>
      <w:lvlText w:val="%6."/>
      <w:lvlJc w:val="right"/>
      <w:pPr>
        <w:ind w:left="4320" w:hanging="180"/>
      </w:pPr>
    </w:lvl>
    <w:lvl w:ilvl="6" w:tplc="E0D6F6B8" w:tentative="1">
      <w:start w:val="1"/>
      <w:numFmt w:val="decimal"/>
      <w:lvlText w:val="%7."/>
      <w:lvlJc w:val="left"/>
      <w:pPr>
        <w:ind w:left="5040" w:hanging="360"/>
      </w:pPr>
    </w:lvl>
    <w:lvl w:ilvl="7" w:tplc="B02E87A4" w:tentative="1">
      <w:start w:val="1"/>
      <w:numFmt w:val="lowerLetter"/>
      <w:lvlText w:val="%8."/>
      <w:lvlJc w:val="left"/>
      <w:pPr>
        <w:ind w:left="5760" w:hanging="360"/>
      </w:pPr>
    </w:lvl>
    <w:lvl w:ilvl="8" w:tplc="3260D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0660A"/>
    <w:multiLevelType w:val="hybridMultilevel"/>
    <w:tmpl w:val="986E2CC0"/>
    <w:lvl w:ilvl="0" w:tplc="4170E77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1D802760" w:tentative="1">
      <w:start w:val="1"/>
      <w:numFmt w:val="lowerLetter"/>
      <w:lvlText w:val="%2."/>
      <w:lvlJc w:val="left"/>
      <w:pPr>
        <w:ind w:left="1789" w:hanging="360"/>
      </w:pPr>
    </w:lvl>
    <w:lvl w:ilvl="2" w:tplc="ED160A8A" w:tentative="1">
      <w:start w:val="1"/>
      <w:numFmt w:val="lowerRoman"/>
      <w:lvlText w:val="%3."/>
      <w:lvlJc w:val="right"/>
      <w:pPr>
        <w:ind w:left="2509" w:hanging="180"/>
      </w:pPr>
    </w:lvl>
    <w:lvl w:ilvl="3" w:tplc="8990FFCC" w:tentative="1">
      <w:start w:val="1"/>
      <w:numFmt w:val="decimal"/>
      <w:lvlText w:val="%4."/>
      <w:lvlJc w:val="left"/>
      <w:pPr>
        <w:ind w:left="3229" w:hanging="360"/>
      </w:pPr>
    </w:lvl>
    <w:lvl w:ilvl="4" w:tplc="E2EE88A4" w:tentative="1">
      <w:start w:val="1"/>
      <w:numFmt w:val="lowerLetter"/>
      <w:lvlText w:val="%5."/>
      <w:lvlJc w:val="left"/>
      <w:pPr>
        <w:ind w:left="3949" w:hanging="360"/>
      </w:pPr>
    </w:lvl>
    <w:lvl w:ilvl="5" w:tplc="6C580912" w:tentative="1">
      <w:start w:val="1"/>
      <w:numFmt w:val="lowerRoman"/>
      <w:lvlText w:val="%6."/>
      <w:lvlJc w:val="right"/>
      <w:pPr>
        <w:ind w:left="4669" w:hanging="180"/>
      </w:pPr>
    </w:lvl>
    <w:lvl w:ilvl="6" w:tplc="446C4F46" w:tentative="1">
      <w:start w:val="1"/>
      <w:numFmt w:val="decimal"/>
      <w:lvlText w:val="%7."/>
      <w:lvlJc w:val="left"/>
      <w:pPr>
        <w:ind w:left="5389" w:hanging="360"/>
      </w:pPr>
    </w:lvl>
    <w:lvl w:ilvl="7" w:tplc="982C5A6E" w:tentative="1">
      <w:start w:val="1"/>
      <w:numFmt w:val="lowerLetter"/>
      <w:lvlText w:val="%8."/>
      <w:lvlJc w:val="left"/>
      <w:pPr>
        <w:ind w:left="6109" w:hanging="360"/>
      </w:pPr>
    </w:lvl>
    <w:lvl w:ilvl="8" w:tplc="9CEC953E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3171528">
    <w:abstractNumId w:val="16"/>
  </w:num>
  <w:num w:numId="2" w16cid:durableId="1126586226">
    <w:abstractNumId w:val="15"/>
  </w:num>
  <w:num w:numId="3" w16cid:durableId="866018726">
    <w:abstractNumId w:val="6"/>
  </w:num>
  <w:num w:numId="4" w16cid:durableId="1414861064">
    <w:abstractNumId w:val="0"/>
  </w:num>
  <w:num w:numId="5" w16cid:durableId="18316425">
    <w:abstractNumId w:val="10"/>
  </w:num>
  <w:num w:numId="6" w16cid:durableId="906380790">
    <w:abstractNumId w:val="12"/>
  </w:num>
  <w:num w:numId="7" w16cid:durableId="1207908300">
    <w:abstractNumId w:val="14"/>
  </w:num>
  <w:num w:numId="8" w16cid:durableId="1534877514">
    <w:abstractNumId w:val="3"/>
  </w:num>
  <w:num w:numId="9" w16cid:durableId="1600675789">
    <w:abstractNumId w:val="11"/>
  </w:num>
  <w:num w:numId="10" w16cid:durableId="2109933597">
    <w:abstractNumId w:val="7"/>
  </w:num>
  <w:num w:numId="11" w16cid:durableId="1039352335">
    <w:abstractNumId w:val="1"/>
  </w:num>
  <w:num w:numId="12" w16cid:durableId="1138840409">
    <w:abstractNumId w:val="9"/>
  </w:num>
  <w:num w:numId="13" w16cid:durableId="1609777510">
    <w:abstractNumId w:val="4"/>
  </w:num>
  <w:num w:numId="14" w16cid:durableId="1925845155">
    <w:abstractNumId w:val="2"/>
  </w:num>
  <w:num w:numId="15" w16cid:durableId="1528325384">
    <w:abstractNumId w:val="13"/>
  </w:num>
  <w:num w:numId="16" w16cid:durableId="1142388839">
    <w:abstractNumId w:val="8"/>
  </w:num>
  <w:num w:numId="17" w16cid:durableId="1607804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BDC"/>
    <w:rsid w:val="00013B56"/>
    <w:rsid w:val="000223C2"/>
    <w:rsid w:val="0008049C"/>
    <w:rsid w:val="000818F2"/>
    <w:rsid w:val="00085B78"/>
    <w:rsid w:val="0008762D"/>
    <w:rsid w:val="000C5E4C"/>
    <w:rsid w:val="00104673"/>
    <w:rsid w:val="00142A07"/>
    <w:rsid w:val="0016161F"/>
    <w:rsid w:val="00165571"/>
    <w:rsid w:val="001B718C"/>
    <w:rsid w:val="001D6968"/>
    <w:rsid w:val="001F7E3E"/>
    <w:rsid w:val="0025404C"/>
    <w:rsid w:val="002B4361"/>
    <w:rsid w:val="002D0AB0"/>
    <w:rsid w:val="002D67D9"/>
    <w:rsid w:val="003202D6"/>
    <w:rsid w:val="00320C2C"/>
    <w:rsid w:val="00361249"/>
    <w:rsid w:val="003768F2"/>
    <w:rsid w:val="003821FC"/>
    <w:rsid w:val="00385CDC"/>
    <w:rsid w:val="003A3608"/>
    <w:rsid w:val="003B2ABF"/>
    <w:rsid w:val="00421ABB"/>
    <w:rsid w:val="004311A6"/>
    <w:rsid w:val="0044728D"/>
    <w:rsid w:val="0045472E"/>
    <w:rsid w:val="004640F4"/>
    <w:rsid w:val="0048343E"/>
    <w:rsid w:val="00483993"/>
    <w:rsid w:val="004B0954"/>
    <w:rsid w:val="004D0FC9"/>
    <w:rsid w:val="004D3051"/>
    <w:rsid w:val="005457EC"/>
    <w:rsid w:val="00546D7B"/>
    <w:rsid w:val="00573601"/>
    <w:rsid w:val="00603542"/>
    <w:rsid w:val="00605ADC"/>
    <w:rsid w:val="00607F09"/>
    <w:rsid w:val="00624A04"/>
    <w:rsid w:val="006418EB"/>
    <w:rsid w:val="00670492"/>
    <w:rsid w:val="00686A08"/>
    <w:rsid w:val="006D16A3"/>
    <w:rsid w:val="00723F80"/>
    <w:rsid w:val="00736CF5"/>
    <w:rsid w:val="00773912"/>
    <w:rsid w:val="00801467"/>
    <w:rsid w:val="00812A97"/>
    <w:rsid w:val="00822BDC"/>
    <w:rsid w:val="00824400"/>
    <w:rsid w:val="00857931"/>
    <w:rsid w:val="008D2F98"/>
    <w:rsid w:val="008D3ED5"/>
    <w:rsid w:val="008F2E77"/>
    <w:rsid w:val="008F6D8A"/>
    <w:rsid w:val="009164E9"/>
    <w:rsid w:val="00943D7D"/>
    <w:rsid w:val="00962ADA"/>
    <w:rsid w:val="00981833"/>
    <w:rsid w:val="00986D41"/>
    <w:rsid w:val="009C3419"/>
    <w:rsid w:val="00A11A24"/>
    <w:rsid w:val="00A14F5C"/>
    <w:rsid w:val="00A42A83"/>
    <w:rsid w:val="00A61C4E"/>
    <w:rsid w:val="00A6760D"/>
    <w:rsid w:val="00A81328"/>
    <w:rsid w:val="00A87FBB"/>
    <w:rsid w:val="00A91583"/>
    <w:rsid w:val="00AA51DC"/>
    <w:rsid w:val="00AD3963"/>
    <w:rsid w:val="00AD437E"/>
    <w:rsid w:val="00AE152B"/>
    <w:rsid w:val="00B0234A"/>
    <w:rsid w:val="00B23459"/>
    <w:rsid w:val="00C173A2"/>
    <w:rsid w:val="00C211EC"/>
    <w:rsid w:val="00C636C3"/>
    <w:rsid w:val="00C70798"/>
    <w:rsid w:val="00CA087E"/>
    <w:rsid w:val="00CE413C"/>
    <w:rsid w:val="00CF2532"/>
    <w:rsid w:val="00D2018B"/>
    <w:rsid w:val="00D378EF"/>
    <w:rsid w:val="00D452CD"/>
    <w:rsid w:val="00D50D0E"/>
    <w:rsid w:val="00D55C84"/>
    <w:rsid w:val="00D6192A"/>
    <w:rsid w:val="00D64F56"/>
    <w:rsid w:val="00D72586"/>
    <w:rsid w:val="00DB2501"/>
    <w:rsid w:val="00DC1C03"/>
    <w:rsid w:val="00DE7527"/>
    <w:rsid w:val="00DF1B2C"/>
    <w:rsid w:val="00DF7821"/>
    <w:rsid w:val="00E06432"/>
    <w:rsid w:val="00E27CB3"/>
    <w:rsid w:val="00E64A80"/>
    <w:rsid w:val="00EE3067"/>
    <w:rsid w:val="00EF000D"/>
    <w:rsid w:val="00F07BAC"/>
    <w:rsid w:val="00F119E6"/>
    <w:rsid w:val="00F12475"/>
    <w:rsid w:val="00F24452"/>
    <w:rsid w:val="00F42EB6"/>
    <w:rsid w:val="00F51431"/>
    <w:rsid w:val="00F7325A"/>
    <w:rsid w:val="00F7757C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ED1BA"/>
  <w15:docId w15:val="{55EC9EB8-C6DF-48ED-ABE2-512E4537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eastAsia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spacing w:after="0" w:line="240" w:lineRule="auto"/>
      <w:jc w:val="both"/>
      <w:outlineLvl w:val="5"/>
    </w:pPr>
    <w:rPr>
      <w:rFonts w:eastAsia="Times New Roman"/>
      <w:b/>
      <w:bCs/>
      <w:sz w:val="22"/>
      <w:szCs w:val="20"/>
      <w:lang w:eastAsia="ru-RU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472C4" w:themeColor="accent1"/>
    </w:rPr>
  </w:style>
  <w:style w:type="character" w:styleId="ab">
    <w:name w:val="Subtle Reference"/>
    <w:uiPriority w:val="31"/>
    <w:qFormat/>
    <w:rPr>
      <w:smallCaps/>
      <w:color w:val="ED7D31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e">
    <w:name w:val="Plain Text"/>
    <w:link w:val="af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">
    <w:name w:val="Текст Знак"/>
    <w:link w:val="a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sz w:val="32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Calibri" w:hAnsi="Times New Roman" w:cs="Times New Roman"/>
      <w:b/>
      <w:sz w:val="26"/>
      <w:szCs w:val="24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Cambria" w:eastAsia="Calibri" w:hAnsi="Cambria" w:cs="Times New Roman"/>
      <w:sz w:val="28"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Emphasis"/>
    <w:uiPriority w:val="20"/>
    <w:qFormat/>
    <w:rPr>
      <w:i/>
      <w:iCs/>
    </w:rPr>
  </w:style>
  <w:style w:type="paragraph" w:styleId="af4">
    <w:name w:val="No Spacing"/>
    <w:link w:val="af5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Pr>
      <w:rFonts w:ascii="Calibri" w:eastAsia="Calibri" w:hAnsi="Calibri" w:cs="Times New Roman"/>
    </w:rPr>
  </w:style>
  <w:style w:type="paragraph" w:styleId="af6">
    <w:name w:val="List Paragraph"/>
    <w:aliases w:val="Абзац списка1,Цветной список - Акцент 11"/>
    <w:basedOn w:val="a"/>
    <w:link w:val="af7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uiPriority w:val="99"/>
    <w:unhideWhenUsed/>
    <w:rPr>
      <w:color w:val="0066CC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"/>
    <w:link w:val="aff3"/>
    <w:uiPriority w:val="99"/>
    <w:unhideWhenUsed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Body Text"/>
    <w:basedOn w:val="a"/>
    <w:link w:val="aff5"/>
    <w:uiPriority w:val="99"/>
    <w:unhideWhenUsed/>
    <w:pPr>
      <w:spacing w:after="120" w:line="24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ff5">
    <w:name w:val="Основной текст Знак"/>
    <w:basedOn w:val="a0"/>
    <w:link w:val="af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Body Text Indent"/>
    <w:basedOn w:val="a"/>
    <w:link w:val="aff7"/>
    <w:uiPriority w:val="99"/>
    <w:unhideWhenUsed/>
    <w:pPr>
      <w:spacing w:after="0" w:line="240" w:lineRule="auto"/>
      <w:ind w:firstLine="600"/>
      <w:jc w:val="both"/>
    </w:pPr>
    <w:rPr>
      <w:rFonts w:eastAsia="Times New Roman"/>
      <w:szCs w:val="20"/>
      <w:lang w:eastAsia="ru-RU"/>
    </w:rPr>
  </w:style>
  <w:style w:type="character" w:customStyle="1" w:styleId="aff7">
    <w:name w:val="Основной текст с отступом Знак"/>
    <w:basedOn w:val="a0"/>
    <w:link w:val="af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Список -"/>
    <w:basedOn w:val="a"/>
    <w:uiPriority w:val="99"/>
    <w:pPr>
      <w:numPr>
        <w:numId w:val="3"/>
      </w:numPr>
      <w:spacing w:after="0" w:line="240" w:lineRule="auto"/>
    </w:pPr>
    <w:rPr>
      <w:rFonts w:eastAsia="Times New Roman"/>
      <w:szCs w:val="20"/>
      <w:lang w:eastAsia="ru-RU"/>
    </w:rPr>
  </w:style>
  <w:style w:type="character" w:styleId="aff8">
    <w:name w:val="footnote reference"/>
    <w:uiPriority w:val="99"/>
    <w:unhideWhenUsed/>
    <w:rPr>
      <w:vertAlign w:val="superscript"/>
    </w:rPr>
  </w:style>
  <w:style w:type="character" w:styleId="aff9">
    <w:name w:val="endnote reference"/>
    <w:uiPriority w:val="99"/>
    <w:unhideWhenUsed/>
    <w:rPr>
      <w:vertAlign w:val="superscript"/>
    </w:rPr>
  </w:style>
  <w:style w:type="character" w:styleId="affa">
    <w:name w:val="page number"/>
    <w:basedOn w:val="a0"/>
    <w:uiPriority w:val="99"/>
  </w:style>
  <w:style w:type="character" w:customStyle="1" w:styleId="af7">
    <w:name w:val="Абзац списка Знак"/>
    <w:aliases w:val="Абзац списка1 Знак,Цветной список - Акцент 11 Знак"/>
    <w:link w:val="af6"/>
    <w:uiPriority w:val="34"/>
    <w:rPr>
      <w:rFonts w:ascii="Times New Roman" w:eastAsia="Calibri" w:hAnsi="Times New Roman" w:cs="Times New Roman"/>
      <w:sz w:val="28"/>
    </w:rPr>
  </w:style>
  <w:style w:type="paragraph" w:styleId="affb">
    <w:name w:val="Normal (Web)"/>
    <w:basedOn w:val="a"/>
    <w:uiPriority w:val="99"/>
    <w:unhideWhenUsed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character" w:styleId="affc">
    <w:name w:val="annotation reference"/>
    <w:uiPriority w:val="99"/>
    <w:rPr>
      <w:sz w:val="16"/>
      <w:szCs w:val="16"/>
    </w:rPr>
  </w:style>
  <w:style w:type="paragraph" w:styleId="affd">
    <w:name w:val="annotation text"/>
    <w:basedOn w:val="a"/>
    <w:link w:val="affe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e">
    <w:name w:val="Текст примечания Знак"/>
    <w:basedOn w:val="a0"/>
    <w:link w:val="af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3">
    <w:name w:val="Нет списка2"/>
    <w:uiPriority w:val="99"/>
    <w:semiHidden/>
    <w:unhideWhenUsed/>
  </w:style>
  <w:style w:type="paragraph" w:styleId="afff">
    <w:name w:val="annotation subject"/>
    <w:basedOn w:val="affd"/>
    <w:next w:val="affd"/>
    <w:link w:val="afff0"/>
    <w:uiPriority w:val="99"/>
    <w:semiHidden/>
    <w:unhideWhenUsed/>
    <w:pPr>
      <w:spacing w:after="160"/>
    </w:pPr>
    <w:rPr>
      <w:rFonts w:eastAsia="Calibri"/>
      <w:b/>
      <w:bCs/>
      <w:lang w:eastAsia="en-US"/>
    </w:rPr>
  </w:style>
  <w:style w:type="character" w:customStyle="1" w:styleId="afff0">
    <w:name w:val="Тема примечания Знак"/>
    <w:basedOn w:val="affe"/>
    <w:link w:val="afff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ff1">
    <w:name w:val="A"/>
    <w:basedOn w:val="a"/>
    <w:uiPriority w:val="99"/>
    <w:pPr>
      <w:spacing w:before="100" w:after="10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AC12200A74534A51B9D05E9891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F819F0-85DF-40C9-9F50-A6F7F859FED3}"/>
      </w:docPartPr>
      <w:docPartBody>
        <w:p w:rsidR="008F25FB" w:rsidRDefault="008F25FB" w:rsidP="008F25FB">
          <w:pPr>
            <w:pStyle w:val="418AC12200A74534A51B9D05E9891086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FB"/>
    <w:rsid w:val="008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25FB"/>
    <w:rPr>
      <w:color w:val="808080"/>
    </w:rPr>
  </w:style>
  <w:style w:type="paragraph" w:customStyle="1" w:styleId="418AC12200A74534A51B9D05E9891086">
    <w:name w:val="418AC12200A74534A51B9D05E9891086"/>
    <w:rsid w:val="008F2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52DA-E732-405A-885E-31C35ED8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53</Pages>
  <Words>16633</Words>
  <Characters>94809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Антоновский Никита Николаевич</dc:creator>
  <cp:lastModifiedBy>Антоновский Никита Николаевич</cp:lastModifiedBy>
  <cp:revision>25</cp:revision>
  <cp:lastPrinted>2023-09-12T14:18:00Z</cp:lastPrinted>
  <dcterms:created xsi:type="dcterms:W3CDTF">2023-09-13T07:40:00Z</dcterms:created>
  <dcterms:modified xsi:type="dcterms:W3CDTF">2023-09-15T07:49:00Z</dcterms:modified>
</cp:coreProperties>
</file>