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DE1" w:rsidRDefault="00C40DE1">
      <w:pPr>
        <w:pStyle w:val="ConsPlusTitle"/>
        <w:jc w:val="center"/>
        <w:outlineLvl w:val="0"/>
      </w:pPr>
      <w:r>
        <w:t>АДМИНИСТРАЦИЯ ГОРОДА МУРМАНСКА</w:t>
      </w:r>
    </w:p>
    <w:p w:rsidR="00C40DE1" w:rsidRDefault="00C40DE1">
      <w:pPr>
        <w:pStyle w:val="ConsPlusTitle"/>
        <w:jc w:val="center"/>
      </w:pPr>
    </w:p>
    <w:p w:rsidR="00C40DE1" w:rsidRDefault="00C40DE1">
      <w:pPr>
        <w:pStyle w:val="ConsPlusTitle"/>
        <w:jc w:val="center"/>
      </w:pPr>
      <w:r>
        <w:t>ПОСТАНОВЛЕНИЕ</w:t>
      </w:r>
    </w:p>
    <w:p w:rsidR="00C40DE1" w:rsidRDefault="00C40DE1">
      <w:pPr>
        <w:pStyle w:val="ConsPlusTitle"/>
        <w:jc w:val="center"/>
      </w:pPr>
      <w:r>
        <w:t>от 15 мая 2015 г. N 1264</w:t>
      </w:r>
    </w:p>
    <w:p w:rsidR="00C40DE1" w:rsidRDefault="00C40DE1">
      <w:pPr>
        <w:pStyle w:val="ConsPlusTitle"/>
        <w:jc w:val="center"/>
      </w:pPr>
    </w:p>
    <w:p w:rsidR="00C40DE1" w:rsidRDefault="00C40DE1">
      <w:pPr>
        <w:pStyle w:val="ConsPlusTitle"/>
        <w:jc w:val="center"/>
      </w:pPr>
      <w:r>
        <w:t xml:space="preserve">ОБ УТВЕРЖДЕНИИ </w:t>
      </w:r>
      <w:proofErr w:type="gramStart"/>
      <w:r>
        <w:t>ПРАВИЛ УСТАНОВКИ УКАЗАТЕЛЕЙ НАИМЕНОВАНИЙ</w:t>
      </w:r>
      <w:proofErr w:type="gramEnd"/>
    </w:p>
    <w:p w:rsidR="00C40DE1" w:rsidRDefault="00C40DE1">
      <w:pPr>
        <w:pStyle w:val="ConsPlusTitle"/>
        <w:jc w:val="center"/>
      </w:pPr>
      <w:r>
        <w:t>ЭЛЕМЕНТОВ УЛИЧНО-ДОРОЖНОЙ СЕТИ И НОМЕРОВ ОБЪЕКТОВ АДРЕСАЦИИ</w:t>
      </w:r>
    </w:p>
    <w:p w:rsidR="00C40DE1" w:rsidRDefault="00C40DE1">
      <w:pPr>
        <w:pStyle w:val="ConsPlusTitle"/>
        <w:jc w:val="center"/>
      </w:pPr>
      <w:r>
        <w:t>(АДРЕСНЫХ УКАЗАТЕЛЕЙ) НА ТЕРРИТОРИИ ГОРОДА МУРМАНСКА</w:t>
      </w:r>
    </w:p>
    <w:p w:rsidR="00C40DE1" w:rsidRDefault="00C40DE1">
      <w:pPr>
        <w:pStyle w:val="ConsPlusNormal"/>
        <w:spacing w:after="1"/>
      </w:pPr>
    </w:p>
    <w:p w:rsidR="00C448A1" w:rsidRDefault="00C448A1" w:rsidP="00C448A1">
      <w:pPr>
        <w:pStyle w:val="ConsPlusNormal"/>
        <w:spacing w:after="1"/>
        <w:jc w:val="center"/>
      </w:pPr>
      <w:proofErr w:type="gramStart"/>
      <w:r>
        <w:t>(в ред. постановлений администрации города Мурманска</w:t>
      </w:r>
      <w:proofErr w:type="gramEnd"/>
    </w:p>
    <w:p w:rsidR="00C448A1" w:rsidRDefault="00C448A1" w:rsidP="00C448A1">
      <w:pPr>
        <w:pStyle w:val="ConsPlusNormal"/>
        <w:spacing w:after="1"/>
        <w:jc w:val="center"/>
      </w:pPr>
      <w:r>
        <w:t>от 15.08.2016 N 2460, от 16.04.2021 N 1023, от 21.11.2022 N 3632)</w:t>
      </w:r>
    </w:p>
    <w:p w:rsidR="00C40DE1" w:rsidRDefault="00C40DE1">
      <w:pPr>
        <w:pStyle w:val="ConsPlusNormal"/>
        <w:jc w:val="both"/>
      </w:pPr>
    </w:p>
    <w:p w:rsidR="00C448A1" w:rsidRDefault="00C448A1" w:rsidP="00C448A1">
      <w:pPr>
        <w:pStyle w:val="ConsPlusNormal"/>
        <w:ind w:firstLine="539"/>
        <w:jc w:val="both"/>
      </w:pPr>
      <w:proofErr w:type="gramStart"/>
      <w:r>
        <w:t>В соответствии с Правилами присвоения, изменения и аннулирования адресов, утвержденными постановлением Правительства Российской Федерации от 19.11.2014 N 1221, Уставом муниципального образования городской округ город-герой Мурманск, Правилами благоустройства территории муниципального образования город Мурманск, утвержденными решением Совета депутатов города Мурманска от 27.10.2017 N 40-712, постановляю:</w:t>
      </w:r>
      <w:proofErr w:type="gramEnd"/>
    </w:p>
    <w:p w:rsidR="00C448A1" w:rsidRDefault="00C448A1" w:rsidP="00C448A1">
      <w:pPr>
        <w:pStyle w:val="ConsPlusNormal"/>
        <w:spacing w:before="220"/>
        <w:ind w:firstLine="539"/>
        <w:jc w:val="both"/>
      </w:pPr>
      <w:r>
        <w:t xml:space="preserve">1. </w:t>
      </w:r>
      <w:proofErr w:type="gramStart"/>
      <w:r>
        <w:t>Утвердить правила установки указателей наименований элементов улично-дорожной сети и номеров объектов адресации (адресных указателей) на территории города Мурманска согласно приложению к настоящему постановлению.</w:t>
      </w:r>
      <w:proofErr w:type="gramEnd"/>
    </w:p>
    <w:p w:rsidR="00C448A1" w:rsidRDefault="00C448A1" w:rsidP="00C448A1">
      <w:pPr>
        <w:pStyle w:val="ConsPlusNormal"/>
        <w:spacing w:before="220"/>
        <w:ind w:firstLine="539"/>
        <w:jc w:val="both"/>
      </w:pPr>
      <w:r>
        <w:t xml:space="preserve">2. </w:t>
      </w:r>
      <w:proofErr w:type="gramStart"/>
      <w:r>
        <w:t>Отделу информационно-технического обеспечения и защиты информации администрации города Мурманска (Кузьмин А.Н.) разместить настоящее постановление с приложением на официальном сайте администрации города Мурманска в сети Интернет.</w:t>
      </w:r>
      <w:proofErr w:type="gramEnd"/>
    </w:p>
    <w:p w:rsidR="00C448A1" w:rsidRDefault="00C448A1" w:rsidP="00C448A1">
      <w:pPr>
        <w:pStyle w:val="ConsPlusNormal"/>
        <w:spacing w:before="220"/>
        <w:ind w:firstLine="539"/>
        <w:jc w:val="both"/>
      </w:pPr>
      <w:r>
        <w:t>3. Редакции газеты "Вечерний Мурманск" (Штейн Н.Г.) опубликовать настоящее постановление с приложением.</w:t>
      </w:r>
    </w:p>
    <w:p w:rsidR="00C448A1" w:rsidRDefault="00C448A1" w:rsidP="00C448A1">
      <w:pPr>
        <w:pStyle w:val="ConsPlusNormal"/>
        <w:spacing w:before="220"/>
        <w:ind w:firstLine="539"/>
        <w:jc w:val="both"/>
      </w:pPr>
      <w:r>
        <w:t>4. Настоящее постановление вступает в силу со дня официального опубликования.</w:t>
      </w:r>
    </w:p>
    <w:p w:rsidR="00C448A1" w:rsidRDefault="00C448A1" w:rsidP="00C448A1">
      <w:pPr>
        <w:pStyle w:val="ConsPlusNormal"/>
        <w:spacing w:before="220"/>
        <w:ind w:firstLine="539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выполнением настоящего постановления оставляю за собой.</w:t>
      </w:r>
    </w:p>
    <w:p w:rsidR="00C448A1" w:rsidRDefault="00C448A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right"/>
      </w:pPr>
      <w:r>
        <w:t>Глава</w:t>
      </w:r>
    </w:p>
    <w:p w:rsidR="00C40DE1" w:rsidRDefault="00C40DE1">
      <w:pPr>
        <w:pStyle w:val="ConsPlusNormal"/>
        <w:jc w:val="right"/>
      </w:pPr>
      <w:r>
        <w:t>администрации города Мурманска</w:t>
      </w:r>
    </w:p>
    <w:p w:rsidR="00C40DE1" w:rsidRDefault="00C40DE1">
      <w:pPr>
        <w:pStyle w:val="ConsPlusNormal"/>
        <w:jc w:val="right"/>
      </w:pPr>
      <w:r>
        <w:t>А.И.СЫСОЕВ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48A1" w:rsidRDefault="00C448A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right"/>
        <w:outlineLvl w:val="0"/>
      </w:pPr>
      <w:r>
        <w:lastRenderedPageBreak/>
        <w:t>Приложение</w:t>
      </w:r>
    </w:p>
    <w:p w:rsidR="00C40DE1" w:rsidRDefault="00C40DE1">
      <w:pPr>
        <w:pStyle w:val="ConsPlusNormal"/>
        <w:jc w:val="right"/>
      </w:pPr>
      <w:r>
        <w:t>к постановлению</w:t>
      </w:r>
    </w:p>
    <w:p w:rsidR="00C40DE1" w:rsidRDefault="00C40DE1">
      <w:pPr>
        <w:pStyle w:val="ConsPlusNormal"/>
        <w:jc w:val="right"/>
      </w:pPr>
      <w:r>
        <w:t>администрации города Мурманска</w:t>
      </w:r>
    </w:p>
    <w:p w:rsidR="00C40DE1" w:rsidRDefault="00C40DE1">
      <w:pPr>
        <w:pStyle w:val="ConsPlusNormal"/>
        <w:jc w:val="right"/>
      </w:pPr>
      <w:r>
        <w:t>от 15 мая 2015 г. N 1264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Title"/>
        <w:jc w:val="center"/>
      </w:pPr>
      <w:bookmarkStart w:id="0" w:name="P34"/>
      <w:bookmarkEnd w:id="0"/>
      <w:r>
        <w:t>ПРАВИЛА</w:t>
      </w:r>
    </w:p>
    <w:p w:rsidR="00C40DE1" w:rsidRDefault="00C40DE1">
      <w:pPr>
        <w:pStyle w:val="ConsPlusTitle"/>
        <w:jc w:val="center"/>
      </w:pPr>
      <w:r>
        <w:t>УСТАНОВКИ УКАЗАТЕЛЕЙ НАИМЕНОВАНИЙ ЭЛЕМЕНТОВ</w:t>
      </w:r>
    </w:p>
    <w:p w:rsidR="00C40DE1" w:rsidRDefault="00C40DE1">
      <w:pPr>
        <w:pStyle w:val="ConsPlusTitle"/>
        <w:jc w:val="center"/>
      </w:pPr>
      <w:r>
        <w:t>УЛИЧНО-ДОРОЖНОЙ СЕТИ И НОМЕРОВ ОБЪЕКТОВ АДРЕСАЦИИ</w:t>
      </w:r>
    </w:p>
    <w:p w:rsidR="00C40DE1" w:rsidRDefault="00C40DE1">
      <w:pPr>
        <w:pStyle w:val="ConsPlusTitle"/>
        <w:jc w:val="center"/>
      </w:pPr>
      <w:r>
        <w:t>(АДРЕСНЫХ УКАЗАТЕЛЕЙ) НА ТЕРРИТОРИИ ГОРОДА МУРМАНСКА</w:t>
      </w:r>
    </w:p>
    <w:p w:rsidR="00C40DE1" w:rsidRDefault="00C40DE1">
      <w:pPr>
        <w:pStyle w:val="ConsPlusNormal"/>
        <w:jc w:val="both"/>
      </w:pPr>
    </w:p>
    <w:p w:rsidR="00C448A1" w:rsidRDefault="00C448A1" w:rsidP="00C448A1">
      <w:pPr>
        <w:pStyle w:val="ConsPlusNormal"/>
        <w:jc w:val="center"/>
      </w:pPr>
      <w:proofErr w:type="gramStart"/>
      <w:r>
        <w:t>(в ред. постановлений администрации города Мурманска</w:t>
      </w:r>
      <w:proofErr w:type="gramEnd"/>
    </w:p>
    <w:p w:rsidR="00C448A1" w:rsidRDefault="00C448A1" w:rsidP="00C448A1">
      <w:pPr>
        <w:pStyle w:val="ConsPlusNormal"/>
        <w:jc w:val="center"/>
      </w:pPr>
      <w:r>
        <w:t>от 15.08.2016 N 2460, от 16.04.2021 N 1023, от 21.11.2022 N 3632)</w:t>
      </w:r>
    </w:p>
    <w:p w:rsidR="00C448A1" w:rsidRDefault="00C448A1">
      <w:pPr>
        <w:pStyle w:val="ConsPlusNormal"/>
        <w:jc w:val="both"/>
      </w:pPr>
    </w:p>
    <w:p w:rsidR="00C40DE1" w:rsidRDefault="00C40DE1">
      <w:pPr>
        <w:pStyle w:val="ConsPlusTitle"/>
        <w:jc w:val="center"/>
        <w:outlineLvl w:val="1"/>
      </w:pPr>
      <w:r>
        <w:t>1. Общие положения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ind w:firstLine="540"/>
        <w:jc w:val="both"/>
      </w:pPr>
      <w:r>
        <w:t>1.1. Правила установки указателей наименований элементов улично-дорожной сети и номеров объектов адресации (адресных указателей) на территории города Мурманска (далее - Правила) определяют требования к размещению, установке и содержанию, внешнему виду и изготовлению адресных указателей.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1.2. Понятия, используемые в настоящих Правилах, означают следующее:</w:t>
      </w:r>
    </w:p>
    <w:p w:rsidR="00C40DE1" w:rsidRDefault="00C40DE1">
      <w:pPr>
        <w:pStyle w:val="ConsPlusNormal"/>
        <w:spacing w:before="220"/>
        <w:ind w:firstLine="540"/>
        <w:jc w:val="both"/>
      </w:pPr>
      <w:proofErr w:type="gramStart"/>
      <w:r>
        <w:t>- элемент улично-дорожной сети - улица, проспект, переулок, проезд, набережная, площадь, бульвар, тупик, съезд, шоссе, аллея и иное;</w:t>
      </w:r>
      <w:proofErr w:type="gramEnd"/>
    </w:p>
    <w:p w:rsidR="00C40DE1" w:rsidRDefault="00C40DE1">
      <w:pPr>
        <w:pStyle w:val="ConsPlusNormal"/>
        <w:spacing w:before="220"/>
        <w:ind w:firstLine="540"/>
        <w:jc w:val="both"/>
      </w:pPr>
      <w:r>
        <w:t>- объект адресации: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а) здание (строение, за исключением некапитального строения), в том </w:t>
      </w:r>
      <w:proofErr w:type="gramStart"/>
      <w:r>
        <w:t>числе</w:t>
      </w:r>
      <w:proofErr w:type="gramEnd"/>
      <w:r>
        <w:t xml:space="preserve"> строительство которого не завершено;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б) сооружение (за исключением некапитального сооружения и линейного объекта), в том </w:t>
      </w:r>
      <w:proofErr w:type="gramStart"/>
      <w:r>
        <w:t>числе</w:t>
      </w:r>
      <w:proofErr w:type="gramEnd"/>
      <w:r>
        <w:t xml:space="preserve"> строительство которого не завершено;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наименование элемента улично-дорожной сети - имя собственное элемента.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Title"/>
        <w:jc w:val="center"/>
        <w:outlineLvl w:val="1"/>
      </w:pPr>
      <w:r>
        <w:t>2. Требования к размещению, установке</w:t>
      </w:r>
    </w:p>
    <w:p w:rsidR="00C40DE1" w:rsidRDefault="00C40DE1">
      <w:pPr>
        <w:pStyle w:val="ConsPlusTitle"/>
        <w:jc w:val="center"/>
      </w:pPr>
      <w:r>
        <w:t>и содержанию адресных указателей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ind w:firstLine="540"/>
        <w:jc w:val="both"/>
      </w:pPr>
      <w:r>
        <w:t>2.1. Адресные указатели должны быть размещены и установлены согласно следующим требованиям:</w:t>
      </w:r>
    </w:p>
    <w:p w:rsidR="00C40DE1" w:rsidRDefault="00C40DE1">
      <w:pPr>
        <w:pStyle w:val="ConsPlusNormal"/>
        <w:spacing w:before="220"/>
        <w:ind w:firstLine="540"/>
        <w:jc w:val="both"/>
      </w:pPr>
      <w:proofErr w:type="gramStart"/>
      <w:r>
        <w:t>- на главных фасадах объектов адресации, на расстоянии не более 1 м от угла, на высоте от 2,5 до 4 м от уровня земли;</w:t>
      </w:r>
      <w:proofErr w:type="gramEnd"/>
    </w:p>
    <w:p w:rsidR="00C40DE1" w:rsidRDefault="00C40DE1">
      <w:pPr>
        <w:pStyle w:val="ConsPlusNormal"/>
        <w:spacing w:before="220"/>
        <w:ind w:firstLine="540"/>
        <w:jc w:val="both"/>
      </w:pPr>
      <w:r>
        <w:t>- на участке фасада объекта адресации, свободном от выступающих архитектурных деталей;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с соблюдением существующих вертикальных и горизонтальных осей, архитектурным членением фасада объекта адресации;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- с соблюдением </w:t>
      </w:r>
      <w:proofErr w:type="gramStart"/>
      <w:r>
        <w:t>единой горизонтальной</w:t>
      </w:r>
      <w:proofErr w:type="gramEnd"/>
      <w:r>
        <w:t xml:space="preserve"> отметки размещения адресного указателя на фасадах одного объекта адресации и соседних объектов адресации;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- верхняя грань адресного указателя устанавливается в </w:t>
      </w:r>
      <w:proofErr w:type="gramStart"/>
      <w:r>
        <w:t>единой горизонтальной</w:t>
      </w:r>
      <w:proofErr w:type="gramEnd"/>
      <w:r>
        <w:t xml:space="preserve"> оси с верхней гранью окна первого этажа при установке на многоквартирном доме, при отсутствии свободного углового пространства допустима установка адресных указателей над окнами первого этажа;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lastRenderedPageBreak/>
        <w:t>- установка осуществляется с правой стороны главного фасада объекта адресации, на объектах адресации с протяженностью фасада более 100 метров адресный указатель устанавливается как с правой, так и с левой стороны главного фасада объекта;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 фасадах объектов адресации, со стороны дворовых территорий - со стороны внутриквартального проезда транспортных средств;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 глухих ограждениях -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 ограждениях индивидуальных жилых домов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допускается размещение адресных указателей с внутренней подсветкой в виде единого светового модуля.</w:t>
      </w:r>
    </w:p>
    <w:p w:rsidR="00C40DE1" w:rsidRDefault="00C40DE1">
      <w:pPr>
        <w:pStyle w:val="ConsPlusNormal"/>
        <w:spacing w:before="220"/>
        <w:ind w:firstLine="540"/>
        <w:jc w:val="both"/>
      </w:pPr>
      <w:proofErr w:type="gramStart"/>
      <w:r>
        <w:t>В случаях технической невозможности установки адресных указателей согласно требованиям установки, указанным в настоящем пункте, допускаются иные места их установки, которые согласовываются с комитетом по развитию городского хозяйства администрации города Мурманска и комитетом градостроительства и территориального развития администрации города Мурманска.</w:t>
      </w:r>
      <w:proofErr w:type="gramEnd"/>
    </w:p>
    <w:p w:rsidR="00C40DE1" w:rsidRDefault="00C40DE1">
      <w:pPr>
        <w:pStyle w:val="ConsPlusNormal"/>
        <w:spacing w:before="220"/>
        <w:ind w:firstLine="540"/>
        <w:jc w:val="both"/>
      </w:pPr>
      <w:r>
        <w:t>2.2. Не допускается: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размещение рядом с адресными указателями конструкций и объектов, затрудняющих восприятие адресных указателей;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размещение адресных указателей, не соответствующих внешнему виду, установленному настоящими Правилами;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размещение адресных указателей в местах, затрудняющих их восприятие, на элементах декора, карнизах, воротах;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произвольное перемещение адресных указателей с установленного места.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2.3. Адресные указатели приобретаются и устанавливаются: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 объектах адресации, находящихся в оперативном управлении и хозяйственном ведении юридических лиц, - за счет средств данных юридических лиц;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 многоквартирных домах - в зависимости от выбранного способа управления многоквартирным домом: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а) лицом, выполняющим работы по содержанию и ремонту общего имущества в многоквартирном доме при непосредственном способе управления многоквартирным домом;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б) товариществом собственников жилья либо жилищным кооперативом или иным специализированным потребительским кооперативом;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в) управляющей организацией;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 зданиях и сооружениях, принадлежащих юридическим и физическим лицам, - за счет средств указанных лиц.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2.4. Адресные указатели должны содержаться в чистоте и исправном состоянии: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lastRenderedPageBreak/>
        <w:t>- на объектах адресации, находящихся в оперативном управлении и хозяйственном ведении юридических лиц, - за счет средств данных юридических лиц;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 многоквартирных домах - в зависимости от выбранного способа управления многоквартирным домом: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а) лицом, выполняющим работы по содержанию и ремонту общего имущества в многоквартирном доме при непосредственном способе управления многоквартирным домом;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б) товариществом собственников жилья либо жилищным кооперативом или иным специализированным потребительским кооперативом;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в) управляющей организацией;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на зданиях, принадлежащих юридическим и физическим лицам, - за счет средств указанных лиц.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Title"/>
        <w:jc w:val="center"/>
        <w:outlineLvl w:val="1"/>
      </w:pPr>
      <w:r>
        <w:t>3. Внешний вид адресных указателей</w:t>
      </w:r>
    </w:p>
    <w:p w:rsidR="00C40DE1" w:rsidRDefault="00C40DE1">
      <w:pPr>
        <w:pStyle w:val="ConsPlusTitle"/>
        <w:jc w:val="center"/>
      </w:pPr>
      <w:r>
        <w:t>на территории города Мурманска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ind w:firstLine="540"/>
        <w:jc w:val="both"/>
      </w:pPr>
      <w:r>
        <w:t>3.1. Тип адресного указателя N 1 предназначен для размещения на объектах адресации, расположенных в общественно-деловом центре исторической части города Мурманска (кроме сооружений инженерной инфраструктуры). Номер объекта адресации пишется в верхнем полукруге указателя. Нижняя линия написания номера совпадает с линией диаметра полукруга. Поле для написания наименования и вида элемента улично-дорожной сети располагается по центру указателя. Наименование элемента улично-дорожной сети выравнивается по центральной вертикальной оси. Транслитерация наименования и вида элемента улично-дорожной сети располагается над написанием имени собственного указанного элемента.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t>Внешний вид адресного указателя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rPr>
          <w:noProof/>
          <w:position w:val="-174"/>
        </w:rPr>
        <w:drawing>
          <wp:inline distT="0" distB="0" distL="0" distR="0">
            <wp:extent cx="3938905" cy="2355215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t>Габаритные размеры адресного указателя (</w:t>
      </w:r>
      <w:proofErr w:type="gramStart"/>
      <w:r>
        <w:t>мм</w:t>
      </w:r>
      <w:proofErr w:type="gramEnd"/>
      <w:r>
        <w:t>)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rPr>
          <w:noProof/>
          <w:position w:val="-220"/>
        </w:rPr>
        <w:lastRenderedPageBreak/>
        <w:drawing>
          <wp:inline distT="0" distB="0" distL="0" distR="0">
            <wp:extent cx="4341495" cy="2935605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ind w:firstLine="540"/>
        <w:jc w:val="both"/>
      </w:pPr>
      <w:r>
        <w:t>3.2. Тип адресного указателя N 2 предназначен для размещения на объектах адресации, расположенных вне зоны общественно-делового центра исторической части города Мурманска. Номер объекта адресации пишется в нижней части указателя, выравнивается по центральной вертикальной оси. Поле для написания наименования и вида элемента улично-дорожной сети располагается в центральной части верхней половины указателя. Наименование элемента улично-дорожной сети выравнивается по центральной вертикальной оси.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t>Внешний вид адресного указателя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rPr>
          <w:noProof/>
          <w:position w:val="-239"/>
        </w:rPr>
        <w:drawing>
          <wp:inline distT="0" distB="0" distL="0" distR="0">
            <wp:extent cx="3172460" cy="318198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t>Габаритные размеры адресного указателя (</w:t>
      </w:r>
      <w:proofErr w:type="gramStart"/>
      <w:r>
        <w:t>мм</w:t>
      </w:r>
      <w:proofErr w:type="gramEnd"/>
      <w:r>
        <w:t>)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rPr>
          <w:noProof/>
          <w:position w:val="-225"/>
        </w:rPr>
        <w:lastRenderedPageBreak/>
        <w:drawing>
          <wp:inline distT="0" distB="0" distL="0" distR="0">
            <wp:extent cx="3154045" cy="300418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1" w:rsidRDefault="00C40DE1">
      <w:pPr>
        <w:pStyle w:val="ConsPlusNormal"/>
        <w:ind w:firstLine="540"/>
        <w:jc w:val="both"/>
      </w:pPr>
      <w:r>
        <w:t xml:space="preserve">3.3. </w:t>
      </w:r>
      <w:proofErr w:type="gramStart"/>
      <w:r>
        <w:t>Тип адресного указателя N 2 в уменьшенных габаритах предназначен для размещения на индивидуальных жилых домах, сооружениях инженерной инфраструктуры, а также для размещения на объектах адресации, расположенных вне зоны общественно-делового центра исторической части города Мурманска, в случае технической невозможности размещения адресного указателя типа N 2.</w:t>
      </w:r>
      <w:proofErr w:type="gramEnd"/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t>Внешний вид адресного указателя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rPr>
          <w:noProof/>
          <w:position w:val="-230"/>
        </w:rPr>
        <w:drawing>
          <wp:inline distT="0" distB="0" distL="0" distR="0">
            <wp:extent cx="3184525" cy="306768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t>Габаритные размеры адресного указателя (</w:t>
      </w:r>
      <w:proofErr w:type="gramStart"/>
      <w:r>
        <w:t>мм</w:t>
      </w:r>
      <w:proofErr w:type="gramEnd"/>
      <w:r>
        <w:t>)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jc w:val="center"/>
      </w:pPr>
      <w:r>
        <w:rPr>
          <w:noProof/>
          <w:position w:val="-242"/>
        </w:rPr>
        <w:lastRenderedPageBreak/>
        <w:drawing>
          <wp:inline distT="0" distB="0" distL="0" distR="0">
            <wp:extent cx="3163570" cy="322326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Title"/>
        <w:jc w:val="center"/>
        <w:outlineLvl w:val="1"/>
      </w:pPr>
      <w:r>
        <w:t>4. Требования к изготовлению адресных указателей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ind w:firstLine="540"/>
        <w:jc w:val="both"/>
      </w:pPr>
      <w:r>
        <w:t xml:space="preserve">Материал: композитный материал (композитные панели, состоящие из внутреннего слоя полиэтилена и двух алюминиевых листов, </w:t>
      </w:r>
      <w:proofErr w:type="spellStart"/>
      <w:r>
        <w:t>Dibond</w:t>
      </w:r>
      <w:proofErr w:type="spellEnd"/>
      <w:r>
        <w:t xml:space="preserve"> или аналоги) толщина 3 - 5 мм.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Размеры: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- 800 мм x 530 мм - для адресных указателей типа N 1.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- 600 мм x 750 мм - для адресных указателей типа N 2.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- 450 мм x 560 мм - для адресных указателей типа N 2 в уменьшенных габаритах.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Цвет фона: </w:t>
      </w:r>
      <w:proofErr w:type="gramStart"/>
      <w:r>
        <w:t>мягкая</w:t>
      </w:r>
      <w:proofErr w:type="gramEnd"/>
      <w:r>
        <w:t xml:space="preserve"> светоотражающая литая ПВХ-пленка, ORALITE 5600, синего цвета (максимально приближенного к цвету PANTONE 294C).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Цвет букв: мягкая полихлорвиниловая пленка, ORALITE 641, белого цвета (максимально приближенного к цвету PANTONE </w:t>
      </w:r>
      <w:proofErr w:type="spellStart"/>
      <w:r>
        <w:t>Trans</w:t>
      </w:r>
      <w:proofErr w:type="spellEnd"/>
      <w:r>
        <w:t xml:space="preserve"> </w:t>
      </w:r>
      <w:proofErr w:type="spellStart"/>
      <w:r>
        <w:t>White</w:t>
      </w:r>
      <w:proofErr w:type="spellEnd"/>
      <w:r>
        <w:t>).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>Цвет оформления адресного указателя: кант толщиной 10 мм, выполнен из белой виниловой пленки. Углы окантовки выгнуты, радиус 15 мм. Расстояние между краем адресного указателя и гранью окантовки составляет 10 мм.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Шрифт написания: </w:t>
      </w:r>
      <w:proofErr w:type="spellStart"/>
      <w:r>
        <w:t>Calibri</w:t>
      </w:r>
      <w:proofErr w:type="spellEnd"/>
      <w:r>
        <w:t>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Размер шрифта для написания вида элемента улично-дорожной сети составляет 180 </w:t>
      </w:r>
      <w:proofErr w:type="spellStart"/>
      <w:r>
        <w:t>pt</w:t>
      </w:r>
      <w:proofErr w:type="spellEnd"/>
      <w:r>
        <w:t>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Размер шрифта для написания транслитерации имени собственного, транслитерации вида элемента улично-дорожной сети составляет 160 </w:t>
      </w:r>
      <w:proofErr w:type="spellStart"/>
      <w:r>
        <w:t>pt</w:t>
      </w:r>
      <w:proofErr w:type="spellEnd"/>
      <w:r>
        <w:t>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Для написания собственных имен элементов улично-дорожной сети размер шрифта не устанавливается. Размер шрифта формируется исходя из количества символов в имени собственном наименования элемента улично-дорожной сети, размер шрифта может меняться от минимального размера в 150 </w:t>
      </w:r>
      <w:proofErr w:type="spellStart"/>
      <w:r>
        <w:t>pt</w:t>
      </w:r>
      <w:proofErr w:type="spellEnd"/>
      <w:r>
        <w:t xml:space="preserve"> </w:t>
      </w:r>
      <w:proofErr w:type="gramStart"/>
      <w:r>
        <w:t>до</w:t>
      </w:r>
      <w:proofErr w:type="gramEnd"/>
      <w:r>
        <w:t xml:space="preserve"> максимального в 400 </w:t>
      </w:r>
      <w:proofErr w:type="spellStart"/>
      <w:r>
        <w:t>pt</w:t>
      </w:r>
      <w:proofErr w:type="spellEnd"/>
      <w:r>
        <w:t>.</w:t>
      </w:r>
    </w:p>
    <w:p w:rsidR="00C40DE1" w:rsidRDefault="00C40DE1">
      <w:pPr>
        <w:pStyle w:val="ConsPlusNormal"/>
        <w:spacing w:before="220"/>
        <w:ind w:firstLine="540"/>
        <w:jc w:val="both"/>
      </w:pPr>
      <w:r>
        <w:t xml:space="preserve">Для написания номеров имен элементов улично-дорожной сети размер шрифта не </w:t>
      </w:r>
      <w:r>
        <w:lastRenderedPageBreak/>
        <w:t xml:space="preserve">устанавливается. Размер шрифта формируется исходя из количества цифр и символов, размер шрифта может меняться от минимального написания в 600 </w:t>
      </w:r>
      <w:proofErr w:type="spellStart"/>
      <w:r>
        <w:t>pt</w:t>
      </w:r>
      <w:proofErr w:type="spellEnd"/>
      <w:r>
        <w:t xml:space="preserve"> </w:t>
      </w:r>
      <w:proofErr w:type="gramStart"/>
      <w:r>
        <w:t>до</w:t>
      </w:r>
      <w:proofErr w:type="gramEnd"/>
      <w:r>
        <w:t xml:space="preserve"> максимального в 1300 </w:t>
      </w:r>
      <w:proofErr w:type="spellStart"/>
      <w:r>
        <w:t>pt</w:t>
      </w:r>
      <w:proofErr w:type="spellEnd"/>
      <w:r>
        <w:t>.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Title"/>
        <w:jc w:val="center"/>
        <w:outlineLvl w:val="1"/>
      </w:pPr>
      <w:r>
        <w:t>5. Расположение типов адресных указателей</w:t>
      </w:r>
    </w:p>
    <w:p w:rsidR="00C40DE1" w:rsidRDefault="00C40DE1">
      <w:pPr>
        <w:pStyle w:val="ConsPlusTitle"/>
        <w:jc w:val="center"/>
      </w:pPr>
      <w:r>
        <w:t>на территории города Мурманска</w:t>
      </w:r>
    </w:p>
    <w:p w:rsidR="00C40DE1" w:rsidRDefault="00C40DE1">
      <w:pPr>
        <w:pStyle w:val="ConsPlusNormal"/>
        <w:jc w:val="center"/>
      </w:pPr>
    </w:p>
    <w:p w:rsidR="00C448A1" w:rsidRDefault="00C448A1" w:rsidP="00C448A1">
      <w:pPr>
        <w:pStyle w:val="ConsPlusNormal"/>
        <w:jc w:val="center"/>
      </w:pPr>
      <w:proofErr w:type="gramStart"/>
      <w:r>
        <w:t>(в ред. постановления администрации города Мурманска</w:t>
      </w:r>
      <w:proofErr w:type="gramEnd"/>
    </w:p>
    <w:p w:rsidR="00C40DE1" w:rsidRDefault="00C448A1" w:rsidP="00C448A1">
      <w:pPr>
        <w:pStyle w:val="ConsPlusNormal"/>
        <w:jc w:val="center"/>
      </w:pPr>
      <w:r>
        <w:t>от 15.08.2016 N 2460)</w:t>
      </w:r>
    </w:p>
    <w:p w:rsidR="00C448A1" w:rsidRDefault="00C448A1">
      <w:pPr>
        <w:pStyle w:val="ConsPlusNormal"/>
        <w:ind w:firstLine="540"/>
        <w:jc w:val="both"/>
      </w:pPr>
    </w:p>
    <w:p w:rsidR="00C40DE1" w:rsidRDefault="00C40DE1">
      <w:pPr>
        <w:pStyle w:val="ConsPlusNormal"/>
        <w:ind w:firstLine="540"/>
        <w:jc w:val="both"/>
      </w:pPr>
      <w:proofErr w:type="gramStart"/>
      <w:r>
        <w:t xml:space="preserve">На объектах адресации, фасады которых выходят на: проспект Ленина (дома с N 41 по N 102), улицу Воровского, улицу Дзержинского, улицу Пушкинскую, улицу Капитана Егорова, улицу Коминтерна, улицу Профсоюзов, улицу Комсомольскую, улицу Ленинградскую, улицу Академика </w:t>
      </w:r>
      <w:proofErr w:type="spellStart"/>
      <w:r>
        <w:t>Книповича</w:t>
      </w:r>
      <w:proofErr w:type="spellEnd"/>
      <w:r>
        <w:t xml:space="preserve"> от пересечения с проспектом Ленина до пересечения с улицей Шмидта, улицу Шмидта от пересечения с улицей Академика </w:t>
      </w:r>
      <w:proofErr w:type="spellStart"/>
      <w:r>
        <w:t>Книповича</w:t>
      </w:r>
      <w:proofErr w:type="spellEnd"/>
      <w:r>
        <w:t>, через улицу Коминтерна до улицы Челюскинцев</w:t>
      </w:r>
      <w:proofErr w:type="gramEnd"/>
      <w:r>
        <w:t xml:space="preserve">, </w:t>
      </w:r>
      <w:proofErr w:type="gramStart"/>
      <w:r>
        <w:t>улицу Челюскинцев до пересечения с улицей Карла Либкнехта, улицу Карла Либкнехта от пересечения с улицей Челюскинцев до пересечения с проспектом Ленина, улицу Карла Маркса от улицы Челюскинцев до пересечения с улицей Софьи Перовской, улицу Софьи Перовской от пересечения с улицей Карла Маркса до улицы Комсомольской, улицу Самойловой, переулок Пионерский, улицу Октябрьскую от пересечения с проспектом Ленина до пересечения с улицей</w:t>
      </w:r>
      <w:proofErr w:type="gramEnd"/>
      <w:r>
        <w:t xml:space="preserve"> Челюскинцев, улицу Володарского до пересечения с улицей Челюскинцев, проезд Рыбный, проезд Флотский, бульвар Театральный, устанавливаются указатели типа N 1.</w:t>
      </w:r>
    </w:p>
    <w:p w:rsidR="00C40DE1" w:rsidRDefault="00C40DE1">
      <w:pPr>
        <w:pStyle w:val="ConsPlusNormal"/>
        <w:jc w:val="both"/>
      </w:pPr>
    </w:p>
    <w:p w:rsidR="00C40DE1" w:rsidRDefault="00C40DE1">
      <w:pPr>
        <w:pStyle w:val="ConsPlusTitle"/>
        <w:jc w:val="center"/>
        <w:outlineLvl w:val="2"/>
      </w:pPr>
      <w:r>
        <w:t>Таблица транслитерации объектов адресации для установки</w:t>
      </w:r>
    </w:p>
    <w:p w:rsidR="00C40DE1" w:rsidRDefault="00C40DE1">
      <w:pPr>
        <w:pStyle w:val="ConsPlusTitle"/>
        <w:jc w:val="center"/>
      </w:pPr>
      <w:r>
        <w:t>адресных указателей типа N 1</w:t>
      </w:r>
    </w:p>
    <w:p w:rsidR="00C40DE1" w:rsidRDefault="00C40DE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8"/>
        <w:gridCol w:w="2665"/>
      </w:tblGrid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улица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ulitsa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бульвар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bulvar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переулок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pereulok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проезд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proezd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проспект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prospekt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 xml:space="preserve">Академика </w:t>
            </w:r>
            <w:proofErr w:type="spellStart"/>
            <w:r>
              <w:t>Книповича</w:t>
            </w:r>
            <w:proofErr w:type="spell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Akademika</w:t>
            </w:r>
            <w:proofErr w:type="spellEnd"/>
            <w:r>
              <w:t xml:space="preserve"> </w:t>
            </w:r>
            <w:proofErr w:type="spellStart"/>
            <w:r>
              <w:t>Knipovicha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Володарского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Volodarskogo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Воровского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Vorovskogo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Дзержинского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Dzerzhinskogo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Капитана Егорова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Kapitana</w:t>
            </w:r>
            <w:proofErr w:type="spellEnd"/>
            <w:r>
              <w:t xml:space="preserve"> </w:t>
            </w:r>
            <w:proofErr w:type="spellStart"/>
            <w:r>
              <w:t>Egorova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Карла Либкнехта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Karla</w:t>
            </w:r>
            <w:proofErr w:type="spellEnd"/>
            <w:r>
              <w:t xml:space="preserve"> </w:t>
            </w:r>
            <w:proofErr w:type="spellStart"/>
            <w:r>
              <w:t>Libknekhta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Карла Маркса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Karla</w:t>
            </w:r>
            <w:proofErr w:type="spellEnd"/>
            <w:r>
              <w:t xml:space="preserve"> </w:t>
            </w:r>
            <w:proofErr w:type="spellStart"/>
            <w:r>
              <w:t>Marksa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Коминтерна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Kominterna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proofErr w:type="gramStart"/>
            <w:r>
              <w:t>Комсомольская</w:t>
            </w:r>
            <w:proofErr w:type="gram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Komsomolskaya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Ленина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Lenina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proofErr w:type="gramStart"/>
            <w:r>
              <w:t>Ленинградская</w:t>
            </w:r>
            <w:proofErr w:type="gram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Leningradskaya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proofErr w:type="gramStart"/>
            <w:r>
              <w:lastRenderedPageBreak/>
              <w:t>Октябрьская</w:t>
            </w:r>
            <w:proofErr w:type="gram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Oktyabrskaya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proofErr w:type="gramStart"/>
            <w:r>
              <w:t>Пионерский</w:t>
            </w:r>
            <w:proofErr w:type="gram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Pionerskiy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Профсоюзов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Profsoyuzov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proofErr w:type="gramStart"/>
            <w:r>
              <w:t>Пушкинская</w:t>
            </w:r>
            <w:proofErr w:type="gram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Pushkinskaya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proofErr w:type="gramStart"/>
            <w:r>
              <w:t>Рыбный</w:t>
            </w:r>
            <w:proofErr w:type="gram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Rybnyi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Самойловой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Samoylovoy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Софьи Перовской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Sofi</w:t>
            </w:r>
            <w:proofErr w:type="spellEnd"/>
            <w:r>
              <w:t xml:space="preserve"> </w:t>
            </w:r>
            <w:proofErr w:type="spellStart"/>
            <w:r>
              <w:t>Perovskoy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proofErr w:type="gramStart"/>
            <w:r>
              <w:t>Театральный</w:t>
            </w:r>
            <w:proofErr w:type="gram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Teatralniy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proofErr w:type="gramStart"/>
            <w:r>
              <w:t>Флотский</w:t>
            </w:r>
            <w:proofErr w:type="gramEnd"/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Flotskiy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Челюскинцев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Chelyuskintsev</w:t>
            </w:r>
            <w:proofErr w:type="spellEnd"/>
          </w:p>
        </w:tc>
      </w:tr>
      <w:tr w:rsidR="00C40DE1">
        <w:tc>
          <w:tcPr>
            <w:tcW w:w="2778" w:type="dxa"/>
          </w:tcPr>
          <w:p w:rsidR="00C40DE1" w:rsidRDefault="00C40DE1">
            <w:pPr>
              <w:pStyle w:val="ConsPlusNormal"/>
              <w:jc w:val="both"/>
            </w:pPr>
            <w:r>
              <w:t>Шмидта</w:t>
            </w:r>
          </w:p>
        </w:tc>
        <w:tc>
          <w:tcPr>
            <w:tcW w:w="2665" w:type="dxa"/>
          </w:tcPr>
          <w:p w:rsidR="00C40DE1" w:rsidRDefault="00C40DE1">
            <w:pPr>
              <w:pStyle w:val="ConsPlusNormal"/>
              <w:jc w:val="both"/>
            </w:pPr>
            <w:proofErr w:type="spellStart"/>
            <w:r>
              <w:t>Shmidta</w:t>
            </w:r>
            <w:proofErr w:type="spellEnd"/>
          </w:p>
        </w:tc>
      </w:tr>
    </w:tbl>
    <w:p w:rsidR="00C40DE1" w:rsidRDefault="00C40DE1">
      <w:pPr>
        <w:pStyle w:val="ConsPlusNormal"/>
        <w:jc w:val="both"/>
      </w:pPr>
    </w:p>
    <w:p w:rsidR="00C40DE1" w:rsidRDefault="00C40DE1">
      <w:pPr>
        <w:pStyle w:val="ConsPlusNormal"/>
        <w:ind w:firstLine="540"/>
        <w:jc w:val="both"/>
      </w:pPr>
      <w:r>
        <w:t>На других объектах адресации устанавливаются адресные указатели типа N 2 (адресные указатели типа N 2 в уменьшенных габаритах).</w:t>
      </w:r>
      <w:bookmarkStart w:id="1" w:name="_GoBack"/>
      <w:bookmarkEnd w:id="1"/>
    </w:p>
    <w:sectPr w:rsidR="00C40DE1" w:rsidSect="00A86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DE1"/>
    <w:rsid w:val="00B90D36"/>
    <w:rsid w:val="00C40DE1"/>
    <w:rsid w:val="00C4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0DE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C40DE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C40DE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0DE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C40DE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C40DE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1846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Олонкина Наталья Валентиновна</dc:creator>
  <cp:lastModifiedBy>Олонкина Наталья Валентиновна</cp:lastModifiedBy>
  <cp:revision>2</cp:revision>
  <dcterms:created xsi:type="dcterms:W3CDTF">2024-09-09T11:07:00Z</dcterms:created>
  <dcterms:modified xsi:type="dcterms:W3CDTF">2024-09-09T11:13:00Z</dcterms:modified>
</cp:coreProperties>
</file>