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Мурманской области от 02.09.2021 N 624-ПП</w:t>
              <w:br/>
              <w:t xml:space="preserve">(ред. от 05.03.2025)</w:t>
              <w:br/>
              <w:t xml:space="preserve">"Об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на территории Мурманской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12.08.2025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МУРМАНСКОЙ ОБЛАСТИ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 сентября 2021 г. N 624-ПП</w:t>
      </w:r>
    </w:p>
    <w:p>
      <w:pPr>
        <w:pStyle w:val="2"/>
        <w:jc w:val="center"/>
      </w:pPr>
      <w:r>
        <w:rPr>
          <w:sz w:val="20"/>
        </w:rPr>
      </w:r>
    </w:p>
    <w:p>
      <w:pPr>
        <w:pStyle w:val="2"/>
        <w:jc w:val="center"/>
      </w:pPr>
      <w:r>
        <w:rPr>
          <w:sz w:val="20"/>
        </w:rPr>
        <w:t xml:space="preserve">ОБ УТВЕРЖДЕНИИ ПОРЯДКА ИСПОЛЬЗОВАНИЯ ЗЕМЕЛЬ ИЛИ ЗЕМЕЛЬНЫХ</w:t>
      </w:r>
    </w:p>
    <w:p>
      <w:pPr>
        <w:pStyle w:val="2"/>
        <w:jc w:val="center"/>
      </w:pPr>
      <w:r>
        <w:rPr>
          <w:sz w:val="20"/>
        </w:rPr>
        <w:t xml:space="preserve">УЧАСТКОВ, НАХОДЯЩИХСЯ В ГОСУДАРСТВЕННОЙ ИЛИ МУНИЦИПАЛЬНОЙ</w:t>
      </w:r>
    </w:p>
    <w:p>
      <w:pPr>
        <w:pStyle w:val="2"/>
        <w:jc w:val="center"/>
      </w:pPr>
      <w:r>
        <w:rPr>
          <w:sz w:val="20"/>
        </w:rPr>
        <w:t xml:space="preserve">СОБСТВЕННОСТИ, ДЛЯ ВОЗВЕДЕНИЯ ГРАЖДАНАМИ ГАРАЖЕЙ, ЯВЛЯЮЩИХСЯ</w:t>
      </w:r>
    </w:p>
    <w:p>
      <w:pPr>
        <w:pStyle w:val="2"/>
        <w:jc w:val="center"/>
      </w:pPr>
      <w:r>
        <w:rPr>
          <w:sz w:val="20"/>
        </w:rPr>
        <w:t xml:space="preserve">НЕКАПИТАЛЬНЫМИ СООРУЖЕНИЯМИ, ЛИБО ДЛЯ СТОЯНКИ ТЕХНИЧЕСКИХ</w:t>
      </w:r>
    </w:p>
    <w:p>
      <w:pPr>
        <w:pStyle w:val="2"/>
        <w:jc w:val="center"/>
      </w:pPr>
      <w:r>
        <w:rPr>
          <w:sz w:val="20"/>
        </w:rPr>
        <w:t xml:space="preserve">ИЛИ ДРУГИХ СРЕДСТВ ПЕРЕДВИЖЕНИЯ ИНВАЛИДОВ ВБЛИЗИ ИХ МЕСТА</w:t>
      </w:r>
    </w:p>
    <w:p>
      <w:pPr>
        <w:pStyle w:val="2"/>
        <w:jc w:val="center"/>
      </w:pPr>
      <w:r>
        <w:rPr>
          <w:sz w:val="20"/>
        </w:rPr>
        <w:t xml:space="preserve">ЖИТЕЛЬСТВА НА ТЕРРИТОРИИ МУРМАНСКОЙ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Мурманской области</w:t>
            </w:r>
          </w:p>
          <w:p>
            <w:pPr>
              <w:pStyle w:val="0"/>
              <w:jc w:val="center"/>
            </w:pPr>
            <w:r>
              <w:rPr>
                <w:sz w:val="20"/>
                <w:color w:val="392c69"/>
              </w:rPr>
              <w:t xml:space="preserve">от 09.12.2024 </w:t>
            </w:r>
            <w:hyperlink w:history="0" r:id="rId7" w:tooltip="Постановление Правительства Мурманской области от 09.12.2024 N 848-ПП &quot;О внесении изменений в некоторые постановления Правительства Мурманской области&quot; {КонсультантПлюс}">
              <w:r>
                <w:rPr>
                  <w:sz w:val="20"/>
                  <w:color w:val="0000ff"/>
                </w:rPr>
                <w:t xml:space="preserve">N 848-ПП</w:t>
              </w:r>
            </w:hyperlink>
            <w:r>
              <w:rPr>
                <w:sz w:val="20"/>
                <w:color w:val="392c69"/>
              </w:rPr>
              <w:t xml:space="preserve">, от 05.03.2025 </w:t>
            </w:r>
            <w:hyperlink w:history="0" r:id="rId8" w:tooltip="Постановление Правительства Мурманской области от 05.03.2025 N 154-ПП &quot;О внесении изменений в Порядок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на территории Мурманской области&quot; {КонсультантПлюс}">
              <w:r>
                <w:rPr>
                  <w:sz w:val="20"/>
                  <w:color w:val="0000ff"/>
                </w:rPr>
                <w:t xml:space="preserve">N 154-ПП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9" w:tooltip="&quot;Устав Мурманской области&quot; (принят Мурманской областной Думой 26.11.1997) (ред. от 05.12.2024) {КонсультантПлюс}">
        <w:r>
          <w:rPr>
            <w:sz w:val="20"/>
            <w:color w:val="0000ff"/>
          </w:rPr>
          <w:t xml:space="preserve">Уставом</w:t>
        </w:r>
      </w:hyperlink>
      <w:r>
        <w:rPr>
          <w:sz w:val="20"/>
        </w:rPr>
        <w:t xml:space="preserve"> Мурманской области, </w:t>
      </w:r>
      <w:hyperlink w:history="0" r:id="rId10" w:tooltip="Закон Мурманской области от 20.12.2001 N 324-01-ЗМО (ред. от 05.12.2024) &quot;О Правительстве Мурманской области&quot; (принят Мурманской областной Думой 06.12.2001) {КонсультантПлюс}">
        <w:r>
          <w:rPr>
            <w:sz w:val="20"/>
            <w:color w:val="0000ff"/>
          </w:rPr>
          <w:t xml:space="preserve">Законом</w:t>
        </w:r>
      </w:hyperlink>
      <w:r>
        <w:rPr>
          <w:sz w:val="20"/>
        </w:rPr>
        <w:t xml:space="preserve"> Мурманской области от 20.12.2001 N 324-01-ЗМО "О Правительстве Мурманской области", Земельным </w:t>
      </w:r>
      <w:hyperlink w:history="0" r:id="rId11" w:tooltip="&quot;Земельный кодекс Российской Федерации&quot; от 25.10.2001 N 136-ФЗ (ред. от 31.07.2025) (с изм. и доп., вступ. в силу с 11.08.2025) {КонсультантПлюс}">
        <w:r>
          <w:rPr>
            <w:sz w:val="20"/>
            <w:color w:val="0000ff"/>
          </w:rPr>
          <w:t xml:space="preserve">кодексом</w:t>
        </w:r>
      </w:hyperlink>
      <w:r>
        <w:rPr>
          <w:sz w:val="20"/>
        </w:rPr>
        <w:t xml:space="preserve"> Российской Федерации, </w:t>
      </w:r>
      <w:hyperlink w:history="0" r:id="rId12" w:tooltip="Закон Мурманской области от 31.12.2003 N 462-01-ЗМО (ред. от 01.07.2025) &quot;Об основах регулирования земельных отношений в Мурманской области&quot; (принят Мурманской областной Думой 16.12.2003) (вместе с &quot;Порядком бесплатного предоставления земельных участков в собственность отдельным категориям граждан&quot;, &quot;Порядком бесплатного предоставления земельных участков в собственность многодетным семьям&quot;) {КонсультантПлюс}">
        <w:r>
          <w:rPr>
            <w:sz w:val="20"/>
            <w:color w:val="0000ff"/>
          </w:rPr>
          <w:t xml:space="preserve">Законом</w:t>
        </w:r>
      </w:hyperlink>
      <w:r>
        <w:rPr>
          <w:sz w:val="20"/>
        </w:rPr>
        <w:t xml:space="preserve"> Мурманской области от 31.12.2003 N 462-01-ЗМО "Об основах регулирования земельных отношений в Мурманской области", в целях обеспечения эффективного управления земельными ресурсами Правительство Мурманской области постановляет:</w:t>
      </w:r>
    </w:p>
    <w:p>
      <w:pPr>
        <w:pStyle w:val="0"/>
        <w:spacing w:before="200" w:line-rule="auto"/>
        <w:ind w:firstLine="540"/>
        <w:jc w:val="both"/>
      </w:pPr>
      <w:r>
        <w:rPr>
          <w:sz w:val="20"/>
        </w:rPr>
        <w:t xml:space="preserve">1. Утвердить прилагаемый </w:t>
      </w:r>
      <w:hyperlink w:history="0" w:anchor="P33" w:tooltip="ПОРЯДОК">
        <w:r>
          <w:rPr>
            <w:sz w:val="20"/>
            <w:color w:val="0000ff"/>
          </w:rPr>
          <w:t xml:space="preserve">Порядок</w:t>
        </w:r>
      </w:hyperlink>
      <w:r>
        <w:rPr>
          <w:sz w:val="20"/>
        </w:rPr>
        <w:t xml:space="preserve">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на территории Мурманской области.</w:t>
      </w:r>
    </w:p>
    <w:p>
      <w:pPr>
        <w:pStyle w:val="0"/>
        <w:spacing w:before="200" w:line-rule="auto"/>
        <w:ind w:firstLine="540"/>
        <w:jc w:val="both"/>
      </w:pPr>
      <w:r>
        <w:rPr>
          <w:sz w:val="20"/>
        </w:rPr>
        <w:t xml:space="preserve">2. Утвердить прилагаемую форму </w:t>
      </w:r>
      <w:hyperlink w:history="0" w:anchor="P176" w:tooltip="ФОРМА СХЕМЫ">
        <w:r>
          <w:rPr>
            <w:sz w:val="20"/>
            <w:color w:val="0000ff"/>
          </w:rPr>
          <w:t xml:space="preserve">схемы</w:t>
        </w:r>
      </w:hyperlink>
      <w:r>
        <w:rPr>
          <w:sz w:val="20"/>
        </w:rPr>
        <w:t xml:space="preserve"> размещения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 на территории Мурманской области.</w:t>
      </w:r>
    </w:p>
    <w:p>
      <w:pPr>
        <w:pStyle w:val="0"/>
        <w:jc w:val="both"/>
      </w:pPr>
      <w:r>
        <w:rPr>
          <w:sz w:val="20"/>
        </w:rPr>
      </w:r>
    </w:p>
    <w:p>
      <w:pPr>
        <w:pStyle w:val="0"/>
        <w:jc w:val="right"/>
      </w:pPr>
      <w:r>
        <w:rPr>
          <w:sz w:val="20"/>
        </w:rPr>
        <w:t xml:space="preserve">Губернатор</w:t>
      </w:r>
    </w:p>
    <w:p>
      <w:pPr>
        <w:pStyle w:val="0"/>
        <w:jc w:val="right"/>
      </w:pPr>
      <w:r>
        <w:rPr>
          <w:sz w:val="20"/>
        </w:rPr>
        <w:t xml:space="preserve">Мурманской области</w:t>
      </w:r>
    </w:p>
    <w:p>
      <w:pPr>
        <w:pStyle w:val="0"/>
        <w:jc w:val="right"/>
      </w:pPr>
      <w:r>
        <w:rPr>
          <w:sz w:val="20"/>
        </w:rPr>
        <w:t xml:space="preserve">А.В.ЧИБИС</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w:t>
      </w:r>
    </w:p>
    <w:p>
      <w:pPr>
        <w:pStyle w:val="0"/>
        <w:jc w:val="right"/>
      </w:pPr>
      <w:r>
        <w:rPr>
          <w:sz w:val="20"/>
        </w:rPr>
        <w:t xml:space="preserve">Правительства Мурманской области</w:t>
      </w:r>
    </w:p>
    <w:p>
      <w:pPr>
        <w:pStyle w:val="0"/>
        <w:jc w:val="right"/>
      </w:pPr>
      <w:r>
        <w:rPr>
          <w:sz w:val="20"/>
        </w:rPr>
        <w:t xml:space="preserve">от 2 сентября 2021 г. N 624-ПП</w:t>
      </w:r>
    </w:p>
    <w:p>
      <w:pPr>
        <w:pStyle w:val="0"/>
        <w:jc w:val="both"/>
      </w:pPr>
      <w:r>
        <w:rPr>
          <w:sz w:val="20"/>
        </w:rPr>
      </w:r>
    </w:p>
    <w:bookmarkStart w:id="33" w:name="P33"/>
    <w:bookmarkEnd w:id="33"/>
    <w:p>
      <w:pPr>
        <w:pStyle w:val="2"/>
        <w:jc w:val="center"/>
      </w:pPr>
      <w:r>
        <w:rPr>
          <w:sz w:val="20"/>
        </w:rPr>
        <w:t xml:space="preserve">ПОРЯДОК</w:t>
      </w:r>
    </w:p>
    <w:p>
      <w:pPr>
        <w:pStyle w:val="2"/>
        <w:jc w:val="center"/>
      </w:pPr>
      <w:r>
        <w:rPr>
          <w:sz w:val="20"/>
        </w:rPr>
        <w:t xml:space="preserve">ИСПОЛЬЗОВАНИЯ ЗЕМЕЛЬ ИЛИ ЗЕМЕЛЬНЫХ УЧАСТКОВ, НАХОДЯЩИХСЯ</w:t>
      </w:r>
    </w:p>
    <w:p>
      <w:pPr>
        <w:pStyle w:val="2"/>
        <w:jc w:val="center"/>
      </w:pPr>
      <w:r>
        <w:rPr>
          <w:sz w:val="20"/>
        </w:rPr>
        <w:t xml:space="preserve">В ГОСУДАРСТВЕННОЙ ИЛИ МУНИЦИПАЛЬНОЙ СОБСТВЕННОСТИ,</w:t>
      </w:r>
    </w:p>
    <w:p>
      <w:pPr>
        <w:pStyle w:val="2"/>
        <w:jc w:val="center"/>
      </w:pPr>
      <w:r>
        <w:rPr>
          <w:sz w:val="20"/>
        </w:rPr>
        <w:t xml:space="preserve">ДЛЯ ВОЗВЕДЕНИЯ ГРАЖДАНАМИ ГАРАЖЕЙ, ЯВЛЯЮЩИХСЯ НЕКАПИТАЛЬНЫМИ</w:t>
      </w:r>
    </w:p>
    <w:p>
      <w:pPr>
        <w:pStyle w:val="2"/>
        <w:jc w:val="center"/>
      </w:pPr>
      <w:r>
        <w:rPr>
          <w:sz w:val="20"/>
        </w:rPr>
        <w:t xml:space="preserve">СООРУЖЕНИЯМИ, ЛИБО ДЛЯ СТОЯНКИ ТЕХНИЧЕСКИХ ИЛИ ДРУГИХ</w:t>
      </w:r>
    </w:p>
    <w:p>
      <w:pPr>
        <w:pStyle w:val="2"/>
        <w:jc w:val="center"/>
      </w:pPr>
      <w:r>
        <w:rPr>
          <w:sz w:val="20"/>
        </w:rPr>
        <w:t xml:space="preserve">СРЕДСТВ ПЕРЕДВИЖЕНИЯ ИНВАЛИДОВ ВБЛИЗИ ИХ МЕСТА ЖИТЕЛЬСТВА</w:t>
      </w:r>
    </w:p>
    <w:p>
      <w:pPr>
        <w:pStyle w:val="2"/>
        <w:jc w:val="center"/>
      </w:pPr>
      <w:r>
        <w:rPr>
          <w:sz w:val="20"/>
        </w:rPr>
        <w:t xml:space="preserve">НА ТЕРРИТОРИИ МУРМАНСКОЙ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Мурманской области</w:t>
            </w:r>
          </w:p>
          <w:p>
            <w:pPr>
              <w:pStyle w:val="0"/>
              <w:jc w:val="center"/>
            </w:pPr>
            <w:r>
              <w:rPr>
                <w:sz w:val="20"/>
                <w:color w:val="392c69"/>
              </w:rPr>
              <w:t xml:space="preserve">от 09.12.2024 </w:t>
            </w:r>
            <w:hyperlink w:history="0" r:id="rId13" w:tooltip="Постановление Правительства Мурманской области от 09.12.2024 N 848-ПП &quot;О внесении изменений в некоторые постановления Правительства Мурманской области&quot; {КонсультантПлюс}">
              <w:r>
                <w:rPr>
                  <w:sz w:val="20"/>
                  <w:color w:val="0000ff"/>
                </w:rPr>
                <w:t xml:space="preserve">N 848-ПП</w:t>
              </w:r>
            </w:hyperlink>
            <w:r>
              <w:rPr>
                <w:sz w:val="20"/>
                <w:color w:val="392c69"/>
              </w:rPr>
              <w:t xml:space="preserve">, от 05.03.2025 </w:t>
            </w:r>
            <w:hyperlink w:history="0" r:id="rId14" w:tooltip="Постановление Правительства Мурманской области от 05.03.2025 N 154-ПП &quot;О внесении изменений в Порядок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на территории Мурманской области&quot; {КонсультантПлюс}">
              <w:r>
                <w:rPr>
                  <w:sz w:val="20"/>
                  <w:color w:val="0000ff"/>
                </w:rPr>
                <w:t xml:space="preserve">N 154-ПП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Настоящий Порядок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на территории Мурманской области (далее - Порядок) разработан в соответствии со </w:t>
      </w:r>
      <w:hyperlink w:history="0" r:id="rId15" w:tooltip="&quot;Земельный кодекс Российской Федерации&quot; от 25.10.2001 N 136-ФЗ (ред. от 31.07.2025) (с изм. и доп., вступ. в силу с 11.08.2025) {КонсультантПлюс}">
        <w:r>
          <w:rPr>
            <w:sz w:val="20"/>
            <w:color w:val="0000ff"/>
          </w:rPr>
          <w:t xml:space="preserve">статьей 39.36-1</w:t>
        </w:r>
      </w:hyperlink>
      <w:r>
        <w:rPr>
          <w:sz w:val="20"/>
        </w:rPr>
        <w:t xml:space="preserve"> Земельного кодекса Российской Федерации и устанавливает процедуру разработки и утверждения схемы размещения гаражей, являющихся некапитальными сооружениями (далее - некапитальные гаражи), либо для стоянки технических или других средств передвижения инвалидов вблизи их места жительства (далее - стоянка средства передвижения инвалидов), на землях или земельных участках, находящихся в государственной или муниципальной собственности (далее - земельные участки) без предоставления земельных участков и установления сервитута, публичного сервитута (далее - схема размещения), порядок использования гражданами земельных участков для размещения некапитальных гаражей либо для стоянки средств передвижения инвалидов.</w:t>
      </w:r>
    </w:p>
    <w:p>
      <w:pPr>
        <w:pStyle w:val="0"/>
        <w:spacing w:before="200" w:line-rule="auto"/>
        <w:ind w:firstLine="540"/>
        <w:jc w:val="both"/>
      </w:pPr>
      <w:r>
        <w:rPr>
          <w:sz w:val="20"/>
        </w:rPr>
        <w:t xml:space="preserve">2. Схема размещения представляет собой документ, определяющий места размещения некапитальных гаражей и стоянок технических или других средств передвижения инвалидов вблизи их места жительства (далее - объекты), состоящий из текстовой части, содержащей сведения о виде объекта, его площади, адресных ориентирах, требованиях к внешнему виду объекта, сроке размещения объекта, кадастровом номере земельного участка или координатном описании территории, и графической части, разрабатываемой на основе сведений Единого государственного реестра недвижимости.</w:t>
      </w:r>
    </w:p>
    <w:p>
      <w:pPr>
        <w:pStyle w:val="0"/>
        <w:jc w:val="both"/>
      </w:pPr>
      <w:r>
        <w:rPr>
          <w:sz w:val="20"/>
        </w:rPr>
        <w:t xml:space="preserve">(в ред. </w:t>
      </w:r>
      <w:hyperlink w:history="0" r:id="rId16" w:tooltip="Постановление Правительства Мурманской области от 05.03.2025 N 154-ПП &quot;О внесении изменений в Порядок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на территории Мурманской области&quot; {КонсультантПлюс}">
        <w:r>
          <w:rPr>
            <w:sz w:val="20"/>
            <w:color w:val="0000ff"/>
          </w:rPr>
          <w:t xml:space="preserve">Постановления</w:t>
        </w:r>
      </w:hyperlink>
      <w:r>
        <w:rPr>
          <w:sz w:val="20"/>
        </w:rPr>
        <w:t xml:space="preserve"> Правительства Мурманской области от 05.03.2025 N 154-ПП)</w:t>
      </w:r>
    </w:p>
    <w:bookmarkStart w:id="47" w:name="P47"/>
    <w:bookmarkEnd w:id="47"/>
    <w:p>
      <w:pPr>
        <w:pStyle w:val="0"/>
        <w:spacing w:before="200" w:line-rule="auto"/>
        <w:ind w:firstLine="540"/>
        <w:jc w:val="both"/>
      </w:pPr>
      <w:r>
        <w:rPr>
          <w:sz w:val="20"/>
        </w:rPr>
        <w:t xml:space="preserve">3. В соответствии с разграничением полномочий и административно-территориальным устройством Мурманской области схема размещения разрабатывается органом местного самоуправления (далее - уполномоченный орган):</w:t>
      </w:r>
    </w:p>
    <w:p>
      <w:pPr>
        <w:pStyle w:val="0"/>
        <w:spacing w:before="200" w:line-rule="auto"/>
        <w:ind w:firstLine="540"/>
        <w:jc w:val="both"/>
      </w:pPr>
      <w:r>
        <w:rPr>
          <w:sz w:val="20"/>
        </w:rPr>
        <w:t xml:space="preserve">а) городского округа - в отношении земельных участков, расположенных на территории городского округа;</w:t>
      </w:r>
    </w:p>
    <w:p>
      <w:pPr>
        <w:pStyle w:val="0"/>
        <w:spacing w:before="200" w:line-rule="auto"/>
        <w:ind w:firstLine="540"/>
        <w:jc w:val="both"/>
      </w:pPr>
      <w:r>
        <w:rPr>
          <w:sz w:val="20"/>
        </w:rPr>
        <w:t xml:space="preserve">б) городского поселения - в отношении земельных участков, расположенных на территории городского поселения;</w:t>
      </w:r>
    </w:p>
    <w:p>
      <w:pPr>
        <w:pStyle w:val="0"/>
        <w:spacing w:before="200" w:line-rule="auto"/>
        <w:ind w:firstLine="540"/>
        <w:jc w:val="both"/>
      </w:pPr>
      <w:r>
        <w:rPr>
          <w:sz w:val="20"/>
        </w:rPr>
        <w:t xml:space="preserve">в) муниципального района - в отношении земельных участков, расположенных в границах сельского поселения, входящего в состав этого муниципального района, за исключением случая, предусмотренного в </w:t>
      </w:r>
      <w:hyperlink w:history="0" w:anchor="P51" w:tooltip="г) сельского поселения - в отношении земельных участков, находящихся в собственности сельского поселения;">
        <w:r>
          <w:rPr>
            <w:sz w:val="20"/>
            <w:color w:val="0000ff"/>
          </w:rPr>
          <w:t xml:space="preserve">подпункте "г"</w:t>
        </w:r>
      </w:hyperlink>
      <w:r>
        <w:rPr>
          <w:sz w:val="20"/>
        </w:rPr>
        <w:t xml:space="preserve"> настоящего пункта;</w:t>
      </w:r>
    </w:p>
    <w:bookmarkStart w:id="51" w:name="P51"/>
    <w:bookmarkEnd w:id="51"/>
    <w:p>
      <w:pPr>
        <w:pStyle w:val="0"/>
        <w:spacing w:before="200" w:line-rule="auto"/>
        <w:ind w:firstLine="540"/>
        <w:jc w:val="both"/>
      </w:pPr>
      <w:r>
        <w:rPr>
          <w:sz w:val="20"/>
        </w:rPr>
        <w:t xml:space="preserve">г) сельского поселения - в отношении земельных участков, находящихся в собственности сельского поселения;</w:t>
      </w:r>
    </w:p>
    <w:p>
      <w:pPr>
        <w:pStyle w:val="0"/>
        <w:spacing w:before="200" w:line-rule="auto"/>
        <w:ind w:firstLine="540"/>
        <w:jc w:val="both"/>
      </w:pPr>
      <w:r>
        <w:rPr>
          <w:sz w:val="20"/>
        </w:rPr>
        <w:t xml:space="preserve">д) муниципального округа - в отношении земельных участков, расположенных на территории муниципального округа.</w:t>
      </w:r>
    </w:p>
    <w:p>
      <w:pPr>
        <w:pStyle w:val="0"/>
        <w:spacing w:before="200" w:line-rule="auto"/>
        <w:ind w:firstLine="540"/>
        <w:jc w:val="both"/>
      </w:pPr>
      <w:r>
        <w:rPr>
          <w:sz w:val="20"/>
        </w:rPr>
        <w:t xml:space="preserve">Схема размещения утверждается муниципальным правовым актом уполномоченного органа местного самоуправления на срок, не превышающий 10 лет с момента ее утверждения.</w:t>
      </w:r>
    </w:p>
    <w:p>
      <w:pPr>
        <w:pStyle w:val="0"/>
        <w:spacing w:before="200" w:line-rule="auto"/>
        <w:ind w:firstLine="540"/>
        <w:jc w:val="both"/>
      </w:pPr>
      <w:r>
        <w:rPr>
          <w:sz w:val="20"/>
        </w:rPr>
        <w:t xml:space="preserve">4. Разработка схемы размещения осуществляется уполномоченными органами по инициативе физических, юридических лиц, органов государственной власти и местного самоуправления (далее - заинтересованные лица), в том числе на основании результатов инвентаризации земель или земельных участков, проводимой в порядке, установленном муниципальным правовым актом.</w:t>
      </w:r>
    </w:p>
    <w:bookmarkStart w:id="55" w:name="P55"/>
    <w:bookmarkEnd w:id="55"/>
    <w:p>
      <w:pPr>
        <w:pStyle w:val="0"/>
        <w:spacing w:before="200" w:line-rule="auto"/>
        <w:ind w:firstLine="540"/>
        <w:jc w:val="both"/>
      </w:pPr>
      <w:r>
        <w:rPr>
          <w:sz w:val="20"/>
        </w:rPr>
        <w:t xml:space="preserve">5. При разработке схемы размещения учитываются результаты инвентаризации, требования земельного законодательства, законодательства о градостроительной деятельности, о пожарной безопасности, законодательства в области охраны окружающей среды, в области охраны и использования особо охраняемых природных территорий, в области обеспечения санитарно-эпидемиологического благополучия населения и иные требования законодательства Российской Федерации, сведения Единого государственного реестра недвижимости, утвержденные документы территориального планирования, правила землепользования и застройки, проекты планировки территории, землеустроительной документации, положения об особо охраняемой природной территории, о зонах с особыми условиями использования территории, о земельных участках общего пользования и территориях общего пользования, красных линиях, о местоположении границ земельных участков, о местоположении зданий, сооружений (в том числе размещение которых предусмотрено государственными программами субъекта Российской Федерации, адресными инвестиционными программами), объектов незавершенного строительства.</w:t>
      </w:r>
    </w:p>
    <w:bookmarkStart w:id="56" w:name="P56"/>
    <w:bookmarkEnd w:id="56"/>
    <w:p>
      <w:pPr>
        <w:pStyle w:val="0"/>
        <w:spacing w:before="200" w:line-rule="auto"/>
        <w:ind w:firstLine="540"/>
        <w:jc w:val="both"/>
      </w:pPr>
      <w:r>
        <w:rPr>
          <w:sz w:val="20"/>
        </w:rPr>
        <w:t xml:space="preserve">6. При разработке схемы размещения уполномоченному органу следует руководствоваться следующими правилами:</w:t>
      </w:r>
    </w:p>
    <w:p>
      <w:pPr>
        <w:pStyle w:val="0"/>
        <w:spacing w:before="200" w:line-rule="auto"/>
        <w:ind w:firstLine="540"/>
        <w:jc w:val="both"/>
      </w:pPr>
      <w:r>
        <w:rPr>
          <w:sz w:val="20"/>
        </w:rPr>
        <w:t xml:space="preserve">а) размещение объектов должно соответствовать действующим градостроительным, строительным, архитектурным, пожарным, санитарным и иным нормам и правилам;</w:t>
      </w:r>
    </w:p>
    <w:p>
      <w:pPr>
        <w:pStyle w:val="0"/>
        <w:spacing w:before="200" w:line-rule="auto"/>
        <w:ind w:firstLine="540"/>
        <w:jc w:val="both"/>
      </w:pPr>
      <w:r>
        <w:rPr>
          <w:sz w:val="20"/>
        </w:rPr>
        <w:t xml:space="preserve">б) размещение объектов не должно препятствовать пешеходному движению, должно обеспечивать беспрепятственный проезд автотранспорта, включая транспорт аварийно-спасательных служб, машин скорой помощи;</w:t>
      </w:r>
    </w:p>
    <w:p>
      <w:pPr>
        <w:pStyle w:val="0"/>
        <w:spacing w:before="200" w:line-rule="auto"/>
        <w:ind w:firstLine="540"/>
        <w:jc w:val="both"/>
      </w:pPr>
      <w:r>
        <w:rPr>
          <w:sz w:val="20"/>
        </w:rPr>
        <w:t xml:space="preserve">в) размещение объектов не должно нарушать условия инсоляции территорий и помещений, рядом с которыми они будут расположены;</w:t>
      </w:r>
    </w:p>
    <w:p>
      <w:pPr>
        <w:pStyle w:val="0"/>
        <w:spacing w:before="200" w:line-rule="auto"/>
        <w:ind w:firstLine="540"/>
        <w:jc w:val="both"/>
      </w:pPr>
      <w:r>
        <w:rPr>
          <w:sz w:val="20"/>
        </w:rPr>
        <w:t xml:space="preserve">г) размещение объектов не должно ухудшать визуальное восприятие среды населенного пункта и благоустройство территории и застройки, внешний вид объектов должен соответствовать архитектурно-художественным требованиям городского дизайна на протяжении всего срока размещения объектов;</w:t>
      </w:r>
    </w:p>
    <w:p>
      <w:pPr>
        <w:pStyle w:val="0"/>
        <w:spacing w:before="200" w:line-rule="auto"/>
        <w:ind w:firstLine="540"/>
        <w:jc w:val="both"/>
      </w:pPr>
      <w:r>
        <w:rPr>
          <w:sz w:val="20"/>
        </w:rPr>
        <w:t xml:space="preserve">д) не допускается размещение объектов в арках зданий, на газонах, иных объектах озеленения, на площадках (детских, отдыха, спортивных), посадочных площадках городского пассажирского транспорта общего пользования, ближе 10 метров от остановочных павильонов, ближе 20 метров от окон жилых помещений, перед витринами торговых организаций, ближе 3 метров от стволов деревьев;</w:t>
      </w:r>
    </w:p>
    <w:p>
      <w:pPr>
        <w:pStyle w:val="0"/>
        <w:spacing w:before="200" w:line-rule="auto"/>
        <w:ind w:firstLine="540"/>
        <w:jc w:val="both"/>
      </w:pPr>
      <w:r>
        <w:rPr>
          <w:sz w:val="20"/>
        </w:rPr>
        <w:t xml:space="preserve">е) не допускается размещение объектов на тепловых сетях, газовых сетях, линиях электропередачи, линиях водоснабжения и водоотведения, связи;</w:t>
      </w:r>
    </w:p>
    <w:p>
      <w:pPr>
        <w:pStyle w:val="0"/>
        <w:spacing w:before="200" w:line-rule="auto"/>
        <w:ind w:firstLine="540"/>
        <w:jc w:val="both"/>
      </w:pPr>
      <w:r>
        <w:rPr>
          <w:sz w:val="20"/>
        </w:rPr>
        <w:t xml:space="preserve">ж) не допускается размещение объектов в непосредственной близости к зданиям образовательных организаций, детских домов, домов-интернатов, учреждений здравоохранения;</w:t>
      </w:r>
    </w:p>
    <w:p>
      <w:pPr>
        <w:pStyle w:val="0"/>
        <w:spacing w:before="200" w:line-rule="auto"/>
        <w:ind w:firstLine="540"/>
        <w:jc w:val="both"/>
      </w:pPr>
      <w:r>
        <w:rPr>
          <w:sz w:val="20"/>
        </w:rPr>
        <w:t xml:space="preserve">з) размещение объектов ограничивается в зонах охраны объектов культурного наследия, в водоохранных зонах, иных зонах с особыми условиями использования территорий в соответствии с действующими нормами и правилами.</w:t>
      </w:r>
    </w:p>
    <w:bookmarkStart w:id="65" w:name="P65"/>
    <w:bookmarkEnd w:id="65"/>
    <w:p>
      <w:pPr>
        <w:pStyle w:val="0"/>
        <w:spacing w:before="200" w:line-rule="auto"/>
        <w:ind w:firstLine="540"/>
        <w:jc w:val="both"/>
      </w:pPr>
      <w:r>
        <w:rPr>
          <w:sz w:val="20"/>
        </w:rPr>
        <w:t xml:space="preserve">7. Земельные участки не подлежат включению в схему размещения в случаях, если:</w:t>
      </w:r>
    </w:p>
    <w:p>
      <w:pPr>
        <w:pStyle w:val="0"/>
        <w:spacing w:before="200" w:line-rule="auto"/>
        <w:ind w:firstLine="540"/>
        <w:jc w:val="both"/>
      </w:pPr>
      <w:r>
        <w:rPr>
          <w:sz w:val="20"/>
        </w:rPr>
        <w:t xml:space="preserve">1) начаты работы по предоставлению на торгах либо без проведения торгов земельного участка, на котором планируется размещение объектов, в том числе поданы заявления о заключении соглашения об установлении сервитута, публичного сервитута, о заключении соглашения о перераспределении земельных участков, о выдаче разрешения на использование земель или земельного участка, находящихся в государственной или муниципальной собственности, имеются решения о проведении аукциона, об утверждении схемы расположения земельного участка, о предварительном согласовании предоставления земельного участка или предварительном согласовании места размещения объекта, заключено соглашение об установлении сервитута, публичного сервитута в отношении земельного участка, имеется согласие на заключение соглашения о перераспределении земельных участков;</w:t>
      </w:r>
    </w:p>
    <w:p>
      <w:pPr>
        <w:pStyle w:val="0"/>
        <w:spacing w:before="200" w:line-rule="auto"/>
        <w:ind w:firstLine="540"/>
        <w:jc w:val="both"/>
      </w:pPr>
      <w:r>
        <w:rPr>
          <w:sz w:val="20"/>
        </w:rPr>
        <w:t xml:space="preserve">2) земельный участок (часть земельного участка), находящийся в государственной или муниципальной собственности, на котором планируется размещение объектов, предоставлен физическому или юридическому лицу в соответствии с земельным законодательством;</w:t>
      </w:r>
    </w:p>
    <w:p>
      <w:pPr>
        <w:pStyle w:val="0"/>
        <w:spacing w:before="200" w:line-rule="auto"/>
        <w:ind w:firstLine="540"/>
        <w:jc w:val="both"/>
      </w:pPr>
      <w:r>
        <w:rPr>
          <w:sz w:val="20"/>
        </w:rPr>
        <w:t xml:space="preserve">3) наличие ранее принятого решения о согласовании размещения объекта на земельных участках, на которых планируется размещение некапитальных гаражей либо стоянки средств передвижения инвалидов, срок действия которого не истек;</w:t>
      </w:r>
    </w:p>
    <w:p>
      <w:pPr>
        <w:pStyle w:val="0"/>
        <w:spacing w:before="200" w:line-rule="auto"/>
        <w:ind w:firstLine="540"/>
        <w:jc w:val="both"/>
      </w:pPr>
      <w:r>
        <w:rPr>
          <w:sz w:val="20"/>
        </w:rPr>
        <w:t xml:space="preserve">4) размещение объекта не допускается в соответствии с документами территориального планирования, документацией по планировке территории и иными нормативными правовыми актами;</w:t>
      </w:r>
    </w:p>
    <w:p>
      <w:pPr>
        <w:pStyle w:val="0"/>
        <w:spacing w:before="200" w:line-rule="auto"/>
        <w:ind w:firstLine="540"/>
        <w:jc w:val="both"/>
      </w:pPr>
      <w:r>
        <w:rPr>
          <w:sz w:val="20"/>
        </w:rPr>
        <w:t xml:space="preserve">5) наличие судебного разбирательства в отношении земельного участка, на котором планируется размещение объекта, расположенных на нем зданий, сооружений и (или) судебного разбирательства о границах и (или) площади смежных с ним земельных участков;</w:t>
      </w:r>
    </w:p>
    <w:p>
      <w:pPr>
        <w:pStyle w:val="0"/>
        <w:spacing w:before="200" w:line-rule="auto"/>
        <w:ind w:firstLine="540"/>
        <w:jc w:val="both"/>
      </w:pPr>
      <w:r>
        <w:rPr>
          <w:sz w:val="20"/>
        </w:rPr>
        <w:t xml:space="preserve">6) нахождение земельного участка (части земельного участка) в границах зон градостроительных ограничений и иных территорий, в которых в соответствии с действующим законодательством не допускается и (или) ограничивается размещение некапитальных гаражей либо стоянки средств передвижения инвалидов (за исключением зон с особыми условиями использования территории);</w:t>
      </w:r>
    </w:p>
    <w:p>
      <w:pPr>
        <w:pStyle w:val="0"/>
        <w:spacing w:before="200" w:line-rule="auto"/>
        <w:ind w:firstLine="540"/>
        <w:jc w:val="both"/>
      </w:pPr>
      <w:r>
        <w:rPr>
          <w:sz w:val="20"/>
        </w:rPr>
        <w:t xml:space="preserve">7) нахождение земельного участка (части земельного участка) в границах зон с особыми условиями использования территорий, установленные ограничения использования земельных участков в которых не допускают использование участка для размещения некапитальных гаражей либо стоянки средств передвижения инвалидов;</w:t>
      </w:r>
    </w:p>
    <w:p>
      <w:pPr>
        <w:pStyle w:val="0"/>
        <w:spacing w:before="200" w:line-rule="auto"/>
        <w:ind w:firstLine="540"/>
        <w:jc w:val="both"/>
      </w:pPr>
      <w:r>
        <w:rPr>
          <w:sz w:val="20"/>
        </w:rPr>
        <w:t xml:space="preserve">8) расположение земельного участка или части земельного участка в границах территории общего пользования, на существующих инженерных сетях, коммуникациях, сооружениях;</w:t>
      </w:r>
    </w:p>
    <w:p>
      <w:pPr>
        <w:pStyle w:val="0"/>
        <w:spacing w:before="200" w:line-rule="auto"/>
        <w:ind w:firstLine="540"/>
        <w:jc w:val="both"/>
      </w:pPr>
      <w:r>
        <w:rPr>
          <w:sz w:val="20"/>
        </w:rPr>
        <w:t xml:space="preserve">9) отсутствие доступа (прохода, проезда от земельных участков общего пользования) к земельному участку;</w:t>
      </w:r>
    </w:p>
    <w:p>
      <w:pPr>
        <w:pStyle w:val="0"/>
        <w:spacing w:before="200" w:line-rule="auto"/>
        <w:ind w:firstLine="540"/>
        <w:jc w:val="both"/>
      </w:pPr>
      <w:r>
        <w:rPr>
          <w:sz w:val="20"/>
        </w:rPr>
        <w:t xml:space="preserve">10) несоблюдение требований </w:t>
      </w:r>
      <w:hyperlink w:history="0" w:anchor="P55" w:tooltip="5. При разработке схемы размещения учитываются результаты инвентаризации, требования земельного законодательства, законодательства о градостроительной деятельности, о пожарной безопасности, законодательства в области охраны окружающей среды, в области охраны и использования особо охраняемых природных территорий, в области обеспечения санитарно-эпидемиологического благополучия населения и иные требования законодательства Российской Федерации, сведения Единого государственного реестра недвижимости, утвержд...">
        <w:r>
          <w:rPr>
            <w:sz w:val="20"/>
            <w:color w:val="0000ff"/>
          </w:rPr>
          <w:t xml:space="preserve">пунктов 5</w:t>
        </w:r>
      </w:hyperlink>
      <w:r>
        <w:rPr>
          <w:sz w:val="20"/>
        </w:rPr>
        <w:t xml:space="preserve">, </w:t>
      </w:r>
      <w:hyperlink w:history="0" w:anchor="P56" w:tooltip="6. При разработке схемы размещения уполномоченному органу следует руководствоваться следующими правилами:">
        <w:r>
          <w:rPr>
            <w:sz w:val="20"/>
            <w:color w:val="0000ff"/>
          </w:rPr>
          <w:t xml:space="preserve">6</w:t>
        </w:r>
      </w:hyperlink>
      <w:r>
        <w:rPr>
          <w:sz w:val="20"/>
        </w:rPr>
        <w:t xml:space="preserve"> Порядка.</w:t>
      </w:r>
    </w:p>
    <w:p>
      <w:pPr>
        <w:pStyle w:val="0"/>
        <w:spacing w:before="200" w:line-rule="auto"/>
        <w:ind w:firstLine="540"/>
        <w:jc w:val="both"/>
      </w:pPr>
      <w:r>
        <w:rPr>
          <w:sz w:val="20"/>
        </w:rPr>
        <w:t xml:space="preserve">8. Проект схемы размещения публикуется на официальном сайте уполномоченного органа местного самоуправления в сети Интернет для публичного обсуждения сроком не менее 10 рабочих дней. По окончании срока публикации органом местного самоуправления в течение 10 рабочих дней принимаются замечания, предложения, возражения по проекту схемы размещения от любых заинтересованных лиц.</w:t>
      </w:r>
    </w:p>
    <w:bookmarkStart w:id="77" w:name="P77"/>
    <w:bookmarkEnd w:id="77"/>
    <w:p>
      <w:pPr>
        <w:pStyle w:val="0"/>
        <w:spacing w:before="200" w:line-rule="auto"/>
        <w:ind w:firstLine="540"/>
        <w:jc w:val="both"/>
      </w:pPr>
      <w:r>
        <w:rPr>
          <w:sz w:val="20"/>
        </w:rPr>
        <w:t xml:space="preserve">9. По окончании приема замечаний, предложений, возражений по итогам публичного обсуждения уполномоченный орган местного самоуправления в течение 5 рабочих дней дорабатывает проект схемы размещения и обеспечивает его согласование с исполнительными органами Мурманской области, федеральными органами исполнительной власти, органами местного самоуправления, их структурными подразделениями, сфера деятельности, права, обязанности, полномочия которых затрагиваются рассматриваемым проектом (например, в области градостроительной деятельности и благоустройства, охраны окружающей среды, дорожной деятельности и организации транспортного обслуживания населения, безопасности, прочих областях) (далее - отраслевые органы) в части, их касающейся.</w:t>
      </w:r>
    </w:p>
    <w:p>
      <w:pPr>
        <w:pStyle w:val="0"/>
        <w:jc w:val="both"/>
      </w:pPr>
      <w:r>
        <w:rPr>
          <w:sz w:val="20"/>
        </w:rPr>
        <w:t xml:space="preserve">(в ред. </w:t>
      </w:r>
      <w:hyperlink w:history="0" r:id="rId17" w:tooltip="Постановление Правительства Мурманской области от 09.12.2024 N 848-ПП &quot;О внесении изменений в некоторые постановления Правительства Мурманской области&quot; {КонсультантПлюс}">
        <w:r>
          <w:rPr>
            <w:sz w:val="20"/>
            <w:color w:val="0000ff"/>
          </w:rPr>
          <w:t xml:space="preserve">Постановления</w:t>
        </w:r>
      </w:hyperlink>
      <w:r>
        <w:rPr>
          <w:sz w:val="20"/>
        </w:rPr>
        <w:t xml:space="preserve"> Правительства Мурманской области от 09.12.2024 N 848-ПП)</w:t>
      </w:r>
    </w:p>
    <w:bookmarkStart w:id="79" w:name="P79"/>
    <w:bookmarkEnd w:id="79"/>
    <w:p>
      <w:pPr>
        <w:pStyle w:val="0"/>
        <w:spacing w:before="200" w:line-rule="auto"/>
        <w:ind w:firstLine="540"/>
        <w:jc w:val="both"/>
      </w:pPr>
      <w:r>
        <w:rPr>
          <w:sz w:val="20"/>
        </w:rPr>
        <w:t xml:space="preserve">Отраслевые органы рассматривают представленный им на согласование проект схемы размещения в течение 15 рабочих дней, уведомляют уполномоченный орган о принятом решении.</w:t>
      </w:r>
    </w:p>
    <w:p>
      <w:pPr>
        <w:pStyle w:val="0"/>
        <w:spacing w:before="200" w:line-rule="auto"/>
        <w:ind w:firstLine="540"/>
        <w:jc w:val="both"/>
      </w:pPr>
      <w:r>
        <w:rPr>
          <w:sz w:val="20"/>
        </w:rPr>
        <w:t xml:space="preserve">После согласования с отраслевыми органами уполномоченный орган местного самоуправления в срок, определенный </w:t>
      </w:r>
      <w:hyperlink w:history="0" w:anchor="P77" w:tooltip="9. По окончании приема замечаний, предложений, возражений по итогам публичного обсуждения уполномоченный орган местного самоуправления в течение 5 рабочих дней дорабатывает проект схемы размещения и обеспечивает его согласование с исполнительными органами Мурманской области, федеральными органами исполнительной власти, органами местного самоуправления, их структурными подразделениями, сфера деятельности, права, обязанности, полномочия которых затрагиваются рассматриваемым проектом (например, в области гр...">
        <w:r>
          <w:rPr>
            <w:sz w:val="20"/>
            <w:color w:val="0000ff"/>
          </w:rPr>
          <w:t xml:space="preserve">абзацем первым</w:t>
        </w:r>
      </w:hyperlink>
      <w:r>
        <w:rPr>
          <w:sz w:val="20"/>
        </w:rPr>
        <w:t xml:space="preserve"> настоящего пункта, обеспечивает согласование проекта схемы размещения в порядке, определенном </w:t>
      </w:r>
      <w:hyperlink w:history="0" w:anchor="P79" w:tooltip="Отраслевые органы рассматривают представленный им на согласование проект схемы размещения в течение 15 рабочих дней, уведомляют уполномоченный орган о принятом решении.">
        <w:r>
          <w:rPr>
            <w:sz w:val="20"/>
            <w:color w:val="0000ff"/>
          </w:rPr>
          <w:t xml:space="preserve">абзацем вторым</w:t>
        </w:r>
      </w:hyperlink>
      <w:r>
        <w:rPr>
          <w:sz w:val="20"/>
        </w:rPr>
        <w:t xml:space="preserve"> настоящего пункта:</w:t>
      </w:r>
    </w:p>
    <w:p>
      <w:pPr>
        <w:pStyle w:val="0"/>
        <w:spacing w:before="200" w:line-rule="auto"/>
        <w:ind w:firstLine="540"/>
        <w:jc w:val="both"/>
      </w:pPr>
      <w:r>
        <w:rPr>
          <w:sz w:val="20"/>
        </w:rPr>
        <w:t xml:space="preserve">- с Министерством имущественных отношений (в отношении земельных участков, находящихся в государственной собственности Мурманской области, земель, земельных участков, государственная собственность на которые не разграничена);</w:t>
      </w:r>
    </w:p>
    <w:p>
      <w:pPr>
        <w:pStyle w:val="0"/>
        <w:spacing w:before="200" w:line-rule="auto"/>
        <w:ind w:firstLine="540"/>
        <w:jc w:val="both"/>
      </w:pPr>
      <w:r>
        <w:rPr>
          <w:sz w:val="20"/>
        </w:rPr>
        <w:t xml:space="preserve">- уполномоченным федеральным органом исполнительной власти (в отношении земельных участков, находящихся в федеральной собственности).</w:t>
      </w:r>
    </w:p>
    <w:p>
      <w:pPr>
        <w:pStyle w:val="0"/>
        <w:spacing w:before="200" w:line-rule="auto"/>
        <w:ind w:firstLine="540"/>
        <w:jc w:val="both"/>
      </w:pPr>
      <w:r>
        <w:rPr>
          <w:sz w:val="20"/>
        </w:rPr>
        <w:t xml:space="preserve">Не допускается утверждение схемы при отсутствии согласования органа в порядке, предусмотренным настоящим пунктом.</w:t>
      </w:r>
    </w:p>
    <w:p>
      <w:pPr>
        <w:pStyle w:val="0"/>
        <w:spacing w:before="200" w:line-rule="auto"/>
        <w:ind w:firstLine="540"/>
        <w:jc w:val="both"/>
      </w:pPr>
      <w:r>
        <w:rPr>
          <w:sz w:val="20"/>
        </w:rPr>
        <w:t xml:space="preserve">На орган местного самоуправления - разработчика схемы размещения возлагается ответственность за обеспечение всесторонней и объективной процедуры согласования.</w:t>
      </w:r>
    </w:p>
    <w:p>
      <w:pPr>
        <w:pStyle w:val="0"/>
        <w:spacing w:before="200" w:line-rule="auto"/>
        <w:ind w:firstLine="540"/>
        <w:jc w:val="both"/>
      </w:pPr>
      <w:r>
        <w:rPr>
          <w:sz w:val="20"/>
        </w:rPr>
        <w:t xml:space="preserve">10. Утвержденная уполномоченным органом схема размещения и вносимые в нее изменения подлежат опубликованию в порядке, установленном для официального опубликования муниципальных правовых актов, а также размещению на официальном сайте уполномоченного органа в информационно-телекоммуникационной сети Интернет.</w:t>
      </w:r>
    </w:p>
    <w:p>
      <w:pPr>
        <w:pStyle w:val="0"/>
        <w:spacing w:before="200" w:line-rule="auto"/>
        <w:ind w:firstLine="540"/>
        <w:jc w:val="both"/>
      </w:pPr>
      <w:r>
        <w:rPr>
          <w:sz w:val="20"/>
        </w:rPr>
        <w:t xml:space="preserve">11. В утвержденную схему размещения могут вноситься изменения и дополнения по мотивированным заявлениям, предложениям заинтересованных лиц путем включения, исключения объектов.</w:t>
      </w:r>
    </w:p>
    <w:p>
      <w:pPr>
        <w:pStyle w:val="0"/>
        <w:spacing w:before="200" w:line-rule="auto"/>
        <w:ind w:firstLine="540"/>
        <w:jc w:val="both"/>
      </w:pPr>
      <w:r>
        <w:rPr>
          <w:sz w:val="20"/>
        </w:rPr>
        <w:t xml:space="preserve">12. Изменение и дополнение схемы осуществляется в порядке, установленном для ее разработки и утверждения.</w:t>
      </w:r>
    </w:p>
    <w:bookmarkStart w:id="88" w:name="P88"/>
    <w:bookmarkEnd w:id="88"/>
    <w:p>
      <w:pPr>
        <w:pStyle w:val="0"/>
        <w:spacing w:before="200" w:line-rule="auto"/>
        <w:ind w:firstLine="540"/>
        <w:jc w:val="both"/>
      </w:pPr>
      <w:r>
        <w:rPr>
          <w:sz w:val="20"/>
        </w:rPr>
        <w:t xml:space="preserve">13. Допускается разработка схемы в отношении некапитальных гаражей, возведенных до вступления в силу Федерального </w:t>
      </w:r>
      <w:hyperlink w:history="0" r:id="rId18"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05.04.2021 N 79-ФЗ "О внесении изменений в отдельные законодательные акты Российской Федерации", а также стоянок средств передвижения инвалидов, предоставленных им до вступления в силу Федерального </w:t>
      </w:r>
      <w:hyperlink w:history="0" r:id="rId19"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05.04.2021 N 79-ФЗ "О внесении изменений в отдельные законодательные акты Российской Федерации".</w:t>
      </w:r>
    </w:p>
    <w:bookmarkStart w:id="89" w:name="P89"/>
    <w:bookmarkEnd w:id="89"/>
    <w:p>
      <w:pPr>
        <w:pStyle w:val="0"/>
        <w:spacing w:before="200" w:line-rule="auto"/>
        <w:ind w:firstLine="540"/>
        <w:jc w:val="both"/>
      </w:pPr>
      <w:r>
        <w:rPr>
          <w:sz w:val="20"/>
        </w:rPr>
        <w:t xml:space="preserve">Если разработка такой схемы осуществляется без включения в ее границы свободной от застройки территории (не учитывая проходы и проезды), позволяющей возводить гражданами новые объекты, утверждение схемы осуществляется без согласования с отраслевыми органами.</w:t>
      </w:r>
    </w:p>
    <w:bookmarkStart w:id="90" w:name="P90"/>
    <w:bookmarkEnd w:id="90"/>
    <w:p>
      <w:pPr>
        <w:pStyle w:val="0"/>
        <w:spacing w:before="200" w:line-rule="auto"/>
        <w:ind w:firstLine="540"/>
        <w:jc w:val="both"/>
      </w:pPr>
      <w:r>
        <w:rPr>
          <w:sz w:val="20"/>
        </w:rPr>
        <w:t xml:space="preserve">Если объекты полностью расположены в границах земельного участка, в отношении которого на 1 января 2025 года не был расторгнут договор аренды земельного участка, предоставленного для размещения гаражей, разработка и утверждение схемы осуществляется без учета мероприятий, предусмотренных </w:t>
      </w:r>
      <w:hyperlink w:history="0" w:anchor="P55" w:tooltip="5. При разработке схемы размещения учитываются результаты инвентаризации, требования земельного законодательства, законодательства о градостроительной деятельности, о пожарной безопасности, законодательства в области охраны окружающей среды, в области охраны и использования особо охраняемых природных территорий, в области обеспечения санитарно-эпидемиологического благополучия населения и иные требования законодательства Российской Федерации, сведения Единого государственного реестра недвижимости, утвержд...">
        <w:r>
          <w:rPr>
            <w:sz w:val="20"/>
            <w:color w:val="0000ff"/>
          </w:rPr>
          <w:t xml:space="preserve">пунктами 5</w:t>
        </w:r>
      </w:hyperlink>
      <w:r>
        <w:rPr>
          <w:sz w:val="20"/>
        </w:rPr>
        <w:t xml:space="preserve"> - </w:t>
      </w:r>
      <w:hyperlink w:history="0" w:anchor="P77" w:tooltip="9. По окончании приема замечаний, предложений, возражений по итогам публичного обсуждения уполномоченный орган местного самоуправления в течение 5 рабочих дней дорабатывает проект схемы размещения и обеспечивает его согласование с исполнительными органами Мурманской области, федеральными органами исполнительной власти, органами местного самоуправления, их структурными подразделениями, сфера деятельности, права, обязанности, полномочия которых затрагиваются рассматриваемым проектом (например, в области гр...">
        <w:r>
          <w:rPr>
            <w:sz w:val="20"/>
            <w:color w:val="0000ff"/>
          </w:rPr>
          <w:t xml:space="preserve">9</w:t>
        </w:r>
      </w:hyperlink>
      <w:r>
        <w:rPr>
          <w:sz w:val="20"/>
        </w:rPr>
        <w:t xml:space="preserve"> настоящего Порядка.</w:t>
      </w:r>
    </w:p>
    <w:p>
      <w:pPr>
        <w:pStyle w:val="0"/>
        <w:spacing w:before="200" w:line-rule="auto"/>
        <w:ind w:firstLine="540"/>
        <w:jc w:val="both"/>
      </w:pPr>
      <w:r>
        <w:rPr>
          <w:sz w:val="20"/>
        </w:rPr>
        <w:t xml:space="preserve">При этом такой договор подлежит расторжению в течение трех календарных месяцев со дня утверждения схемы, а разрешение уполномоченного органа на размещение объектов, указанное в </w:t>
      </w:r>
      <w:hyperlink w:history="0" w:anchor="P98" w:tooltip="15. Возведение гражданами некапитальных гаражей либо стоянки средств передвижения инвалидов осуществляется в местах, определенных схемой размещения, на основании разрешения уполномоченного органа на размещение некапитального гаража либо стоянки средств передвижения инвалидов (далее - разрешение).">
        <w:r>
          <w:rPr>
            <w:sz w:val="20"/>
            <w:color w:val="0000ff"/>
          </w:rPr>
          <w:t xml:space="preserve">пункте 15</w:t>
        </w:r>
      </w:hyperlink>
      <w:r>
        <w:rPr>
          <w:sz w:val="20"/>
        </w:rPr>
        <w:t xml:space="preserve"> настоящего Порядка, выдается только после расторжения указанного договора аренды.</w:t>
      </w:r>
    </w:p>
    <w:p>
      <w:pPr>
        <w:pStyle w:val="0"/>
        <w:jc w:val="both"/>
      </w:pPr>
      <w:r>
        <w:rPr>
          <w:sz w:val="20"/>
        </w:rPr>
        <w:t xml:space="preserve">(п. 13 в ред. </w:t>
      </w:r>
      <w:hyperlink w:history="0" r:id="rId20" w:tooltip="Постановление Правительства Мурманской области от 05.03.2025 N 154-ПП &quot;О внесении изменений в Порядок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на территории Мурманской области&quot; {КонсультантПлюс}">
        <w:r>
          <w:rPr>
            <w:sz w:val="20"/>
            <w:color w:val="0000ff"/>
          </w:rPr>
          <w:t xml:space="preserve">Постановления</w:t>
        </w:r>
      </w:hyperlink>
      <w:r>
        <w:rPr>
          <w:sz w:val="20"/>
        </w:rPr>
        <w:t xml:space="preserve"> Правительства Мурманской области от 05.03.2025 N 154-ПП)</w:t>
      </w:r>
    </w:p>
    <w:bookmarkStart w:id="93" w:name="P93"/>
    <w:bookmarkEnd w:id="93"/>
    <w:p>
      <w:pPr>
        <w:pStyle w:val="0"/>
        <w:spacing w:before="200" w:line-rule="auto"/>
        <w:ind w:firstLine="540"/>
        <w:jc w:val="both"/>
      </w:pPr>
      <w:r>
        <w:rPr>
          <w:sz w:val="20"/>
        </w:rPr>
        <w:t xml:space="preserve">14. Исключение из схемы размещения некапитальных гаражей либо стоянок средств передвижения инвалидов осуществляется по основаниям, указанным в </w:t>
      </w:r>
      <w:hyperlink w:history="0" w:anchor="P65" w:tooltip="7. Земельные участки не подлежат включению в схему размещения в случаях, если:">
        <w:r>
          <w:rPr>
            <w:sz w:val="20"/>
            <w:color w:val="0000ff"/>
          </w:rPr>
          <w:t xml:space="preserve">пункте 7</w:t>
        </w:r>
      </w:hyperlink>
      <w:r>
        <w:rPr>
          <w:sz w:val="20"/>
        </w:rPr>
        <w:t xml:space="preserve"> Порядка, в том числе в следующих случаях:</w:t>
      </w:r>
    </w:p>
    <w:p>
      <w:pPr>
        <w:pStyle w:val="0"/>
        <w:spacing w:before="200" w:line-rule="auto"/>
        <w:ind w:firstLine="540"/>
        <w:jc w:val="both"/>
      </w:pPr>
      <w:r>
        <w:rPr>
          <w:sz w:val="20"/>
        </w:rPr>
        <w:t xml:space="preserve">1) предоставление земельного участка гражданину или юридическому лицу в соответствии с земельным законодательством;</w:t>
      </w:r>
    </w:p>
    <w:p>
      <w:pPr>
        <w:pStyle w:val="0"/>
        <w:spacing w:before="200" w:line-rule="auto"/>
        <w:ind w:firstLine="540"/>
        <w:jc w:val="both"/>
      </w:pPr>
      <w:r>
        <w:rPr>
          <w:sz w:val="20"/>
        </w:rPr>
        <w:t xml:space="preserve">2) фактическое размещение некапитального гаража либо стоянки средства передвижения инвалидов не соответствует схеме размещения;</w:t>
      </w:r>
    </w:p>
    <w:p>
      <w:pPr>
        <w:pStyle w:val="0"/>
        <w:spacing w:before="200" w:line-rule="auto"/>
        <w:ind w:firstLine="540"/>
        <w:jc w:val="both"/>
      </w:pPr>
      <w:r>
        <w:rPr>
          <w:sz w:val="20"/>
        </w:rPr>
        <w:t xml:space="preserve">3) размещение объекта, не соответствующего характеристикам некапитального гаража либо стоянки средства передвижения инвалидов;</w:t>
      </w:r>
    </w:p>
    <w:p>
      <w:pPr>
        <w:pStyle w:val="0"/>
        <w:spacing w:before="200" w:line-rule="auto"/>
        <w:ind w:firstLine="540"/>
        <w:jc w:val="both"/>
      </w:pPr>
      <w:r>
        <w:rPr>
          <w:sz w:val="20"/>
        </w:rPr>
        <w:t xml:space="preserve">4) демонтаж некапитального гаража либо стоянки средств передвижения инвалидов.</w:t>
      </w:r>
    </w:p>
    <w:bookmarkStart w:id="98" w:name="P98"/>
    <w:bookmarkEnd w:id="98"/>
    <w:p>
      <w:pPr>
        <w:pStyle w:val="0"/>
        <w:spacing w:before="200" w:line-rule="auto"/>
        <w:ind w:firstLine="540"/>
        <w:jc w:val="both"/>
      </w:pPr>
      <w:r>
        <w:rPr>
          <w:sz w:val="20"/>
        </w:rPr>
        <w:t xml:space="preserve">15. Возведение гражданами некапитальных гаражей либо стоянки средств передвижения инвалидов осуществляется в местах, определенных схемой размещения, на основании разрешения уполномоченного органа на размещение некапитального гаража либо стоянки средств передвижения инвалидов (далее - разрешение).</w:t>
      </w:r>
    </w:p>
    <w:p>
      <w:pPr>
        <w:pStyle w:val="0"/>
        <w:spacing w:before="200" w:line-rule="auto"/>
        <w:ind w:firstLine="540"/>
        <w:jc w:val="both"/>
      </w:pPr>
      <w:r>
        <w:rPr>
          <w:sz w:val="20"/>
        </w:rPr>
        <w:t xml:space="preserve">16. Разрешение выдается на основании заявления заинтересованного лица (далее - заявитель), поданного в уполномоченный орган. Оформление разрешения осуществляется без взимания платы.</w:t>
      </w:r>
    </w:p>
    <w:p>
      <w:pPr>
        <w:pStyle w:val="0"/>
        <w:spacing w:before="200" w:line-rule="auto"/>
        <w:ind w:firstLine="540"/>
        <w:jc w:val="both"/>
      </w:pPr>
      <w:r>
        <w:rPr>
          <w:sz w:val="20"/>
        </w:rPr>
        <w:t xml:space="preserve">Заявитель имеет право обратиться с заявлением на получение только одного места для возведения некапитального гаража либо стоянки средств передвижения инвалидов. Двукратное предоставление разрешения одному и тому же лицу при условии действительности ранее выданного разрешения не допускается.</w:t>
      </w:r>
    </w:p>
    <w:p>
      <w:pPr>
        <w:pStyle w:val="0"/>
        <w:spacing w:before="200" w:line-rule="auto"/>
        <w:ind w:firstLine="540"/>
        <w:jc w:val="both"/>
      </w:pPr>
      <w:r>
        <w:rPr>
          <w:sz w:val="20"/>
        </w:rPr>
        <w:t xml:space="preserve">Ограничение, предусмотренное абзацем вторым настоящего пункта, не применяется для заявителей, некапитальные гаражи которых расположены в местах, определенных схемой размещения, которая была утверждена в границах земельного участка, в отношении которого на 1 января 2025 года не был расторгнут договор аренды земельного участка, используемого для размещения гаражей, либо в местах, определенных схемой, сформированной под существующими некапитальными гаражами, не допускающей размещения новых некапитальных гаражей.</w:t>
      </w:r>
    </w:p>
    <w:p>
      <w:pPr>
        <w:pStyle w:val="0"/>
        <w:jc w:val="both"/>
      </w:pPr>
      <w:r>
        <w:rPr>
          <w:sz w:val="20"/>
        </w:rPr>
        <w:t xml:space="preserve">(абзац введен </w:t>
      </w:r>
      <w:hyperlink w:history="0" r:id="rId21" w:tooltip="Постановление Правительства Мурманской области от 05.03.2025 N 154-ПП &quot;О внесении изменений в Порядок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на территории Мурманской области&quot; {КонсультантПлюс}">
        <w:r>
          <w:rPr>
            <w:sz w:val="20"/>
            <w:color w:val="0000ff"/>
          </w:rPr>
          <w:t xml:space="preserve">Постановлением</w:t>
        </w:r>
      </w:hyperlink>
      <w:r>
        <w:rPr>
          <w:sz w:val="20"/>
        </w:rPr>
        <w:t xml:space="preserve"> Правительства Мурманской области от 05.03.2025 N 154-ПП)</w:t>
      </w:r>
    </w:p>
    <w:p>
      <w:pPr>
        <w:pStyle w:val="0"/>
        <w:spacing w:before="200" w:line-rule="auto"/>
        <w:ind w:firstLine="540"/>
        <w:jc w:val="both"/>
      </w:pPr>
      <w:r>
        <w:rPr>
          <w:sz w:val="20"/>
        </w:rPr>
        <w:t xml:space="preserve">17. Заявления о согласовании места размещения некапитального гаража либо стоянки средств передвижения инвалидов (далее - заявление) подаются или направляются заявителем либо его представителем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bookmarkStart w:id="104" w:name="P104"/>
    <w:bookmarkEnd w:id="104"/>
    <w:p>
      <w:pPr>
        <w:pStyle w:val="0"/>
        <w:spacing w:before="200" w:line-rule="auto"/>
        <w:ind w:firstLine="540"/>
        <w:jc w:val="both"/>
      </w:pPr>
      <w:r>
        <w:rPr>
          <w:sz w:val="20"/>
        </w:rPr>
        <w:t xml:space="preserve">18. В заявлении должны быть указаны:</w:t>
      </w:r>
    </w:p>
    <w:p>
      <w:pPr>
        <w:pStyle w:val="0"/>
        <w:spacing w:before="200" w:line-rule="auto"/>
        <w:ind w:firstLine="540"/>
        <w:jc w:val="both"/>
      </w:pPr>
      <w:r>
        <w:rPr>
          <w:sz w:val="20"/>
        </w:rPr>
        <w:t xml:space="preserve">1) фамилия, имя, отчество (при наличии), место жительства заявителя, реквизиты документа, удостоверяющего личность заявителя;</w:t>
      </w:r>
    </w:p>
    <w:p>
      <w:pPr>
        <w:pStyle w:val="0"/>
        <w:spacing w:before="200" w:line-rule="auto"/>
        <w:ind w:firstLine="540"/>
        <w:jc w:val="both"/>
      </w:pPr>
      <w:r>
        <w:rPr>
          <w:sz w:val="20"/>
        </w:rPr>
        <w:t xml:space="preserve">2) фамилия, имя, отчество (при наличии) представителя заявителя и реквизиты документа, подтверждающего его полномочия, в случае если заявление подается представителем заявителя;</w:t>
      </w:r>
    </w:p>
    <w:p>
      <w:pPr>
        <w:pStyle w:val="0"/>
        <w:spacing w:before="200" w:line-rule="auto"/>
        <w:ind w:firstLine="540"/>
        <w:jc w:val="both"/>
      </w:pPr>
      <w:r>
        <w:rPr>
          <w:sz w:val="20"/>
        </w:rPr>
        <w:t xml:space="preserve">3) почтовый адрес, адрес электронной почты, номер телефона для связи с заявителем или представителем заявителя;</w:t>
      </w:r>
    </w:p>
    <w:p>
      <w:pPr>
        <w:pStyle w:val="0"/>
        <w:spacing w:before="200" w:line-rule="auto"/>
        <w:ind w:firstLine="540"/>
        <w:jc w:val="both"/>
      </w:pPr>
      <w:r>
        <w:rPr>
          <w:sz w:val="20"/>
        </w:rPr>
        <w:t xml:space="preserve">4) принадлежность гражданина к категории граждан, обладающих правом на использование земельного участка для размещения некапитального гаража либо стоянки средств передвижения инвалидов вблизи их места жительства;</w:t>
      </w:r>
    </w:p>
    <w:p>
      <w:pPr>
        <w:pStyle w:val="0"/>
        <w:spacing w:before="200" w:line-rule="auto"/>
        <w:ind w:firstLine="540"/>
        <w:jc w:val="both"/>
      </w:pPr>
      <w:r>
        <w:rPr>
          <w:sz w:val="20"/>
        </w:rPr>
        <w:t xml:space="preserve">5) цель использования земель или земельного участка;</w:t>
      </w:r>
    </w:p>
    <w:p>
      <w:pPr>
        <w:pStyle w:val="0"/>
        <w:spacing w:before="200" w:line-rule="auto"/>
        <w:ind w:firstLine="540"/>
        <w:jc w:val="both"/>
      </w:pPr>
      <w:r>
        <w:rPr>
          <w:sz w:val="20"/>
        </w:rPr>
        <w:t xml:space="preserve">6) площадь земель или земельного участка;</w:t>
      </w:r>
    </w:p>
    <w:p>
      <w:pPr>
        <w:pStyle w:val="0"/>
        <w:spacing w:before="200" w:line-rule="auto"/>
        <w:ind w:firstLine="540"/>
        <w:jc w:val="both"/>
      </w:pPr>
      <w:r>
        <w:rPr>
          <w:sz w:val="20"/>
        </w:rPr>
        <w:t xml:space="preserve">7) кадастровый номер земельного участка либо кадастровый номер квартала (в случае если планируется размещение объекта за землях, кадастровый учет которых в установленном порядке не осуществлен);</w:t>
      </w:r>
    </w:p>
    <w:p>
      <w:pPr>
        <w:pStyle w:val="0"/>
        <w:spacing w:before="200" w:line-rule="auto"/>
        <w:ind w:firstLine="540"/>
        <w:jc w:val="both"/>
      </w:pPr>
      <w:r>
        <w:rPr>
          <w:sz w:val="20"/>
        </w:rPr>
        <w:t xml:space="preserve">8) срок использования земель, земельного участка, который не может превышать срок, на который утверждена схема размещения;</w:t>
      </w:r>
    </w:p>
    <w:p>
      <w:pPr>
        <w:pStyle w:val="0"/>
        <w:spacing w:before="200" w:line-rule="auto"/>
        <w:ind w:firstLine="540"/>
        <w:jc w:val="both"/>
      </w:pPr>
      <w:r>
        <w:rPr>
          <w:sz w:val="20"/>
        </w:rPr>
        <w:t xml:space="preserve">9) способ получения разрешения (заказным письмом либо посредством направления электронной почтой по адресу, указанному заявителем в заявлении, либо посредством выдачи на руки заявителю или представителю заявителя).</w:t>
      </w:r>
    </w:p>
    <w:p>
      <w:pPr>
        <w:pStyle w:val="0"/>
        <w:spacing w:before="200" w:line-rule="auto"/>
        <w:ind w:firstLine="540"/>
        <w:jc w:val="both"/>
      </w:pPr>
      <w:r>
        <w:rPr>
          <w:sz w:val="20"/>
        </w:rPr>
        <w:t xml:space="preserve">Заявление подписывается заявителем и (или) его представителем.</w:t>
      </w:r>
    </w:p>
    <w:bookmarkStart w:id="115" w:name="P115"/>
    <w:bookmarkEnd w:id="115"/>
    <w:p>
      <w:pPr>
        <w:pStyle w:val="0"/>
        <w:spacing w:before="200" w:line-rule="auto"/>
        <w:ind w:firstLine="540"/>
        <w:jc w:val="both"/>
      </w:pPr>
      <w:r>
        <w:rPr>
          <w:sz w:val="20"/>
        </w:rPr>
        <w:t xml:space="preserve">19. К заявлению прилагаются:</w:t>
      </w:r>
    </w:p>
    <w:p>
      <w:pPr>
        <w:pStyle w:val="0"/>
        <w:spacing w:before="200" w:line-rule="auto"/>
        <w:ind w:firstLine="540"/>
        <w:jc w:val="both"/>
      </w:pPr>
      <w:r>
        <w:rPr>
          <w:sz w:val="20"/>
        </w:rPr>
        <w:t xml:space="preserve">1) копия паспорта заявителя (при участии представителя - копия паспорта представителя заявителя, документ, подтверждающий полномочия представителя заявителя);</w:t>
      </w:r>
    </w:p>
    <w:p>
      <w:pPr>
        <w:pStyle w:val="0"/>
        <w:spacing w:before="200" w:line-rule="auto"/>
        <w:ind w:firstLine="540"/>
        <w:jc w:val="both"/>
      </w:pPr>
      <w:r>
        <w:rPr>
          <w:sz w:val="20"/>
        </w:rPr>
        <w:t xml:space="preserve">2) документы, подтверждающие возведение некапитального гаража либо предоставление мест для стоянок средств передвижения инвалидов до дня вступления в силу Федерального </w:t>
      </w:r>
      <w:hyperlink w:history="0" r:id="rId22"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05.04.2021 N 79-ФЗ "О внесении изменений в отдельные законодательные акты Российской Федерации", а также право владения заявителя некапитальным гаражом в случае, если заявление подается в отношении некапитальных гаражей либо стоянок средств передвижения инвалидов, указанных в </w:t>
      </w:r>
      <w:hyperlink w:history="0" w:anchor="P88" w:tooltip="13. Допускается разработка схемы в отношении некапитальных гаражей, возведенных до вступления в силу Федерального закона от 05.04.2021 N 79-ФЗ &quot;О внесении изменений в отдельные законодательные акты Российской Федерации&quot;, а также стоянок средств передвижения инвалидов, предоставленных им до вступления в силу Федерального закона от 05.04.2021 N 79-ФЗ &quot;О внесении изменений в отдельные законодательные акты Российской Федерации&quot;.">
        <w:r>
          <w:rPr>
            <w:sz w:val="20"/>
            <w:color w:val="0000ff"/>
          </w:rPr>
          <w:t xml:space="preserve">пункте 13</w:t>
        </w:r>
      </w:hyperlink>
      <w:r>
        <w:rPr>
          <w:sz w:val="20"/>
        </w:rPr>
        <w:t xml:space="preserve"> Порядка.</w:t>
      </w:r>
    </w:p>
    <w:p>
      <w:pPr>
        <w:pStyle w:val="0"/>
        <w:spacing w:before="200" w:line-rule="auto"/>
        <w:ind w:firstLine="540"/>
        <w:jc w:val="both"/>
      </w:pPr>
      <w:r>
        <w:rPr>
          <w:sz w:val="20"/>
        </w:rPr>
        <w:t xml:space="preserve">В случае если размещение объекта планируется в месте, определенном схемой, которая была утверждена с особенностями, предусмотренными </w:t>
      </w:r>
      <w:hyperlink w:history="0" w:anchor="P89" w:tooltip="Если разработка такой схемы осуществляется без включения в ее границы свободной от застройки территории (не учитывая проходы и проезды), позволяющей возводить гражданами новые объекты, утверждение схемы осуществляется без согласования с отраслевыми органами.">
        <w:r>
          <w:rPr>
            <w:sz w:val="20"/>
            <w:color w:val="0000ff"/>
          </w:rPr>
          <w:t xml:space="preserve">абзацами вторым</w:t>
        </w:r>
      </w:hyperlink>
      <w:r>
        <w:rPr>
          <w:sz w:val="20"/>
        </w:rPr>
        <w:t xml:space="preserve"> и </w:t>
      </w:r>
      <w:hyperlink w:history="0" w:anchor="P90" w:tooltip="Если объекты полностью расположены в границах земельного участка, в отношении которого на 1 января 2025 года не был расторгнут договор аренды земельного участка, предоставленного для размещения гаражей, разработка и утверждение схемы осуществляется без учета мероприятий, предусмотренных пунктами 5 - 9 настоящего Порядка.">
        <w:r>
          <w:rPr>
            <w:sz w:val="20"/>
            <w:color w:val="0000ff"/>
          </w:rPr>
          <w:t xml:space="preserve">третьим пункта 13</w:t>
        </w:r>
      </w:hyperlink>
      <w:r>
        <w:rPr>
          <w:sz w:val="20"/>
        </w:rPr>
        <w:t xml:space="preserve"> настоящего Порядка, при отсутствии документов, указанных в абзаце первом настоящего подпункта, таким документом может являться справка, выданная заявителю председателем гаражного кооператива или уполномоченным им лицом.</w:t>
      </w:r>
    </w:p>
    <w:p>
      <w:pPr>
        <w:pStyle w:val="0"/>
        <w:spacing w:before="200" w:line-rule="auto"/>
        <w:ind w:firstLine="540"/>
        <w:jc w:val="both"/>
      </w:pPr>
      <w:r>
        <w:rPr>
          <w:sz w:val="20"/>
        </w:rPr>
        <w:t xml:space="preserve">В такой справке должна содержаться информация о возведении некапитального гаража либо предоставлении места для стоянки средства передвижения инвалида до дня вступления в силу Федерального </w:t>
      </w:r>
      <w:hyperlink w:history="0" r:id="rId23"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05.04.2021 N 79-ФЗ "О внесении изменений в отдельные законодательные акты Российской Федерации", а также праве владения заявителя некапитальным гаражом.</w:t>
      </w:r>
    </w:p>
    <w:p>
      <w:pPr>
        <w:pStyle w:val="0"/>
        <w:jc w:val="both"/>
      </w:pPr>
      <w:r>
        <w:rPr>
          <w:sz w:val="20"/>
        </w:rPr>
        <w:t xml:space="preserve">(подп. 2 в ред. </w:t>
      </w:r>
      <w:hyperlink w:history="0" r:id="rId24" w:tooltip="Постановление Правительства Мурманской области от 05.03.2025 N 154-ПП &quot;О внесении изменений в Порядок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на территории Мурманской области&quot; {КонсультантПлюс}">
        <w:r>
          <w:rPr>
            <w:sz w:val="20"/>
            <w:color w:val="0000ff"/>
          </w:rPr>
          <w:t xml:space="preserve">Постановления</w:t>
        </w:r>
      </w:hyperlink>
      <w:r>
        <w:rPr>
          <w:sz w:val="20"/>
        </w:rPr>
        <w:t xml:space="preserve"> Правительства Мурманской области от 05.03.2025 N 154-ПП)</w:t>
      </w:r>
    </w:p>
    <w:p>
      <w:pPr>
        <w:pStyle w:val="0"/>
        <w:spacing w:before="200" w:line-rule="auto"/>
        <w:ind w:firstLine="540"/>
        <w:jc w:val="both"/>
      </w:pPr>
      <w:r>
        <w:rPr>
          <w:sz w:val="20"/>
        </w:rPr>
        <w:t xml:space="preserve">3)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с использованием системы координат, применяемой при ведении Единого государственного реестра недвижимости, которая содержит расположение существующих инженерных сетей, охранных и иных зон с особыми условиями использования территорий (при их наличии) (далее - схема расположения земельного участка);</w:t>
      </w:r>
    </w:p>
    <w:p>
      <w:pPr>
        <w:pStyle w:val="0"/>
        <w:spacing w:before="200" w:line-rule="auto"/>
        <w:ind w:firstLine="540"/>
        <w:jc w:val="both"/>
      </w:pPr>
      <w:r>
        <w:rPr>
          <w:sz w:val="20"/>
        </w:rPr>
        <w:t xml:space="preserve">4) документ, подтверждающий наличие транспортного средства, зарегистрированного на имя заявителя (если испрашивается земельный участок для размещения некапитального гаража), кроме случая возведения некапитального гаража либо предоставления места для стоянки средства передвижения инвалида до дня вступления в силу Федерального </w:t>
      </w:r>
      <w:hyperlink w:history="0" r:id="rId25"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05.04.2021 N 79-ФЗ "О внесении изменений в отдельные законодательные акты Российской Федерации";</w:t>
      </w:r>
    </w:p>
    <w:p>
      <w:pPr>
        <w:pStyle w:val="0"/>
        <w:jc w:val="both"/>
      </w:pPr>
      <w:r>
        <w:rPr>
          <w:sz w:val="20"/>
        </w:rPr>
        <w:t xml:space="preserve">(в ред. </w:t>
      </w:r>
      <w:hyperlink w:history="0" r:id="rId26" w:tooltip="Постановление Правительства Мурманской области от 05.03.2025 N 154-ПП &quot;О внесении изменений в Порядок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на территории Мурманской области&quot; {КонсультантПлюс}">
        <w:r>
          <w:rPr>
            <w:sz w:val="20"/>
            <w:color w:val="0000ff"/>
          </w:rPr>
          <w:t xml:space="preserve">Постановления</w:t>
        </w:r>
      </w:hyperlink>
      <w:r>
        <w:rPr>
          <w:sz w:val="20"/>
        </w:rPr>
        <w:t xml:space="preserve"> Правительства Мурманской области от 05.03.2025 N 154-ПП)</w:t>
      </w:r>
    </w:p>
    <w:p>
      <w:pPr>
        <w:pStyle w:val="0"/>
        <w:spacing w:before="200" w:line-rule="auto"/>
        <w:ind w:firstLine="540"/>
        <w:jc w:val="both"/>
      </w:pPr>
      <w:r>
        <w:rPr>
          <w:sz w:val="20"/>
        </w:rPr>
        <w:t xml:space="preserve">5) копия справки об инвалидности (если испрашивается земельный участок для стоянки средств передвижения инвалидов).</w:t>
      </w:r>
    </w:p>
    <w:p>
      <w:pPr>
        <w:pStyle w:val="0"/>
        <w:spacing w:before="200" w:line-rule="auto"/>
        <w:ind w:firstLine="540"/>
        <w:jc w:val="both"/>
      </w:pPr>
      <w:r>
        <w:rPr>
          <w:sz w:val="20"/>
        </w:rPr>
        <w:t xml:space="preserve">Если копия справки об инвалидности не представлена гражданином по собственной инициативе, возврат заявления по мотиву некомплектности приложения не допускается. Уполномоченный орган в порядке межведомственного взаимодействия запрашивает сведения, подтверждающие факт инвалидности заявителя, в Пенсионном фонде Российской Федерации.</w:t>
      </w:r>
    </w:p>
    <w:bookmarkStart w:id="126" w:name="P126"/>
    <w:bookmarkEnd w:id="126"/>
    <w:p>
      <w:pPr>
        <w:pStyle w:val="0"/>
        <w:spacing w:before="200" w:line-rule="auto"/>
        <w:ind w:firstLine="540"/>
        <w:jc w:val="both"/>
      </w:pPr>
      <w:r>
        <w:rPr>
          <w:sz w:val="20"/>
        </w:rPr>
        <w:t xml:space="preserve">20. Рассмотрение заявлений осуществляется уполномоченным органом в порядке их поступления в течение 30 дней со дня регистрации. В случае поступления в уполномоченный орган в один день нескольких заявлений их рассмотрение осуществляется в порядке очередности: исходя из даты приема почтового отправления оператором почтовой связи (при поступлении по почте) либо фактического приема (при личном обращении).</w:t>
      </w:r>
    </w:p>
    <w:p>
      <w:pPr>
        <w:pStyle w:val="0"/>
        <w:spacing w:before="200" w:line-rule="auto"/>
        <w:ind w:firstLine="540"/>
        <w:jc w:val="both"/>
      </w:pPr>
      <w:r>
        <w:rPr>
          <w:sz w:val="20"/>
        </w:rPr>
        <w:t xml:space="preserve">При поступлении нескольких заявлений в отношении одного земельного участка лицо, обратившееся первым, определяется исходя из установленной </w:t>
      </w:r>
      <w:hyperlink w:history="0" w:anchor="P126" w:tooltip="20. Рассмотрение заявлений осуществляется уполномоченным органом в порядке их поступления в течение 30 дней со дня регистрации. В случае поступления в уполномоченный орган в один день нескольких заявлений их рассмотрение осуществляется в порядке очередности: исходя из даты приема почтового отправления оператором почтовой связи (при поступлении по почте) либо фактического приема (при личном обращении).">
        <w:r>
          <w:rPr>
            <w:sz w:val="20"/>
            <w:color w:val="0000ff"/>
          </w:rPr>
          <w:t xml:space="preserve">абзацем первым</w:t>
        </w:r>
      </w:hyperlink>
      <w:r>
        <w:rPr>
          <w:sz w:val="20"/>
        </w:rPr>
        <w:t xml:space="preserve"> настоящего пункта очередности.</w:t>
      </w:r>
    </w:p>
    <w:p>
      <w:pPr>
        <w:pStyle w:val="0"/>
        <w:spacing w:before="200" w:line-rule="auto"/>
        <w:ind w:firstLine="540"/>
        <w:jc w:val="both"/>
      </w:pPr>
      <w:r>
        <w:rPr>
          <w:sz w:val="20"/>
        </w:rPr>
        <w:t xml:space="preserve">В случае если на дату поступления заявления в уполномоченный орган на рассмотрении такого органа находится представленное ранее другим гражданином заявление, испрашиваемое место для размещения некапитального гаража либо для стоянки средств передвижения инвалидов в которых частично или полностью совпадают, уполномоченный орган принимает решение о приостановлении срока рассмотрения поданного позднее заявления и в течение трех рабочих дней со дня принятия решения о приостановлении направляет его заявителю.</w:t>
      </w:r>
    </w:p>
    <w:p>
      <w:pPr>
        <w:pStyle w:val="0"/>
        <w:spacing w:before="200" w:line-rule="auto"/>
        <w:ind w:firstLine="540"/>
        <w:jc w:val="both"/>
      </w:pPr>
      <w:r>
        <w:rPr>
          <w:sz w:val="20"/>
        </w:rPr>
        <w:t xml:space="preserve">Срок рассмотрения поданного позднее заявления приостанавливается до принятия решения по ранее поступившему заявлению, о чем уведомляется заявитель.</w:t>
      </w:r>
    </w:p>
    <w:p>
      <w:pPr>
        <w:pStyle w:val="0"/>
        <w:spacing w:before="200" w:line-rule="auto"/>
        <w:ind w:firstLine="540"/>
        <w:jc w:val="both"/>
      </w:pPr>
      <w:r>
        <w:rPr>
          <w:sz w:val="20"/>
        </w:rPr>
        <w:t xml:space="preserve">21. Разрешение должно содержать:</w:t>
      </w:r>
    </w:p>
    <w:p>
      <w:pPr>
        <w:pStyle w:val="0"/>
        <w:spacing w:before="200" w:line-rule="auto"/>
        <w:ind w:firstLine="540"/>
        <w:jc w:val="both"/>
      </w:pPr>
      <w:r>
        <w:rPr>
          <w:sz w:val="20"/>
        </w:rPr>
        <w:t xml:space="preserve">1) указание на лицо, в отношении которого принято разрешение;</w:t>
      </w:r>
    </w:p>
    <w:p>
      <w:pPr>
        <w:pStyle w:val="0"/>
        <w:spacing w:before="200" w:line-rule="auto"/>
        <w:ind w:firstLine="540"/>
        <w:jc w:val="both"/>
      </w:pPr>
      <w:r>
        <w:rPr>
          <w:sz w:val="20"/>
        </w:rPr>
        <w:t xml:space="preserve">2) вид объекта, который планируется разместить;</w:t>
      </w:r>
    </w:p>
    <w:p>
      <w:pPr>
        <w:pStyle w:val="0"/>
        <w:spacing w:before="200" w:line-rule="auto"/>
        <w:ind w:firstLine="540"/>
        <w:jc w:val="both"/>
      </w:pPr>
      <w:r>
        <w:rPr>
          <w:sz w:val="20"/>
        </w:rPr>
        <w:t xml:space="preserve">3) описание места размещения некапитального гаража либо стоянки средств передвижения инвалидов;</w:t>
      </w:r>
    </w:p>
    <w:p>
      <w:pPr>
        <w:pStyle w:val="0"/>
        <w:spacing w:before="200" w:line-rule="auto"/>
        <w:ind w:firstLine="540"/>
        <w:jc w:val="both"/>
      </w:pPr>
      <w:r>
        <w:rPr>
          <w:sz w:val="20"/>
        </w:rPr>
        <w:t xml:space="preserve">4) срок действия разрешения в соответствии со сроком, установленным </w:t>
      </w:r>
      <w:hyperlink w:history="0" w:anchor="P47" w:tooltip="3. В соответствии с разграничением полномочий и административно-территориальным устройством Мурманской области схема размещения разрабатывается органом местного самоуправления (далее - уполномоченный орган):">
        <w:r>
          <w:rPr>
            <w:sz w:val="20"/>
            <w:color w:val="0000ff"/>
          </w:rPr>
          <w:t xml:space="preserve">пунктом 3</w:t>
        </w:r>
      </w:hyperlink>
      <w:r>
        <w:rPr>
          <w:sz w:val="20"/>
        </w:rPr>
        <w:t xml:space="preserve"> Порядка;</w:t>
      </w:r>
    </w:p>
    <w:p>
      <w:pPr>
        <w:pStyle w:val="0"/>
        <w:spacing w:before="200" w:line-rule="auto"/>
        <w:ind w:firstLine="540"/>
        <w:jc w:val="both"/>
      </w:pPr>
      <w:r>
        <w:rPr>
          <w:sz w:val="20"/>
        </w:rPr>
        <w:t xml:space="preserve">5) условия пользования землей, земельным участком, предусмотренные нормативными правовыми актами муниципального образования, в том числе в сфере благоустройства;</w:t>
      </w:r>
    </w:p>
    <w:p>
      <w:pPr>
        <w:pStyle w:val="0"/>
        <w:spacing w:before="200" w:line-rule="auto"/>
        <w:ind w:firstLine="540"/>
        <w:jc w:val="both"/>
      </w:pPr>
      <w:r>
        <w:rPr>
          <w:sz w:val="20"/>
        </w:rPr>
        <w:t xml:space="preserve">6) указание на возможность досрочного прекращения действия разрешения по основаниям, предусмотренным </w:t>
      </w:r>
      <w:hyperlink w:history="0" w:anchor="P149" w:tooltip="24. В выдаче разрешения отказывается в следующих случаях:">
        <w:r>
          <w:rPr>
            <w:sz w:val="20"/>
            <w:color w:val="0000ff"/>
          </w:rPr>
          <w:t xml:space="preserve">пунктом 24</w:t>
        </w:r>
      </w:hyperlink>
      <w:r>
        <w:rPr>
          <w:sz w:val="20"/>
        </w:rPr>
        <w:t xml:space="preserve"> Порядка;</w:t>
      </w:r>
    </w:p>
    <w:p>
      <w:pPr>
        <w:pStyle w:val="0"/>
        <w:spacing w:before="200" w:line-rule="auto"/>
        <w:ind w:firstLine="540"/>
        <w:jc w:val="both"/>
      </w:pPr>
      <w:r>
        <w:rPr>
          <w:sz w:val="20"/>
        </w:rPr>
        <w:t xml:space="preserve">7) плату за использование земли, земельного участка, порядок и условия ее внесения;</w:t>
      </w:r>
    </w:p>
    <w:p>
      <w:pPr>
        <w:pStyle w:val="0"/>
        <w:spacing w:before="200" w:line-rule="auto"/>
        <w:ind w:firstLine="540"/>
        <w:jc w:val="both"/>
      </w:pPr>
      <w:r>
        <w:rPr>
          <w:sz w:val="20"/>
        </w:rPr>
        <w:t xml:space="preserve">8) указание на демонтаж некапитального гаража либо стоянки средства передвижения инвалидов по окончании срока действия разрешения.</w:t>
      </w:r>
    </w:p>
    <w:p>
      <w:pPr>
        <w:pStyle w:val="0"/>
        <w:spacing w:before="200" w:line-rule="auto"/>
        <w:ind w:firstLine="540"/>
        <w:jc w:val="both"/>
      </w:pPr>
      <w:r>
        <w:rPr>
          <w:sz w:val="20"/>
        </w:rPr>
        <w:t xml:space="preserve">При выдаче разрешения в местах, определенных схемой, которая была утверждена с особенностями, предусмотренными </w:t>
      </w:r>
      <w:hyperlink w:history="0" w:anchor="P89" w:tooltip="Если разработка такой схемы осуществляется без включения в ее границы свободной от застройки территории (не учитывая проходы и проезды), позволяющей возводить гражданами новые объекты, утверждение схемы осуществляется без согласования с отраслевыми органами.">
        <w:r>
          <w:rPr>
            <w:sz w:val="20"/>
            <w:color w:val="0000ff"/>
          </w:rPr>
          <w:t xml:space="preserve">абзацем вторым</w:t>
        </w:r>
      </w:hyperlink>
      <w:r>
        <w:rPr>
          <w:sz w:val="20"/>
        </w:rPr>
        <w:t xml:space="preserve"> и </w:t>
      </w:r>
      <w:hyperlink w:history="0" w:anchor="P90" w:tooltip="Если объекты полностью расположены в границах земельного участка, в отношении которого на 1 января 2025 года не был расторгнут договор аренды земельного участка, предоставленного для размещения гаражей, разработка и утверждение схемы осуществляется без учета мероприятий, предусмотренных пунктами 5 - 9 настоящего Порядка.">
        <w:r>
          <w:rPr>
            <w:sz w:val="20"/>
            <w:color w:val="0000ff"/>
          </w:rPr>
          <w:t xml:space="preserve">третьим пункта 13</w:t>
        </w:r>
      </w:hyperlink>
      <w:r>
        <w:rPr>
          <w:sz w:val="20"/>
        </w:rPr>
        <w:t xml:space="preserve"> настоящего Порядка, разрешение также должно содержать информацию о том, что согласование схемы с отраслевыми органами не проводилось, а также указание на необходимость обеспечения доступа в помещение некапитального гаража либо на стоянку средств передвижения инвалидов эксплуатационных служб и организаций аварийно-ремонтных работ для производства ремонтных работ инженерных коммуникаций.</w:t>
      </w:r>
    </w:p>
    <w:p>
      <w:pPr>
        <w:pStyle w:val="0"/>
        <w:jc w:val="both"/>
      </w:pPr>
      <w:r>
        <w:rPr>
          <w:sz w:val="20"/>
        </w:rPr>
        <w:t xml:space="preserve">(абзац введен </w:t>
      </w:r>
      <w:hyperlink w:history="0" r:id="rId27" w:tooltip="Постановление Правительства Мурманской области от 05.03.2025 N 154-ПП &quot;О внесении изменений в Порядок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на территории Мурманской области&quot; {КонсультантПлюс}">
        <w:r>
          <w:rPr>
            <w:sz w:val="20"/>
            <w:color w:val="0000ff"/>
          </w:rPr>
          <w:t xml:space="preserve">Постановлением</w:t>
        </w:r>
      </w:hyperlink>
      <w:r>
        <w:rPr>
          <w:sz w:val="20"/>
        </w:rPr>
        <w:t xml:space="preserve"> Правительства Мурманской области от 05.03.2025 N 154-ПП)</w:t>
      </w:r>
    </w:p>
    <w:p>
      <w:pPr>
        <w:pStyle w:val="0"/>
        <w:spacing w:before="200" w:line-rule="auto"/>
        <w:ind w:firstLine="540"/>
        <w:jc w:val="both"/>
      </w:pPr>
      <w:r>
        <w:rPr>
          <w:sz w:val="20"/>
        </w:rPr>
        <w:t xml:space="preserve">22. В течение 3 рабочих дней со дня принятия разрешения уполномоченный орган направляет копию этого разрешения:</w:t>
      </w:r>
    </w:p>
    <w:p>
      <w:pPr>
        <w:pStyle w:val="0"/>
        <w:spacing w:before="200" w:line-rule="auto"/>
        <w:ind w:firstLine="540"/>
        <w:jc w:val="both"/>
      </w:pPr>
      <w:r>
        <w:rPr>
          <w:sz w:val="20"/>
        </w:rPr>
        <w:t xml:space="preserve">а) заявителю;</w:t>
      </w:r>
    </w:p>
    <w:p>
      <w:pPr>
        <w:pStyle w:val="0"/>
        <w:spacing w:before="200" w:line-rule="auto"/>
        <w:ind w:firstLine="540"/>
        <w:jc w:val="both"/>
      </w:pPr>
      <w:r>
        <w:rPr>
          <w:sz w:val="20"/>
        </w:rPr>
        <w:t xml:space="preserve">б) в орган, уполномоченный на осуществление государственного земельного контроля (надзора);</w:t>
      </w:r>
    </w:p>
    <w:p>
      <w:pPr>
        <w:pStyle w:val="0"/>
        <w:spacing w:before="200" w:line-rule="auto"/>
        <w:ind w:firstLine="540"/>
        <w:jc w:val="both"/>
      </w:pPr>
      <w:r>
        <w:rPr>
          <w:sz w:val="20"/>
        </w:rPr>
        <w:t xml:space="preserve">в) в Министерство имущественных отношений Мурманской области (в случае принятия разрешения о размещении объектов на земельных участках, находящихся в государственной собственности Мурманской области, землях, земельных участках, государственная собственность на которые не разграничена);</w:t>
      </w:r>
    </w:p>
    <w:p>
      <w:pPr>
        <w:pStyle w:val="0"/>
        <w:spacing w:before="200" w:line-rule="auto"/>
        <w:ind w:firstLine="540"/>
        <w:jc w:val="both"/>
      </w:pPr>
      <w:r>
        <w:rPr>
          <w:sz w:val="20"/>
        </w:rPr>
        <w:t xml:space="preserve">г) в уполномоченный федеральный орган исполнительной власти (в случае принятия разрешения о размещении объектов на земельных участках, находящихся в федеральной собственности).</w:t>
      </w:r>
    </w:p>
    <w:bookmarkStart w:id="146" w:name="P146"/>
    <w:bookmarkEnd w:id="146"/>
    <w:p>
      <w:pPr>
        <w:pStyle w:val="0"/>
        <w:spacing w:before="200" w:line-rule="auto"/>
        <w:ind w:firstLine="540"/>
        <w:jc w:val="both"/>
      </w:pPr>
      <w:r>
        <w:rPr>
          <w:sz w:val="20"/>
        </w:rPr>
        <w:t xml:space="preserve">23. Разрешение выдается на срок, указанный в заявлении. При этом срок действия разрешения не может превышать срок, на который утверждена схема размещения.</w:t>
      </w:r>
    </w:p>
    <w:p>
      <w:pPr>
        <w:pStyle w:val="0"/>
        <w:spacing w:before="200" w:line-rule="auto"/>
        <w:ind w:firstLine="540"/>
        <w:jc w:val="both"/>
      </w:pPr>
      <w:r>
        <w:rPr>
          <w:sz w:val="20"/>
        </w:rPr>
        <w:t xml:space="preserve">По истечении срока действия разрешения гражданин, надлежащим образом исполнявший свои обязанности по использованию земельного участка для размещения некапитального гаража либо для стоянки средства передвижения инвалидов, имеет при прочих равных условиях преимущественное право перед другими гражданами на размещение некапитального гаража либо стоянки средства передвижения инвалида на новый срок.</w:t>
      </w:r>
    </w:p>
    <w:p>
      <w:pPr>
        <w:pStyle w:val="0"/>
        <w:spacing w:before="200" w:line-rule="auto"/>
        <w:ind w:firstLine="540"/>
        <w:jc w:val="both"/>
      </w:pPr>
      <w:r>
        <w:rPr>
          <w:sz w:val="20"/>
        </w:rPr>
        <w:t xml:space="preserve">Гражданин обязан письменно уведомить уполномоченный орган о желании получить разрешение на новый срок за 30 календарных дней до окончания действия разрешения.</w:t>
      </w:r>
    </w:p>
    <w:bookmarkStart w:id="149" w:name="P149"/>
    <w:bookmarkEnd w:id="149"/>
    <w:p>
      <w:pPr>
        <w:pStyle w:val="0"/>
        <w:spacing w:before="200" w:line-rule="auto"/>
        <w:ind w:firstLine="540"/>
        <w:jc w:val="both"/>
      </w:pPr>
      <w:r>
        <w:rPr>
          <w:sz w:val="20"/>
        </w:rPr>
        <w:t xml:space="preserve">24. В выдаче разрешения отказывается в следующих случаях:</w:t>
      </w:r>
    </w:p>
    <w:p>
      <w:pPr>
        <w:pStyle w:val="0"/>
        <w:spacing w:before="200" w:line-rule="auto"/>
        <w:ind w:firstLine="540"/>
        <w:jc w:val="both"/>
      </w:pPr>
      <w:r>
        <w:rPr>
          <w:sz w:val="20"/>
        </w:rPr>
        <w:t xml:space="preserve">1) заявление и прилагаемые документы к нему не соответствуют требованиям, установленным </w:t>
      </w:r>
      <w:hyperlink w:history="0" w:anchor="P104" w:tooltip="18. В заявлении должны быть указаны:">
        <w:r>
          <w:rPr>
            <w:sz w:val="20"/>
            <w:color w:val="0000ff"/>
          </w:rPr>
          <w:t xml:space="preserve">пунктами 18</w:t>
        </w:r>
      </w:hyperlink>
      <w:r>
        <w:rPr>
          <w:sz w:val="20"/>
        </w:rPr>
        <w:t xml:space="preserve"> - </w:t>
      </w:r>
      <w:hyperlink w:history="0" w:anchor="P115" w:tooltip="19. К заявлению прилагаются:">
        <w:r>
          <w:rPr>
            <w:sz w:val="20"/>
            <w:color w:val="0000ff"/>
          </w:rPr>
          <w:t xml:space="preserve">19</w:t>
        </w:r>
      </w:hyperlink>
      <w:r>
        <w:rPr>
          <w:sz w:val="20"/>
        </w:rPr>
        <w:t xml:space="preserve"> Порядка (за исключением справки об инвалидности);</w:t>
      </w:r>
    </w:p>
    <w:p>
      <w:pPr>
        <w:pStyle w:val="0"/>
        <w:spacing w:before="200" w:line-rule="auto"/>
        <w:ind w:firstLine="540"/>
        <w:jc w:val="both"/>
      </w:pPr>
      <w:r>
        <w:rPr>
          <w:sz w:val="20"/>
        </w:rPr>
        <w:t xml:space="preserve">2) сведения об инвалидности заявителя не подтвердились либо истек срок, на который она была установлена;</w:t>
      </w:r>
    </w:p>
    <w:p>
      <w:pPr>
        <w:pStyle w:val="0"/>
        <w:spacing w:before="200" w:line-rule="auto"/>
        <w:ind w:firstLine="540"/>
        <w:jc w:val="both"/>
      </w:pPr>
      <w:r>
        <w:rPr>
          <w:sz w:val="20"/>
        </w:rPr>
        <w:t xml:space="preserve">3) в заявлении указан вид объекта, не предусмотренный </w:t>
      </w:r>
      <w:hyperlink w:history="0" r:id="rId28" w:tooltip="&quot;Земельный кодекс Российской Федерации&quot; от 25.10.2001 N 136-ФЗ (ред. от 31.07.2025) (с изм. и доп., вступ. в силу с 11.08.2025) {КонсультантПлюс}">
        <w:r>
          <w:rPr>
            <w:sz w:val="20"/>
            <w:color w:val="0000ff"/>
          </w:rPr>
          <w:t xml:space="preserve">статьей 39.36-1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4) некапитальный гараж либо стоянка средств передвижения инвалидов не предусмотрены схемой размещения;</w:t>
      </w:r>
    </w:p>
    <w:p>
      <w:pPr>
        <w:pStyle w:val="0"/>
        <w:spacing w:before="200" w:line-rule="auto"/>
        <w:ind w:firstLine="540"/>
        <w:jc w:val="both"/>
      </w:pPr>
      <w:r>
        <w:rPr>
          <w:sz w:val="20"/>
        </w:rPr>
        <w:t xml:space="preserve">5) в случаях, предусмотренных </w:t>
      </w:r>
      <w:hyperlink w:history="0" w:anchor="P146" w:tooltip="23. Разрешение выдается на срок, указанный в заявлении. При этом срок действия разрешения не может превышать срок, на который утверждена схема размещения.">
        <w:r>
          <w:rPr>
            <w:sz w:val="20"/>
            <w:color w:val="0000ff"/>
          </w:rPr>
          <w:t xml:space="preserve">пунктами 23</w:t>
        </w:r>
      </w:hyperlink>
      <w:r>
        <w:rPr>
          <w:sz w:val="20"/>
        </w:rPr>
        <w:t xml:space="preserve">, </w:t>
      </w:r>
      <w:hyperlink w:history="0" w:anchor="P165" w:tooltip="28. Преимущественное право на использование земельных участков для размещения некапитальных гаражей либо для стоянки средства передвижения инвалидов имеют граждане, использующие земельные участки по заключенным договорам аренды земельных участков, предоставленных для размещения некапитальных гаражей, стоянки средств передвижения инвалидов, заключенных до дня вступления в силу Федерального закона от 05.04.2021 N 79-ФЗ &quot;О внесении изменений в отдельные законодательные акты Российской Федерации&quot;.">
        <w:r>
          <w:rPr>
            <w:sz w:val="20"/>
            <w:color w:val="0000ff"/>
          </w:rPr>
          <w:t xml:space="preserve">28</w:t>
        </w:r>
      </w:hyperlink>
      <w:r>
        <w:rPr>
          <w:sz w:val="20"/>
        </w:rPr>
        <w:t xml:space="preserve"> Порядка.</w:t>
      </w:r>
    </w:p>
    <w:p>
      <w:pPr>
        <w:pStyle w:val="0"/>
        <w:spacing w:before="200" w:line-rule="auto"/>
        <w:ind w:firstLine="540"/>
        <w:jc w:val="both"/>
      </w:pPr>
      <w:r>
        <w:rPr>
          <w:sz w:val="20"/>
        </w:rPr>
        <w:t xml:space="preserve">25. Действие разрешения прекращается по основаниям, указанным в </w:t>
      </w:r>
      <w:hyperlink w:history="0" w:anchor="P65" w:tooltip="7. Земельные участки не подлежат включению в схему размещения в случаях, если:">
        <w:r>
          <w:rPr>
            <w:sz w:val="20"/>
            <w:color w:val="0000ff"/>
          </w:rPr>
          <w:t xml:space="preserve">пунктах 7</w:t>
        </w:r>
      </w:hyperlink>
      <w:r>
        <w:rPr>
          <w:sz w:val="20"/>
        </w:rPr>
        <w:t xml:space="preserve">, </w:t>
      </w:r>
      <w:hyperlink w:history="0" w:anchor="P93" w:tooltip="14. Исключение из схемы размещения некапитальных гаражей либо стоянок средств передвижения инвалидов осуществляется по основаниям, указанным в пункте 7 Порядка, в том числе в следующих случаях:">
        <w:r>
          <w:rPr>
            <w:sz w:val="20"/>
            <w:color w:val="0000ff"/>
          </w:rPr>
          <w:t xml:space="preserve">14</w:t>
        </w:r>
      </w:hyperlink>
      <w:r>
        <w:rPr>
          <w:sz w:val="20"/>
        </w:rPr>
        <w:t xml:space="preserve"> Порядка, в том числе в следующих случаях:</w:t>
      </w:r>
    </w:p>
    <w:p>
      <w:pPr>
        <w:pStyle w:val="0"/>
        <w:spacing w:before="200" w:line-rule="auto"/>
        <w:ind w:firstLine="540"/>
        <w:jc w:val="both"/>
      </w:pPr>
      <w:r>
        <w:rPr>
          <w:sz w:val="20"/>
        </w:rPr>
        <w:t xml:space="preserve">1) истечение срока действия разрешения, за исключением случая, указанного в </w:t>
      </w:r>
      <w:hyperlink w:history="0" w:anchor="P146" w:tooltip="23. Разрешение выдается на срок, указанный в заявлении. При этом срок действия разрешения не может превышать срок, на который утверждена схема размещения.">
        <w:r>
          <w:rPr>
            <w:sz w:val="20"/>
            <w:color w:val="0000ff"/>
          </w:rPr>
          <w:t xml:space="preserve">пункте 23</w:t>
        </w:r>
      </w:hyperlink>
      <w:r>
        <w:rPr>
          <w:sz w:val="20"/>
        </w:rPr>
        <w:t xml:space="preserve"> Порядка;</w:t>
      </w:r>
    </w:p>
    <w:p>
      <w:pPr>
        <w:pStyle w:val="0"/>
        <w:spacing w:before="200" w:line-rule="auto"/>
        <w:ind w:firstLine="540"/>
        <w:jc w:val="both"/>
      </w:pPr>
      <w:r>
        <w:rPr>
          <w:sz w:val="20"/>
        </w:rPr>
        <w:t xml:space="preserve">2) поступление в уполномоченный орган от лица, которому выдано разрешение, заявления о досрочном прекращении действия такого разрешения;</w:t>
      </w:r>
    </w:p>
    <w:p>
      <w:pPr>
        <w:pStyle w:val="0"/>
        <w:spacing w:before="200" w:line-rule="auto"/>
        <w:ind w:firstLine="540"/>
        <w:jc w:val="both"/>
      </w:pPr>
      <w:r>
        <w:rPr>
          <w:sz w:val="20"/>
        </w:rPr>
        <w:t xml:space="preserve">3) наличие задолженности по внесению платы за использование земельного участка, на котором размещен некапитальный гараж, в течение 3 месяцев со дня истечения срока, установленного для оплаты в порядке, определенном разрешением;</w:t>
      </w:r>
    </w:p>
    <w:p>
      <w:pPr>
        <w:pStyle w:val="0"/>
        <w:spacing w:before="200" w:line-rule="auto"/>
        <w:ind w:firstLine="540"/>
        <w:jc w:val="both"/>
      </w:pPr>
      <w:r>
        <w:rPr>
          <w:sz w:val="20"/>
        </w:rPr>
        <w:t xml:space="preserve">4) размещение на земельном участке объекта, не предусмотренного разрешением;</w:t>
      </w:r>
    </w:p>
    <w:p>
      <w:pPr>
        <w:pStyle w:val="0"/>
        <w:spacing w:before="200" w:line-rule="auto"/>
        <w:ind w:firstLine="540"/>
        <w:jc w:val="both"/>
      </w:pPr>
      <w:r>
        <w:rPr>
          <w:sz w:val="20"/>
        </w:rPr>
        <w:t xml:space="preserve">5) земельный участок, на котором размещен некапитальный гараж либо стоянка средств передвижения инвалидов, передан в пользование третьим лицам, либо некапитальный гараж или стоянка средств передвижения инвалидов используется не в соответствии с разрешением;</w:t>
      </w:r>
    </w:p>
    <w:p>
      <w:pPr>
        <w:pStyle w:val="0"/>
        <w:spacing w:before="200" w:line-rule="auto"/>
        <w:ind w:firstLine="540"/>
        <w:jc w:val="both"/>
      </w:pPr>
      <w:r>
        <w:rPr>
          <w:sz w:val="20"/>
        </w:rPr>
        <w:t xml:space="preserve">6) гражданин (гражданин-инвалид) претендует на получение более одного места для размещения одного и того же объекта при условии, что срок действия разрешения на используемый объект не истек, кроме случая возведения некапитального гаража либо предоставления места для стоянки средства передвижения инвалида до дня вступления в силу Федерального </w:t>
      </w:r>
      <w:hyperlink w:history="0" r:id="rId29"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05.04.2021 N 79-ФЗ "О внесении изменений в отдельные законодательные акты Российской Федерации".</w:t>
      </w:r>
    </w:p>
    <w:p>
      <w:pPr>
        <w:pStyle w:val="0"/>
        <w:jc w:val="both"/>
      </w:pPr>
      <w:r>
        <w:rPr>
          <w:sz w:val="20"/>
        </w:rPr>
        <w:t xml:space="preserve">(в ред. </w:t>
      </w:r>
      <w:hyperlink w:history="0" r:id="rId30" w:tooltip="Постановление Правительства Мурманской области от 05.03.2025 N 154-ПП &quot;О внесении изменений в Порядок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на территории Мурманской области&quot; {КонсультантПлюс}">
        <w:r>
          <w:rPr>
            <w:sz w:val="20"/>
            <w:color w:val="0000ff"/>
          </w:rPr>
          <w:t xml:space="preserve">Постановления</w:t>
        </w:r>
      </w:hyperlink>
      <w:r>
        <w:rPr>
          <w:sz w:val="20"/>
        </w:rPr>
        <w:t xml:space="preserve"> Правительства Мурманской области от 05.03.2025 N 154-ПП)</w:t>
      </w:r>
    </w:p>
    <w:p>
      <w:pPr>
        <w:pStyle w:val="0"/>
        <w:spacing w:before="200" w:line-rule="auto"/>
        <w:ind w:firstLine="540"/>
        <w:jc w:val="both"/>
      </w:pPr>
      <w:r>
        <w:rPr>
          <w:sz w:val="20"/>
        </w:rPr>
        <w:t xml:space="preserve">26. В случае демонтажа некапитального гаража либо стоянки средства передвижения инвалидов гражданин, получивший разрешение, обязан сообщить об этом в уполномоченный орган в течение 10 календарных дней с момента его демонтажа.</w:t>
      </w:r>
    </w:p>
    <w:p>
      <w:pPr>
        <w:pStyle w:val="0"/>
        <w:spacing w:before="200" w:line-rule="auto"/>
        <w:ind w:firstLine="540"/>
        <w:jc w:val="both"/>
      </w:pPr>
      <w:r>
        <w:rPr>
          <w:sz w:val="20"/>
        </w:rPr>
        <w:t xml:space="preserve">27. В случае, если при размещении некапитального гаража либо стоянки средства передвижения инвалидов необходимы работы, связанные с разрытием грунта или вскрытием дорожных покрытий, то они осуществляются в соответствии с муниципальным правовым актом по вопросам благоустройства территории.</w:t>
      </w:r>
    </w:p>
    <w:bookmarkStart w:id="165" w:name="P165"/>
    <w:bookmarkEnd w:id="165"/>
    <w:p>
      <w:pPr>
        <w:pStyle w:val="0"/>
        <w:spacing w:before="200" w:line-rule="auto"/>
        <w:ind w:firstLine="540"/>
        <w:jc w:val="both"/>
      </w:pPr>
      <w:r>
        <w:rPr>
          <w:sz w:val="20"/>
        </w:rPr>
        <w:t xml:space="preserve">28. Преимущественное право на использование земельных участков для размещения некапитальных гаражей либо для стоянки средства передвижения инвалидов имеют граждане, использующие земельные участки по заключенным договорам аренды земельных участков, предоставленных для размещения некапитальных гаражей, стоянки средств передвижения инвалидов, заключенных до дня вступления в силу Федерального </w:t>
      </w:r>
      <w:hyperlink w:history="0" r:id="rId31"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05.04.2021 N 79-ФЗ "О внесении изменений в отдельные законодательные акты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Утверждена</w:t>
      </w:r>
    </w:p>
    <w:p>
      <w:pPr>
        <w:pStyle w:val="0"/>
        <w:jc w:val="right"/>
      </w:pPr>
      <w:r>
        <w:rPr>
          <w:sz w:val="20"/>
        </w:rPr>
        <w:t xml:space="preserve">постановлением</w:t>
      </w:r>
    </w:p>
    <w:p>
      <w:pPr>
        <w:pStyle w:val="0"/>
        <w:jc w:val="right"/>
      </w:pPr>
      <w:r>
        <w:rPr>
          <w:sz w:val="20"/>
        </w:rPr>
        <w:t xml:space="preserve">Правительства Мурманской области</w:t>
      </w:r>
    </w:p>
    <w:p>
      <w:pPr>
        <w:pStyle w:val="0"/>
        <w:jc w:val="right"/>
      </w:pPr>
      <w:r>
        <w:rPr>
          <w:sz w:val="20"/>
        </w:rPr>
        <w:t xml:space="preserve">от 2 сентября 2021 г. N 624-ПП</w:t>
      </w:r>
    </w:p>
    <w:p>
      <w:pPr>
        <w:pStyle w:val="0"/>
        <w:jc w:val="both"/>
      </w:pPr>
      <w:r>
        <w:rPr>
          <w:sz w:val="20"/>
        </w:rPr>
      </w:r>
    </w:p>
    <w:bookmarkStart w:id="176" w:name="P176"/>
    <w:bookmarkEnd w:id="176"/>
    <w:p>
      <w:pPr>
        <w:pStyle w:val="0"/>
        <w:jc w:val="center"/>
      </w:pPr>
      <w:r>
        <w:rPr>
          <w:sz w:val="20"/>
        </w:rPr>
        <w:t xml:space="preserve">ФОРМА СХЕМЫ</w:t>
      </w:r>
    </w:p>
    <w:p>
      <w:pPr>
        <w:pStyle w:val="0"/>
        <w:jc w:val="center"/>
      </w:pPr>
      <w:r>
        <w:rPr>
          <w:sz w:val="20"/>
        </w:rPr>
        <w:t xml:space="preserve">РАЗМЕЩЕНИЯ ГАРАЖЕЙ, ЯВЛЯЮЩИХСЯ НЕКАПИТАЛЬНЫМИ СООРУЖЕНИЯМИ,</w:t>
      </w:r>
    </w:p>
    <w:p>
      <w:pPr>
        <w:pStyle w:val="0"/>
        <w:jc w:val="center"/>
      </w:pPr>
      <w:r>
        <w:rPr>
          <w:sz w:val="20"/>
        </w:rPr>
        <w:t xml:space="preserve">ЛИБО СТОЯНКИ ТЕХНИЧЕСКИХ ИЛИ ДРУГИХ СРЕДСТВ ПЕРЕДВИЖЕНИЯ</w:t>
      </w:r>
    </w:p>
    <w:p>
      <w:pPr>
        <w:pStyle w:val="0"/>
        <w:jc w:val="center"/>
      </w:pPr>
      <w:r>
        <w:rPr>
          <w:sz w:val="20"/>
        </w:rPr>
        <w:t xml:space="preserve">ИНВАЛИДОВ ВБЛИЗИ ИХ МЕСТА ЖИТЕЛЬСТВА, ПОДГОТОВКА КОТОРОЙ</w:t>
      </w:r>
    </w:p>
    <w:p>
      <w:pPr>
        <w:pStyle w:val="0"/>
        <w:jc w:val="center"/>
      </w:pPr>
      <w:r>
        <w:rPr>
          <w:sz w:val="20"/>
        </w:rPr>
        <w:t xml:space="preserve">ОСУЩЕСТВЛЯЕТСЯ В ФОРМЕ ДОКУМЕНТА НА БУМАЖНОМ НОСИТЕЛЕ</w:t>
      </w:r>
    </w:p>
    <w:p>
      <w:pPr>
        <w:pStyle w:val="0"/>
        <w:jc w:val="both"/>
      </w:pPr>
      <w:r>
        <w:rPr>
          <w:sz w:val="20"/>
        </w:rPr>
      </w:r>
    </w:p>
    <w:tbl>
      <w:tblPr>
        <w:tblInd w:w="0" w:type="dxa"/>
        <w:tblLayout w:type="fixed"/>
        <w:tblCellMar>
          <w:top w:w="102" w:type="dxa"/>
          <w:left w:w="62" w:type="dxa"/>
          <w:bottom w:w="102" w:type="dxa"/>
          <w:right w:w="62" w:type="dxa"/>
        </w:tblCellMar>
      </w:tblPr>
      <w:tblGrid>
        <w:gridCol w:w="4424"/>
        <w:gridCol w:w="4590"/>
      </w:tblGrid>
      <w:tr>
        <w:tc>
          <w:tcPr>
            <w:tcW w:w="4424" w:type="dxa"/>
            <w:tcBorders>
              <w:top w:val="nil"/>
              <w:left w:val="nil"/>
              <w:bottom w:val="nil"/>
              <w:right w:val="nil"/>
            </w:tcBorders>
          </w:tcPr>
          <w:p>
            <w:pPr>
              <w:pStyle w:val="0"/>
            </w:pPr>
            <w:r>
              <w:rPr>
                <w:sz w:val="20"/>
              </w:rPr>
            </w:r>
          </w:p>
        </w:tc>
        <w:tc>
          <w:tcPr>
            <w:tcW w:w="4590" w:type="dxa"/>
            <w:tcBorders>
              <w:top w:val="nil"/>
              <w:left w:val="nil"/>
              <w:bottom w:val="nil"/>
              <w:right w:val="nil"/>
            </w:tcBorders>
          </w:tcPr>
          <w:p>
            <w:pPr>
              <w:pStyle w:val="0"/>
              <w:jc w:val="center"/>
            </w:pPr>
            <w:r>
              <w:rPr>
                <w:sz w:val="20"/>
              </w:rPr>
              <w:t xml:space="preserve">Утверждена</w:t>
            </w:r>
          </w:p>
        </w:tc>
      </w:tr>
      <w:tr>
        <w:tc>
          <w:tcPr>
            <w:tcW w:w="4424" w:type="dxa"/>
            <w:tcBorders>
              <w:top w:val="nil"/>
              <w:left w:val="nil"/>
              <w:bottom w:val="nil"/>
              <w:right w:val="nil"/>
            </w:tcBorders>
          </w:tcPr>
          <w:p>
            <w:pPr>
              <w:pStyle w:val="0"/>
            </w:pPr>
            <w:r>
              <w:rPr>
                <w:sz w:val="20"/>
              </w:rPr>
            </w:r>
          </w:p>
        </w:tc>
        <w:tc>
          <w:tcPr>
            <w:tcW w:w="4590" w:type="dxa"/>
            <w:tcBorders>
              <w:top w:val="nil"/>
              <w:left w:val="nil"/>
              <w:bottom w:val="single" w:sz="4"/>
              <w:right w:val="nil"/>
            </w:tcBorders>
          </w:tcPr>
          <w:p>
            <w:pPr>
              <w:pStyle w:val="0"/>
            </w:pPr>
            <w:r>
              <w:rPr>
                <w:sz w:val="20"/>
              </w:rPr>
            </w:r>
          </w:p>
        </w:tc>
      </w:tr>
      <w:tr>
        <w:tc>
          <w:tcPr>
            <w:tcW w:w="4424" w:type="dxa"/>
            <w:tcBorders>
              <w:top w:val="nil"/>
              <w:left w:val="nil"/>
              <w:bottom w:val="nil"/>
              <w:right w:val="nil"/>
            </w:tcBorders>
          </w:tcPr>
          <w:p>
            <w:pPr>
              <w:pStyle w:val="0"/>
            </w:pPr>
            <w:r>
              <w:rPr>
                <w:sz w:val="20"/>
              </w:rPr>
            </w:r>
          </w:p>
        </w:tc>
        <w:tc>
          <w:tcPr>
            <w:tcW w:w="4590" w:type="dxa"/>
            <w:tcBorders>
              <w:top w:val="single" w:sz="4"/>
              <w:left w:val="nil"/>
              <w:bottom w:val="nil"/>
              <w:right w:val="nil"/>
            </w:tcBorders>
          </w:tcPr>
          <w:p>
            <w:pPr>
              <w:pStyle w:val="0"/>
              <w:jc w:val="center"/>
            </w:pPr>
            <w:r>
              <w:rPr>
                <w:sz w:val="20"/>
              </w:rPr>
              <w:t xml:space="preserve">(наименование документа об утверждении, включая</w:t>
            </w:r>
          </w:p>
        </w:tc>
      </w:tr>
      <w:tr>
        <w:tc>
          <w:tcPr>
            <w:tcW w:w="4424" w:type="dxa"/>
            <w:tcBorders>
              <w:top w:val="nil"/>
              <w:left w:val="nil"/>
              <w:bottom w:val="nil"/>
              <w:right w:val="nil"/>
            </w:tcBorders>
          </w:tcPr>
          <w:p>
            <w:pPr>
              <w:pStyle w:val="0"/>
            </w:pPr>
            <w:r>
              <w:rPr>
                <w:sz w:val="20"/>
              </w:rPr>
            </w:r>
          </w:p>
        </w:tc>
        <w:tc>
          <w:tcPr>
            <w:tcW w:w="4590" w:type="dxa"/>
            <w:tcBorders>
              <w:top w:val="nil"/>
              <w:left w:val="nil"/>
              <w:bottom w:val="single" w:sz="4"/>
              <w:right w:val="nil"/>
            </w:tcBorders>
          </w:tcPr>
          <w:p>
            <w:pPr>
              <w:pStyle w:val="0"/>
            </w:pPr>
            <w:r>
              <w:rPr>
                <w:sz w:val="20"/>
              </w:rPr>
            </w:r>
          </w:p>
        </w:tc>
      </w:tr>
      <w:tr>
        <w:tc>
          <w:tcPr>
            <w:tcW w:w="4424" w:type="dxa"/>
            <w:tcBorders>
              <w:top w:val="nil"/>
              <w:left w:val="nil"/>
              <w:bottom w:val="nil"/>
              <w:right w:val="nil"/>
            </w:tcBorders>
          </w:tcPr>
          <w:p>
            <w:pPr>
              <w:pStyle w:val="0"/>
            </w:pPr>
            <w:r>
              <w:rPr>
                <w:sz w:val="20"/>
              </w:rPr>
            </w:r>
          </w:p>
        </w:tc>
        <w:tc>
          <w:tcPr>
            <w:tcW w:w="4590" w:type="dxa"/>
            <w:tcBorders>
              <w:top w:val="single" w:sz="4"/>
              <w:left w:val="nil"/>
              <w:bottom w:val="nil"/>
              <w:right w:val="nil"/>
            </w:tcBorders>
          </w:tcPr>
          <w:p>
            <w:pPr>
              <w:pStyle w:val="0"/>
              <w:jc w:val="center"/>
            </w:pPr>
            <w:r>
              <w:rPr>
                <w:sz w:val="20"/>
              </w:rPr>
              <w:t xml:space="preserve">наименование органа местного самоуправления, принявшего</w:t>
            </w:r>
          </w:p>
        </w:tc>
      </w:tr>
      <w:tr>
        <w:tc>
          <w:tcPr>
            <w:tcW w:w="4424" w:type="dxa"/>
            <w:tcBorders>
              <w:top w:val="nil"/>
              <w:left w:val="nil"/>
              <w:bottom w:val="nil"/>
              <w:right w:val="nil"/>
            </w:tcBorders>
          </w:tcPr>
          <w:p>
            <w:pPr>
              <w:pStyle w:val="0"/>
            </w:pPr>
            <w:r>
              <w:rPr>
                <w:sz w:val="20"/>
              </w:rPr>
            </w:r>
          </w:p>
        </w:tc>
        <w:tc>
          <w:tcPr>
            <w:tcW w:w="4590" w:type="dxa"/>
            <w:tcBorders>
              <w:top w:val="nil"/>
              <w:left w:val="nil"/>
              <w:bottom w:val="single" w:sz="4"/>
              <w:right w:val="nil"/>
            </w:tcBorders>
          </w:tcPr>
          <w:p>
            <w:pPr>
              <w:pStyle w:val="0"/>
            </w:pPr>
            <w:r>
              <w:rPr>
                <w:sz w:val="20"/>
              </w:rPr>
            </w:r>
          </w:p>
        </w:tc>
      </w:tr>
      <w:tr>
        <w:tc>
          <w:tcPr>
            <w:tcW w:w="4424" w:type="dxa"/>
            <w:tcBorders>
              <w:top w:val="nil"/>
              <w:left w:val="nil"/>
              <w:bottom w:val="nil"/>
              <w:right w:val="nil"/>
            </w:tcBorders>
          </w:tcPr>
          <w:p>
            <w:pPr>
              <w:pStyle w:val="0"/>
            </w:pPr>
            <w:r>
              <w:rPr>
                <w:sz w:val="20"/>
              </w:rPr>
            </w:r>
          </w:p>
        </w:tc>
        <w:tc>
          <w:tcPr>
            <w:tcW w:w="4590" w:type="dxa"/>
            <w:tcBorders>
              <w:top w:val="single" w:sz="4"/>
              <w:left w:val="nil"/>
              <w:bottom w:val="nil"/>
              <w:right w:val="nil"/>
            </w:tcBorders>
          </w:tcPr>
          <w:p>
            <w:pPr>
              <w:pStyle w:val="0"/>
              <w:jc w:val="center"/>
            </w:pPr>
            <w:r>
              <w:rPr>
                <w:sz w:val="20"/>
              </w:rPr>
              <w:t xml:space="preserve">решение об утверждении схемы</w:t>
            </w:r>
          </w:p>
        </w:tc>
      </w:tr>
      <w:tr>
        <w:tc>
          <w:tcPr>
            <w:tcW w:w="4424" w:type="dxa"/>
            <w:tcBorders>
              <w:top w:val="nil"/>
              <w:left w:val="nil"/>
              <w:bottom w:val="nil"/>
              <w:right w:val="nil"/>
            </w:tcBorders>
          </w:tcPr>
          <w:p>
            <w:pPr>
              <w:pStyle w:val="0"/>
            </w:pPr>
            <w:r>
              <w:rPr>
                <w:sz w:val="20"/>
              </w:rPr>
            </w:r>
          </w:p>
        </w:tc>
        <w:tc>
          <w:tcPr>
            <w:tcW w:w="4590" w:type="dxa"/>
            <w:tcBorders>
              <w:top w:val="nil"/>
              <w:left w:val="nil"/>
              <w:bottom w:val="nil"/>
              <w:right w:val="nil"/>
            </w:tcBorders>
          </w:tcPr>
          <w:p>
            <w:pPr>
              <w:pStyle w:val="0"/>
              <w:jc w:val="center"/>
            </w:pPr>
            <w:r>
              <w:rPr>
                <w:sz w:val="20"/>
              </w:rPr>
              <w:t xml:space="preserve">от _______________ N ____________</w:t>
            </w:r>
          </w:p>
        </w:tc>
      </w:tr>
    </w:tbl>
    <w:p>
      <w:pPr>
        <w:pStyle w:val="0"/>
        <w:jc w:val="both"/>
      </w:pPr>
      <w:r>
        <w:rPr>
          <w:sz w:val="20"/>
        </w:rPr>
      </w:r>
    </w:p>
    <w:p>
      <w:pPr>
        <w:pStyle w:val="0"/>
        <w:jc w:val="center"/>
      </w:pPr>
      <w:r>
        <w:rPr>
          <w:sz w:val="20"/>
        </w:rPr>
        <w:t xml:space="preserve">Схема размещения гаражей, являющихся некапитальными</w:t>
      </w:r>
    </w:p>
    <w:p>
      <w:pPr>
        <w:pStyle w:val="0"/>
        <w:jc w:val="center"/>
      </w:pPr>
      <w:r>
        <w:rPr>
          <w:sz w:val="20"/>
        </w:rPr>
        <w:t xml:space="preserve">сооружениями, либо стоянки технических или других средств</w:t>
      </w:r>
    </w:p>
    <w:p>
      <w:pPr>
        <w:pStyle w:val="0"/>
        <w:jc w:val="center"/>
      </w:pPr>
      <w:r>
        <w:rPr>
          <w:sz w:val="20"/>
        </w:rPr>
        <w:t xml:space="preserve">передвижения инвалидов вблизи их места жительства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80"/>
        <w:gridCol w:w="3061"/>
        <w:gridCol w:w="2948"/>
      </w:tblGrid>
      <w:tr>
        <w:tc>
          <w:tcPr>
            <w:gridSpan w:val="3"/>
            <w:tcW w:w="8889" w:type="dxa"/>
          </w:tcPr>
          <w:p>
            <w:pPr>
              <w:pStyle w:val="0"/>
            </w:pPr>
            <w:r>
              <w:rPr>
                <w:sz w:val="20"/>
              </w:rPr>
              <w:t xml:space="preserve">Вид объекта: ___________________________</w:t>
            </w:r>
          </w:p>
        </w:tc>
      </w:tr>
      <w:tr>
        <w:tc>
          <w:tcPr>
            <w:gridSpan w:val="3"/>
            <w:tcW w:w="8889" w:type="dxa"/>
          </w:tcPr>
          <w:p>
            <w:pPr>
              <w:pStyle w:val="0"/>
            </w:pPr>
            <w:r>
              <w:rPr>
                <w:sz w:val="20"/>
              </w:rPr>
              <w:t xml:space="preserve">Площадь земельного участка: _______________ м</w:t>
            </w:r>
            <w:r>
              <w:rPr>
                <w:sz w:val="20"/>
                <w:vertAlign w:val="superscript"/>
              </w:rPr>
              <w:t xml:space="preserve">2</w:t>
            </w:r>
          </w:p>
        </w:tc>
      </w:tr>
      <w:tr>
        <w:tc>
          <w:tcPr>
            <w:gridSpan w:val="3"/>
            <w:tcW w:w="8889" w:type="dxa"/>
          </w:tcPr>
          <w:p>
            <w:pPr>
              <w:pStyle w:val="0"/>
            </w:pPr>
            <w:r>
              <w:rPr>
                <w:sz w:val="20"/>
              </w:rPr>
              <w:t xml:space="preserve">Местоположение объекта: __________________________________________</w:t>
            </w:r>
          </w:p>
        </w:tc>
      </w:tr>
      <w:tr>
        <w:tc>
          <w:tcPr>
            <w:gridSpan w:val="3"/>
            <w:tcW w:w="8889" w:type="dxa"/>
          </w:tcPr>
          <w:p>
            <w:pPr>
              <w:pStyle w:val="0"/>
            </w:pPr>
            <w:r>
              <w:rPr>
                <w:sz w:val="20"/>
              </w:rPr>
              <w:t xml:space="preserve">Требования к внешнему виду объекта: __________________________</w:t>
            </w:r>
          </w:p>
        </w:tc>
      </w:tr>
      <w:tr>
        <w:tc>
          <w:tcPr>
            <w:gridSpan w:val="3"/>
            <w:tcW w:w="8889" w:type="dxa"/>
          </w:tcPr>
          <w:p>
            <w:pPr>
              <w:pStyle w:val="0"/>
            </w:pPr>
            <w:r>
              <w:rPr>
                <w:sz w:val="20"/>
              </w:rPr>
              <w:t xml:space="preserve">Срок размещения объекта: ________________________________</w:t>
            </w:r>
          </w:p>
        </w:tc>
      </w:tr>
      <w:tr>
        <w:tc>
          <w:tcPr>
            <w:tcW w:w="2880" w:type="dxa"/>
            <w:vMerge w:val="restart"/>
          </w:tcPr>
          <w:p>
            <w:pPr>
              <w:pStyle w:val="0"/>
              <w:jc w:val="center"/>
            </w:pPr>
            <w:r>
              <w:rPr>
                <w:sz w:val="20"/>
              </w:rPr>
              <w:t xml:space="preserve">Обозначение характерных точек границ</w:t>
            </w:r>
          </w:p>
        </w:tc>
        <w:tc>
          <w:tcPr>
            <w:gridSpan w:val="2"/>
            <w:tcW w:w="6009" w:type="dxa"/>
          </w:tcPr>
          <w:p>
            <w:pPr>
              <w:pStyle w:val="0"/>
              <w:jc w:val="center"/>
            </w:pPr>
            <w:r>
              <w:rPr>
                <w:sz w:val="20"/>
              </w:rPr>
              <w:t xml:space="preserve">Координаты, м</w:t>
            </w:r>
          </w:p>
        </w:tc>
      </w:tr>
      <w:tr>
        <w:tc>
          <w:tcPr>
            <w:vMerge w:val="continue"/>
          </w:tcPr>
          <w:p/>
        </w:tc>
        <w:tc>
          <w:tcPr>
            <w:tcW w:w="3061" w:type="dxa"/>
            <w:vAlign w:val="bottom"/>
          </w:tcPr>
          <w:p>
            <w:pPr>
              <w:pStyle w:val="0"/>
              <w:jc w:val="center"/>
            </w:pPr>
            <w:r>
              <w:rPr>
                <w:sz w:val="20"/>
              </w:rPr>
              <w:t xml:space="preserve">X</w:t>
            </w:r>
          </w:p>
        </w:tc>
        <w:tc>
          <w:tcPr>
            <w:tcW w:w="2948" w:type="dxa"/>
            <w:vAlign w:val="bottom"/>
          </w:tcPr>
          <w:p>
            <w:pPr>
              <w:pStyle w:val="0"/>
              <w:jc w:val="center"/>
            </w:pPr>
            <w:r>
              <w:rPr>
                <w:sz w:val="20"/>
              </w:rPr>
              <w:t xml:space="preserve">Y</w:t>
            </w:r>
          </w:p>
        </w:tc>
      </w:tr>
      <w:tr>
        <w:tc>
          <w:tcPr>
            <w:tcW w:w="2880" w:type="dxa"/>
          </w:tcPr>
          <w:p>
            <w:pPr>
              <w:pStyle w:val="0"/>
              <w:jc w:val="center"/>
            </w:pPr>
            <w:r>
              <w:rPr>
                <w:sz w:val="20"/>
              </w:rPr>
              <w:t xml:space="preserve">1</w:t>
            </w:r>
          </w:p>
        </w:tc>
        <w:tc>
          <w:tcPr>
            <w:tcW w:w="3061" w:type="dxa"/>
          </w:tcPr>
          <w:p>
            <w:pPr>
              <w:pStyle w:val="0"/>
              <w:jc w:val="center"/>
            </w:pPr>
            <w:r>
              <w:rPr>
                <w:sz w:val="20"/>
              </w:rPr>
              <w:t xml:space="preserve">2</w:t>
            </w:r>
          </w:p>
        </w:tc>
        <w:tc>
          <w:tcPr>
            <w:tcW w:w="2948" w:type="dxa"/>
          </w:tcPr>
          <w:p>
            <w:pPr>
              <w:pStyle w:val="0"/>
              <w:jc w:val="center"/>
            </w:pPr>
            <w:r>
              <w:rPr>
                <w:sz w:val="20"/>
              </w:rPr>
              <w:t xml:space="preserve">3</w:t>
            </w:r>
          </w:p>
        </w:tc>
      </w:tr>
      <w:tr>
        <w:tc>
          <w:tcPr>
            <w:tcW w:w="2880" w:type="dxa"/>
          </w:tcPr>
          <w:p>
            <w:pPr>
              <w:pStyle w:val="0"/>
            </w:pPr>
            <w:r>
              <w:rPr>
                <w:sz w:val="20"/>
              </w:rPr>
            </w:r>
          </w:p>
        </w:tc>
        <w:tc>
          <w:tcPr>
            <w:tcW w:w="3061" w:type="dxa"/>
          </w:tcPr>
          <w:p>
            <w:pPr>
              <w:pStyle w:val="0"/>
            </w:pPr>
            <w:r>
              <w:rPr>
                <w:sz w:val="20"/>
              </w:rPr>
            </w:r>
          </w:p>
        </w:tc>
        <w:tc>
          <w:tcPr>
            <w:tcW w:w="2948" w:type="dxa"/>
          </w:tcPr>
          <w:p>
            <w:pPr>
              <w:pStyle w:val="0"/>
            </w:pPr>
            <w:r>
              <w:rPr>
                <w:sz w:val="20"/>
              </w:rPr>
            </w:r>
          </w:p>
        </w:tc>
      </w:tr>
      <w:tr>
        <w:tc>
          <w:tcPr>
            <w:gridSpan w:val="3"/>
            <w:tcW w:w="8889" w:type="dxa"/>
          </w:tcPr>
          <w:p>
            <w:pPr>
              <w:pStyle w:val="0"/>
              <w:jc w:val="center"/>
            </w:pPr>
            <w:r>
              <w:rPr>
                <w:sz w:val="20"/>
              </w:rPr>
              <w:t xml:space="preserve">Масштаб 1: _____________________</w:t>
            </w:r>
          </w:p>
          <w:p>
            <w:pPr>
              <w:pStyle w:val="0"/>
            </w:pPr>
            <w:r>
              <w:rPr>
                <w:sz w:val="20"/>
              </w:rPr>
              <w:t xml:space="preserve">Условные обозначения:</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Мурманской области от 02.09.2021 N 624-ПП</w:t>
            <w:br/>
            <w:t>(ред. от 05.03.2025)</w:t>
            <w:br/>
            <w:t>"Об утверждении Порядка испол...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12.08.2025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087&amp;n=135508&amp;dst=100015" TargetMode = "External"/>
	<Relationship Id="rId8" Type="http://schemas.openxmlformats.org/officeDocument/2006/relationships/hyperlink" Target="https://login.consultant.ru/link/?req=doc&amp;base=RLAW087&amp;n=137456&amp;dst=100005" TargetMode = "External"/>
	<Relationship Id="rId9" Type="http://schemas.openxmlformats.org/officeDocument/2006/relationships/hyperlink" Target="https://login.consultant.ru/link/?req=doc&amp;base=RLAW087&amp;n=3028" TargetMode = "External"/>
	<Relationship Id="rId10" Type="http://schemas.openxmlformats.org/officeDocument/2006/relationships/hyperlink" Target="https://login.consultant.ru/link/?req=doc&amp;base=RLAW087&amp;n=135437" TargetMode = "External"/>
	<Relationship Id="rId11" Type="http://schemas.openxmlformats.org/officeDocument/2006/relationships/hyperlink" Target="https://login.consultant.ru/link/?req=doc&amp;base=LAW&amp;n=511408&amp;dst=2306" TargetMode = "External"/>
	<Relationship Id="rId12" Type="http://schemas.openxmlformats.org/officeDocument/2006/relationships/hyperlink" Target="https://login.consultant.ru/link/?req=doc&amp;base=RLAW087&amp;n=139860" TargetMode = "External"/>
	<Relationship Id="rId13" Type="http://schemas.openxmlformats.org/officeDocument/2006/relationships/hyperlink" Target="https://login.consultant.ru/link/?req=doc&amp;base=RLAW087&amp;n=135508&amp;dst=100015" TargetMode = "External"/>
	<Relationship Id="rId14" Type="http://schemas.openxmlformats.org/officeDocument/2006/relationships/hyperlink" Target="https://login.consultant.ru/link/?req=doc&amp;base=RLAW087&amp;n=137456&amp;dst=100005" TargetMode = "External"/>
	<Relationship Id="rId15" Type="http://schemas.openxmlformats.org/officeDocument/2006/relationships/hyperlink" Target="https://login.consultant.ru/link/?req=doc&amp;base=LAW&amp;n=511408&amp;dst=2306" TargetMode = "External"/>
	<Relationship Id="rId16" Type="http://schemas.openxmlformats.org/officeDocument/2006/relationships/hyperlink" Target="https://login.consultant.ru/link/?req=doc&amp;base=RLAW087&amp;n=137456&amp;dst=100006" TargetMode = "External"/>
	<Relationship Id="rId17" Type="http://schemas.openxmlformats.org/officeDocument/2006/relationships/hyperlink" Target="https://login.consultant.ru/link/?req=doc&amp;base=RLAW087&amp;n=135508&amp;dst=100015" TargetMode = "External"/>
	<Relationship Id="rId18" Type="http://schemas.openxmlformats.org/officeDocument/2006/relationships/hyperlink" Target="https://login.consultant.ru/link/?req=doc&amp;base=LAW&amp;n=489360" TargetMode = "External"/>
	<Relationship Id="rId19" Type="http://schemas.openxmlformats.org/officeDocument/2006/relationships/hyperlink" Target="https://login.consultant.ru/link/?req=doc&amp;base=LAW&amp;n=489360" TargetMode = "External"/>
	<Relationship Id="rId20" Type="http://schemas.openxmlformats.org/officeDocument/2006/relationships/hyperlink" Target="https://login.consultant.ru/link/?req=doc&amp;base=RLAW087&amp;n=137456&amp;dst=100007" TargetMode = "External"/>
	<Relationship Id="rId21" Type="http://schemas.openxmlformats.org/officeDocument/2006/relationships/hyperlink" Target="https://login.consultant.ru/link/?req=doc&amp;base=RLAW087&amp;n=137456&amp;dst=100012" TargetMode = "External"/>
	<Relationship Id="rId22" Type="http://schemas.openxmlformats.org/officeDocument/2006/relationships/hyperlink" Target="https://login.consultant.ru/link/?req=doc&amp;base=LAW&amp;n=489360" TargetMode = "External"/>
	<Relationship Id="rId23" Type="http://schemas.openxmlformats.org/officeDocument/2006/relationships/hyperlink" Target="https://login.consultant.ru/link/?req=doc&amp;base=LAW&amp;n=489360" TargetMode = "External"/>
	<Relationship Id="rId24" Type="http://schemas.openxmlformats.org/officeDocument/2006/relationships/hyperlink" Target="https://login.consultant.ru/link/?req=doc&amp;base=RLAW087&amp;n=137456&amp;dst=100015" TargetMode = "External"/>
	<Relationship Id="rId25" Type="http://schemas.openxmlformats.org/officeDocument/2006/relationships/hyperlink" Target="https://login.consultant.ru/link/?req=doc&amp;base=LAW&amp;n=489360" TargetMode = "External"/>
	<Relationship Id="rId26" Type="http://schemas.openxmlformats.org/officeDocument/2006/relationships/hyperlink" Target="https://login.consultant.ru/link/?req=doc&amp;base=RLAW087&amp;n=137456&amp;dst=100019" TargetMode = "External"/>
	<Relationship Id="rId27" Type="http://schemas.openxmlformats.org/officeDocument/2006/relationships/hyperlink" Target="https://login.consultant.ru/link/?req=doc&amp;base=RLAW087&amp;n=137456&amp;dst=100020" TargetMode = "External"/>
	<Relationship Id="rId28" Type="http://schemas.openxmlformats.org/officeDocument/2006/relationships/hyperlink" Target="https://login.consultant.ru/link/?req=doc&amp;base=LAW&amp;n=511408&amp;dst=2305" TargetMode = "External"/>
	<Relationship Id="rId29" Type="http://schemas.openxmlformats.org/officeDocument/2006/relationships/hyperlink" Target="https://login.consultant.ru/link/?req=doc&amp;base=LAW&amp;n=489360" TargetMode = "External"/>
	<Relationship Id="rId30" Type="http://schemas.openxmlformats.org/officeDocument/2006/relationships/hyperlink" Target="https://login.consultant.ru/link/?req=doc&amp;base=RLAW087&amp;n=137456&amp;dst=100022" TargetMode = "External"/>
	<Relationship Id="rId31" Type="http://schemas.openxmlformats.org/officeDocument/2006/relationships/hyperlink" Target="https://login.consultant.ru/link/?req=doc&amp;base=LAW&amp;n=489360"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Мурманской области от 02.09.2021 N 624-ПП
(ред. от 05.03.2025)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на территории Мурманской области"</dc:title>
  <dcterms:created xsi:type="dcterms:W3CDTF">2025-08-12T14:34:05Z</dcterms:created>
</cp:coreProperties>
</file>