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4C" w:rsidRDefault="00184E4C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184E4C" w:rsidRDefault="00184E4C">
      <w:pPr>
        <w:pStyle w:val="ConsPlusTitle"/>
        <w:jc w:val="center"/>
      </w:pPr>
      <w:r>
        <w:t>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bookmarkStart w:id="0" w:name="P169"/>
      <w:bookmarkEnd w:id="0"/>
      <w:r>
        <w:t>2.5.1. Для предоставления муниципальной услуги необходимы следующие документы: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" w:name="P170"/>
      <w:bookmarkEnd w:id="1"/>
      <w:r>
        <w:t>2.5.1.1. В случае получения разрешения на ввод объекта в эксплуатацию предоставление муниципальной услуги осуществляется на основании: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1) </w:t>
      </w:r>
      <w:hyperlink w:anchor="P503">
        <w:r>
          <w:rPr>
            <w:color w:val="0000FF"/>
          </w:rPr>
          <w:t>заявления</w:t>
        </w:r>
      </w:hyperlink>
      <w:r>
        <w:t xml:space="preserve"> на ввод объекта в эксплуатацию согласно приложению N 1 к настоящему Регламенту;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" w:name="P172"/>
      <w:bookmarkEnd w:id="2"/>
      <w:r>
        <w:t>2)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3" w:name="P173"/>
      <w:bookmarkEnd w:id="3"/>
      <w:r>
        <w:t>3) разрешения на строительство;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4" w:name="P174"/>
      <w:bookmarkEnd w:id="4"/>
      <w:r>
        <w:t>4)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5" w:name="P175"/>
      <w:bookmarkEnd w:id="5"/>
      <w:proofErr w:type="gramStart"/>
      <w:r>
        <w:t>5)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bookmarkStart w:id="6" w:name="P176"/>
      <w:bookmarkEnd w:id="6"/>
      <w:proofErr w:type="gramStart"/>
      <w:r>
        <w:t xml:space="preserve">6)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5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6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7">
        <w:r>
          <w:rPr>
            <w:color w:val="0000FF"/>
          </w:rPr>
          <w:t>частью 1.3 статьи 52</w:t>
        </w:r>
      </w:hyperlink>
      <w:r>
        <w:t xml:space="preserve"> Градостроительного кодекса Российской Федерации частью такой проектной документации),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(надзора), выдаваемого в случаях, предусмотренных </w:t>
      </w:r>
      <w:hyperlink r:id="rId8">
        <w:r>
          <w:rPr>
            <w:color w:val="0000FF"/>
          </w:rPr>
          <w:t>частью 5 статьи 54</w:t>
        </w:r>
      </w:hyperlink>
      <w:r>
        <w:t xml:space="preserve"> Градостроительного кодекса Российской Федерации;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bookmarkStart w:id="7" w:name="P177"/>
      <w:bookmarkEnd w:id="7"/>
      <w:proofErr w:type="gramStart"/>
      <w:r>
        <w:t xml:space="preserve">7) технического плана объекта капитального строительства, подготовленного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</w:t>
      </w:r>
      <w:proofErr w:type="gramEnd"/>
      <w:r>
        <w:t xml:space="preserve"> кадастровый учет и (или) государственная регистрация прав не осуществляются;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8" w:name="P178"/>
      <w:bookmarkEnd w:id="8"/>
      <w:proofErr w:type="gramStart"/>
      <w:r>
        <w:t xml:space="preserve">8) договора или договоров, заключенных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предусматривающих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зданиях, сооружениях помещения, </w:t>
      </w:r>
      <w:proofErr w:type="spellStart"/>
      <w:r>
        <w:t>машино</w:t>
      </w:r>
      <w:proofErr w:type="spellEnd"/>
      <w:r>
        <w:t>-места, а также документы, подтверждающие</w:t>
      </w:r>
      <w:proofErr w:type="gramEnd"/>
      <w:r>
        <w:t xml:space="preserve"> исполнение </w:t>
      </w:r>
      <w:r>
        <w:lastRenderedPageBreak/>
        <w:t>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9" w:name="P179"/>
      <w:bookmarkEnd w:id="9"/>
      <w:r>
        <w:t xml:space="preserve">9) </w:t>
      </w:r>
      <w:hyperlink w:anchor="P1211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10 к настоящему Регламенту.</w:t>
      </w:r>
    </w:p>
    <w:p w:rsidR="00184E4C" w:rsidRDefault="00184E4C">
      <w:pPr>
        <w:pStyle w:val="ConsPlusNormal"/>
        <w:jc w:val="both"/>
      </w:pPr>
      <w:r>
        <w:t xml:space="preserve">(подп. 9) </w:t>
      </w:r>
      <w:proofErr w:type="gramStart"/>
      <w:r>
        <w:t>введен</w:t>
      </w:r>
      <w:proofErr w:type="gramEnd"/>
      <w:r>
        <w:t xml:space="preserve">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2.5.1.2. В случае внесения изменений в разрешение на ввод объекта в эксплуатацию необходимы следующие документы: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1) </w:t>
      </w:r>
      <w:hyperlink w:anchor="P838">
        <w:r>
          <w:rPr>
            <w:color w:val="0000FF"/>
          </w:rPr>
          <w:t>заявление</w:t>
        </w:r>
      </w:hyperlink>
      <w:r>
        <w:t xml:space="preserve"> о внесении изменений в разрешение на ввод объекта в эксплуатацию согласно приложению N 4 к настоящему Регламенту (далее - Заявление о внесении изменений):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0" w:name="P183"/>
      <w:bookmarkEnd w:id="10"/>
      <w:r>
        <w:t>2) технический план объекта капитального строительства, содержание которого требует внесения изменений в выданное разрешение на ввод объекта в эксплуатацию;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3) документы, указанные в </w:t>
      </w:r>
      <w:hyperlink w:anchor="P172">
        <w:r>
          <w:rPr>
            <w:color w:val="0000FF"/>
          </w:rPr>
          <w:t>подпунктах 2)</w:t>
        </w:r>
      </w:hyperlink>
      <w:r>
        <w:t xml:space="preserve"> - </w:t>
      </w:r>
      <w:hyperlink w:anchor="P178">
        <w:r>
          <w:rPr>
            <w:color w:val="0000FF"/>
          </w:rPr>
          <w:t>8) подпункта 2.5.1.1 пункта 2.5.1</w:t>
        </w:r>
      </w:hyperlink>
      <w:r>
        <w:t xml:space="preserve"> настоящего Регламента,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hyperlink r:id="rId12">
        <w:r>
          <w:rPr>
            <w:color w:val="0000FF"/>
          </w:rPr>
          <w:t>частью 5.1 статьи 55</w:t>
        </w:r>
      </w:hyperlink>
      <w:r>
        <w:t xml:space="preserve"> Градостроительного кодекса Российской Федерации.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1" w:name="P185"/>
      <w:bookmarkEnd w:id="11"/>
      <w:r>
        <w:t xml:space="preserve">4) </w:t>
      </w:r>
      <w:hyperlink w:anchor="P121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10 к настоящему Регламенту.</w:t>
      </w:r>
    </w:p>
    <w:p w:rsidR="00184E4C" w:rsidRDefault="00184E4C">
      <w:pPr>
        <w:pStyle w:val="ConsPlusNormal"/>
        <w:jc w:val="both"/>
      </w:pPr>
      <w:r>
        <w:t xml:space="preserve">(подп. 4)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2.5.1.3. В случае необходимости получения дубликата разрешения на ввод объекта в эксплуатацию предоставление муниципальной услуги осуществляется на основании: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1) </w:t>
      </w:r>
      <w:hyperlink w:anchor="P1081">
        <w:r>
          <w:rPr>
            <w:color w:val="0000FF"/>
          </w:rPr>
          <w:t>заявления</w:t>
        </w:r>
      </w:hyperlink>
      <w:r>
        <w:t xml:space="preserve"> о выдаче дубликата разрешения на ввод объекта в эксплуатацию согласно приложению N 7 к настоящему Регламенту (далее - Заявление о выдаче дубликата);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2" w:name="P189"/>
      <w:bookmarkEnd w:id="12"/>
      <w:r>
        <w:t xml:space="preserve">2) </w:t>
      </w:r>
      <w:hyperlink w:anchor="P1211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10 к настоящему Регламенту.</w:t>
      </w:r>
    </w:p>
    <w:p w:rsidR="00184E4C" w:rsidRDefault="00184E4C">
      <w:pPr>
        <w:pStyle w:val="ConsPlusNormal"/>
        <w:jc w:val="both"/>
      </w:pPr>
      <w:r>
        <w:t xml:space="preserve">(подп. 2.5.1.3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2.5.2. </w:t>
      </w:r>
      <w:proofErr w:type="gramStart"/>
      <w:r>
        <w:t xml:space="preserve">Указанное в </w:t>
      </w:r>
      <w:hyperlink w:anchor="P176">
        <w:r>
          <w:rPr>
            <w:color w:val="0000FF"/>
          </w:rPr>
          <w:t>подпункте 6) подпункта 2.5.1.1 пункта 2.5.1</w:t>
        </w:r>
      </w:hyperlink>
      <w:r>
        <w:t xml:space="preserve"> настоящего Регламента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</w:t>
      </w:r>
      <w:proofErr w:type="gramEnd"/>
      <w:r>
        <w:t xml:space="preserve">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2.5.3. Заявление о получении разрешения на ввод объекта в эксплуатацию, Заявление о внесении изменений, Заявление о выдаче дубликата, а также документы, указанные в </w:t>
      </w:r>
      <w:hyperlink w:anchor="P169">
        <w:r>
          <w:rPr>
            <w:color w:val="0000FF"/>
          </w:rPr>
          <w:t>пункте 2.5.1</w:t>
        </w:r>
      </w:hyperlink>
      <w:r>
        <w:t xml:space="preserve"> настоящего Регламента, могут быть направлены заявителем в электронной форме в соответствии с порядком, установленным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1294, с использованием Единого портала.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3" w:name="P193"/>
      <w:bookmarkEnd w:id="13"/>
      <w:proofErr w:type="gramStart"/>
      <w:r>
        <w:t xml:space="preserve">Заявление о получении разрешения на ввод объекта в эксплуатацию, а также документы, </w:t>
      </w:r>
      <w:r>
        <w:lastRenderedPageBreak/>
        <w:t xml:space="preserve">указанные в </w:t>
      </w:r>
      <w:hyperlink w:anchor="P170">
        <w:r>
          <w:rPr>
            <w:color w:val="0000FF"/>
          </w:rPr>
          <w:t>подпункте 2.5.1.1 пункта 2.5.1</w:t>
        </w:r>
      </w:hyperlink>
      <w:r>
        <w:t xml:space="preserve">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</w:t>
      </w:r>
      <w:hyperlink r:id="rId16">
        <w:r>
          <w:rPr>
            <w:color w:val="0000FF"/>
          </w:rPr>
          <w:t>пунктом 3.4 статьи 49</w:t>
        </w:r>
      </w:hyperlink>
      <w:r>
        <w:t xml:space="preserve">, </w:t>
      </w:r>
      <w:hyperlink r:id="rId17">
        <w:r>
          <w:rPr>
            <w:color w:val="0000FF"/>
          </w:rPr>
          <w:t>пунктом 5.1 части 1 статьи 6</w:t>
        </w:r>
      </w:hyperlink>
      <w:r>
        <w:t xml:space="preserve"> Градостроительного кодекса Российской Федерации, проводилась государственная экспертиза и заключение государственной экспертизы выдавалось в</w:t>
      </w:r>
      <w:proofErr w:type="gramEnd"/>
      <w:r>
        <w:t xml:space="preserve"> электронной форме.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(их копии или сведения, содержащиеся в них), указанные в </w:t>
      </w:r>
      <w:hyperlink w:anchor="P172">
        <w:r>
          <w:rPr>
            <w:color w:val="0000FF"/>
          </w:rPr>
          <w:t>подпунктах 2)</w:t>
        </w:r>
      </w:hyperlink>
      <w:r>
        <w:t xml:space="preserve">, </w:t>
      </w:r>
      <w:hyperlink w:anchor="P176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</w:t>
      </w:r>
      <w:hyperlink w:anchor="P780">
        <w:r>
          <w:rPr>
            <w:color w:val="0000FF"/>
          </w:rPr>
          <w:t>запроса</w:t>
        </w:r>
      </w:hyperlink>
      <w:r>
        <w:t xml:space="preserve"> согласно приложению N 3 к настоящему Регламенту в филиале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области, в Министерстве государственного жилищного и строительного надзора Мурманской области, в том числе при наличии</w:t>
      </w:r>
      <w:proofErr w:type="gramEnd"/>
      <w:r>
        <w:t xml:space="preserve"> технической возможности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3">
        <w:r>
          <w:rPr>
            <w:color w:val="0000FF"/>
          </w:rPr>
          <w:t>подпункте 3) подпункта 2.5.1.1 пункта 2.5.1</w:t>
        </w:r>
      </w:hyperlink>
      <w:r>
        <w:t xml:space="preserve"> настоящего Регламента, находится в распоряжении Комитета и не является документом, обязанность по предоставлению которого возложена на заявителя.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2.5.4. Обязанность по предоставлению документов, указанных в </w:t>
      </w:r>
      <w:hyperlink w:anchor="P174">
        <w:r>
          <w:rPr>
            <w:color w:val="0000FF"/>
          </w:rPr>
          <w:t>подпунктах 4)</w:t>
        </w:r>
      </w:hyperlink>
      <w:r>
        <w:t xml:space="preserve">, </w:t>
      </w:r>
      <w:hyperlink w:anchor="P175">
        <w:r>
          <w:rPr>
            <w:color w:val="0000FF"/>
          </w:rPr>
          <w:t>5)</w:t>
        </w:r>
      </w:hyperlink>
      <w:r>
        <w:t xml:space="preserve">, </w:t>
      </w:r>
      <w:hyperlink w:anchor="P177">
        <w:r>
          <w:rPr>
            <w:color w:val="0000FF"/>
          </w:rPr>
          <w:t>7)</w:t>
        </w:r>
      </w:hyperlink>
      <w:r>
        <w:t xml:space="preserve">, </w:t>
      </w:r>
      <w:hyperlink w:anchor="P178">
        <w:r>
          <w:rPr>
            <w:color w:val="0000FF"/>
          </w:rPr>
          <w:t>8)</w:t>
        </w:r>
      </w:hyperlink>
      <w:r>
        <w:t xml:space="preserve">, </w:t>
      </w:r>
      <w:hyperlink w:anchor="P179">
        <w:r>
          <w:rPr>
            <w:color w:val="0000FF"/>
          </w:rPr>
          <w:t>9) подпункта 2.5.1.1</w:t>
        </w:r>
      </w:hyperlink>
      <w:r>
        <w:t xml:space="preserve">, </w:t>
      </w:r>
      <w:hyperlink w:anchor="P183">
        <w:r>
          <w:rPr>
            <w:color w:val="0000FF"/>
          </w:rPr>
          <w:t>подпунктах 2)</w:t>
        </w:r>
      </w:hyperlink>
      <w:r>
        <w:t xml:space="preserve">, </w:t>
      </w:r>
      <w:hyperlink w:anchor="P185">
        <w:r>
          <w:rPr>
            <w:color w:val="0000FF"/>
          </w:rPr>
          <w:t>4) подпункта 2.5.1.2</w:t>
        </w:r>
      </w:hyperlink>
      <w:r>
        <w:t xml:space="preserve">, </w:t>
      </w:r>
      <w:hyperlink w:anchor="P189">
        <w:r>
          <w:rPr>
            <w:color w:val="0000FF"/>
          </w:rPr>
          <w:t>подпункте 2) подпункта 2.5.1.3 пункта 2.5.1</w:t>
        </w:r>
      </w:hyperlink>
      <w:r>
        <w:t xml:space="preserve"> настоящего Регламента, возложена на заявителя.</w:t>
      </w:r>
    </w:p>
    <w:p w:rsidR="00184E4C" w:rsidRDefault="00184E4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4">
        <w:r>
          <w:rPr>
            <w:color w:val="0000FF"/>
          </w:rPr>
          <w:t>подпункте 4) подпункта 2.5.1.1 пункта 2.5.1</w:t>
        </w:r>
      </w:hyperlink>
      <w:r>
        <w:t xml:space="preserve"> настоящего Регламента, заявитель получает самостоятельно в организациях, осуществляющих эксплуатацию сетей инженерно-технического обеспечения объекта и выдавших технические условия на подключение к соответствующим сетям.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5">
        <w:r>
          <w:rPr>
            <w:color w:val="0000FF"/>
          </w:rPr>
          <w:t>подпункте 5) подпункта 2.5.1.1 пункта 2.5.1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7">
        <w:r>
          <w:rPr>
            <w:color w:val="0000FF"/>
          </w:rPr>
          <w:t>подпункте 7) подпункта 2.5.1.1</w:t>
        </w:r>
      </w:hyperlink>
      <w:r>
        <w:t xml:space="preserve">, </w:t>
      </w:r>
      <w:hyperlink w:anchor="P183">
        <w:r>
          <w:rPr>
            <w:color w:val="0000FF"/>
          </w:rPr>
          <w:t>подпункте 2) подпункта 2.5.1.2 пункта 2.5.1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кадастровые работы.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Договоры, указанные в </w:t>
      </w:r>
      <w:hyperlink w:anchor="P178">
        <w:r>
          <w:rPr>
            <w:color w:val="0000FF"/>
          </w:rPr>
          <w:t>подпункте 8) подпункта 2.5.1.1 пункта 2.5.1</w:t>
        </w:r>
      </w:hyperlink>
      <w:r>
        <w:t xml:space="preserve"> настоящего Регламента, заявитель заключает самостоятельно в рамках гражданско-правовых отношений.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2.5.5. Неполучение (несвоевременное получение) документов, запрошенных в соответствии с </w:t>
      </w:r>
      <w:hyperlink w:anchor="P193">
        <w:r>
          <w:rPr>
            <w:color w:val="0000FF"/>
          </w:rPr>
          <w:t>абзацем 3 пункта 2.5.3</w:t>
        </w:r>
      </w:hyperlink>
      <w:r>
        <w:t xml:space="preserve"> настоящего Регламента, не может являться основанием для отказа в предоставлении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2.5.6. Заявление о получении разрешения на ввод объекта в эксплуатацию, Заявление о внесении изменений, Заявление о выдаче дубликата с прилагаемыми документами по выбору заявителя представляется: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при личном обращении в Комитет, отделение ГОБУ "МФЦ МО";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2.5.7. Все строки заявления о получении разрешения на ввод объекта в эксплуатацию, Заявления о внесении изменений, Заявления о выдаче дубликата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2.5.8. Заявление о получении разрешения на ввод объекта в эксплуатацию, Заявление о внесении изменений, Заявление о выдаче дубликата заверяется подписью заявителя (представителя заявителя).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 случае представления заявления о получении разрешения на ввод объекта в эксплуатацию, Заявления о внесении изменений, Заявления о выдаче дубликата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(физического)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  <w:bookmarkStart w:id="14" w:name="_GoBack"/>
      <w:bookmarkEnd w:id="14"/>
    </w:p>
    <w:sectPr w:rsidR="00184E4C" w:rsidSect="0063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4C"/>
    <w:rsid w:val="0000206C"/>
    <w:rsid w:val="00184E4C"/>
    <w:rsid w:val="00D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3567" TargetMode="External"/><Relationship Id="rId13" Type="http://schemas.openxmlformats.org/officeDocument/2006/relationships/hyperlink" Target="https://login.consultant.ru/link/?req=doc&amp;base=RLAW087&amp;n=143895&amp;dst=100018" TargetMode="External"/><Relationship Id="rId18" Type="http://schemas.openxmlformats.org/officeDocument/2006/relationships/hyperlink" Target="https://login.consultant.ru/link/?req=doc&amp;base=RLAW087&amp;n=143895&amp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565&amp;dst=3613" TargetMode="External"/><Relationship Id="rId12" Type="http://schemas.openxmlformats.org/officeDocument/2006/relationships/hyperlink" Target="https://login.consultant.ru/link/?req=doc&amp;base=LAW&amp;n=511565&amp;dst=3808" TargetMode="External"/><Relationship Id="rId17" Type="http://schemas.openxmlformats.org/officeDocument/2006/relationships/hyperlink" Target="https://login.consultant.ru/link/?req=doc&amp;base=LAW&amp;n=511565&amp;dst=32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565&amp;dst=31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2910" TargetMode="External"/><Relationship Id="rId11" Type="http://schemas.openxmlformats.org/officeDocument/2006/relationships/hyperlink" Target="https://login.consultant.ru/link/?req=doc&amp;base=RLAW087&amp;n=143895&amp;dst=100016" TargetMode="External"/><Relationship Id="rId5" Type="http://schemas.openxmlformats.org/officeDocument/2006/relationships/hyperlink" Target="https://login.consultant.ru/link/?req=doc&amp;base=LAW&amp;n=511565&amp;dst=3554" TargetMode="External"/><Relationship Id="rId15" Type="http://schemas.openxmlformats.org/officeDocument/2006/relationships/hyperlink" Target="https://login.consultant.ru/link/?req=doc&amp;base=LAW&amp;n=334998" TargetMode="External"/><Relationship Id="rId10" Type="http://schemas.openxmlformats.org/officeDocument/2006/relationships/hyperlink" Target="https://login.consultant.ru/link/?req=doc&amp;base=LAW&amp;n=461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46" TargetMode="External"/><Relationship Id="rId14" Type="http://schemas.openxmlformats.org/officeDocument/2006/relationships/hyperlink" Target="https://login.consultant.ru/link/?req=doc&amp;base=RLAW087&amp;n=143895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2</cp:revision>
  <dcterms:created xsi:type="dcterms:W3CDTF">2026-03-13T14:22:00Z</dcterms:created>
  <dcterms:modified xsi:type="dcterms:W3CDTF">2026-03-13T14:28:00Z</dcterms:modified>
</cp:coreProperties>
</file>