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0"/>
      <w:bookmarkStart w:id="1" w:name="_GoBack"/>
      <w:bookmarkEnd w:id="0"/>
      <w:bookmarkEnd w:id="1"/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 Перечень документов, необходимых для предоставления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9"/>
      <w:bookmarkEnd w:id="2"/>
      <w:r w:rsidRPr="00D72061">
        <w:rPr>
          <w:rFonts w:ascii="Times New Roman" w:hAnsi="Times New Roman" w:cs="Times New Roman"/>
          <w:sz w:val="28"/>
          <w:szCs w:val="28"/>
        </w:rPr>
        <w:t>2.5.1. Для предоставления муниципальной услуги необходимы следующие документы.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2.5.1.1. В случае строительства или реконструкции объекта индивидуального жилищного строительства или садового дома: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1"/>
      <w:bookmarkEnd w:id="3"/>
      <w:r w:rsidRPr="00D72061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52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согласно приложению N 1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3"/>
      <w:bookmarkEnd w:id="5"/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5"/>
      <w:bookmarkEnd w:id="6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6"/>
      <w:bookmarkEnd w:id="7"/>
      <w:r w:rsidRPr="00D72061">
        <w:rPr>
          <w:rFonts w:ascii="Times New Roman" w:hAnsi="Times New Roman" w:cs="Times New Roman"/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7"/>
      <w:bookmarkEnd w:id="8"/>
      <w:r w:rsidRPr="00D72061">
        <w:rPr>
          <w:rFonts w:ascii="Times New Roman" w:hAnsi="Times New Roman" w:cs="Times New Roman"/>
          <w:sz w:val="28"/>
          <w:szCs w:val="28"/>
        </w:rPr>
        <w:t xml:space="preserve">ж)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8"/>
      <w:bookmarkEnd w:id="9"/>
      <w:r w:rsidRPr="00D72061">
        <w:rPr>
          <w:rFonts w:ascii="Times New Roman" w:hAnsi="Times New Roman" w:cs="Times New Roman"/>
          <w:sz w:val="28"/>
          <w:szCs w:val="28"/>
        </w:rPr>
        <w:t>2.5.1.2. В случае 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9"/>
      <w:bookmarkEnd w:id="10"/>
      <w:r w:rsidRPr="00D72061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60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согласно приложению N 2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0"/>
      <w:bookmarkEnd w:id="11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3"/>
      <w:bookmarkEnd w:id="12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4"/>
      <w:bookmarkEnd w:id="13"/>
      <w:r w:rsidRPr="00D72061">
        <w:rPr>
          <w:rFonts w:ascii="Times New Roman" w:hAnsi="Times New Roman" w:cs="Times New Roman"/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5"/>
      <w:bookmarkEnd w:id="14"/>
      <w:r w:rsidRPr="00D72061">
        <w:rPr>
          <w:rFonts w:ascii="Times New Roman" w:hAnsi="Times New Roman" w:cs="Times New Roman"/>
          <w:sz w:val="28"/>
          <w:szCs w:val="28"/>
        </w:rPr>
        <w:t xml:space="preserve">ж) описание внешнего облика объекта индивидуального жилищного строительства или садового дома,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6"/>
      <w:bookmarkEnd w:id="15"/>
      <w:r w:rsidRPr="00D72061">
        <w:rPr>
          <w:rFonts w:ascii="Times New Roman" w:hAnsi="Times New Roman" w:cs="Times New Roman"/>
          <w:sz w:val="28"/>
          <w:szCs w:val="28"/>
        </w:rPr>
        <w:t xml:space="preserve">2.5.1.3.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7"/>
      <w:bookmarkEnd w:id="16"/>
      <w:r w:rsidRPr="00D72061">
        <w:rPr>
          <w:rFonts w:ascii="Times New Roman" w:hAnsi="Times New Roman" w:cs="Times New Roman"/>
          <w:sz w:val="28"/>
          <w:szCs w:val="28"/>
        </w:rPr>
        <w:t xml:space="preserve">а) заявление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8"/>
      <w:bookmarkEnd w:id="17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Регламенту,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по форме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1"/>
      <w:bookmarkEnd w:id="18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02"/>
      <w:bookmarkEnd w:id="19"/>
      <w:r w:rsidRPr="00D72061">
        <w:rPr>
          <w:rFonts w:ascii="Times New Roman" w:hAnsi="Times New Roman" w:cs="Times New Roman"/>
          <w:sz w:val="28"/>
          <w:szCs w:val="28"/>
        </w:rPr>
        <w:lastRenderedPageBreak/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3"/>
      <w:bookmarkEnd w:id="20"/>
      <w:r w:rsidRPr="00D72061">
        <w:rPr>
          <w:rFonts w:ascii="Times New Roman" w:hAnsi="Times New Roman" w:cs="Times New Roman"/>
          <w:sz w:val="28"/>
          <w:szCs w:val="28"/>
        </w:rPr>
        <w:t xml:space="preserve">2.5.1.4.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изменения параметров планируемого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4"/>
      <w:bookmarkEnd w:id="21"/>
      <w:r w:rsidRPr="00D72061">
        <w:rPr>
          <w:rFonts w:ascii="Times New Roman" w:hAnsi="Times New Roman" w:cs="Times New Roman"/>
          <w:sz w:val="28"/>
          <w:szCs w:val="28"/>
        </w:rPr>
        <w:t>а) заявление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5"/>
      <w:bookmarkEnd w:id="22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Регламенту,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по форме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08"/>
      <w:bookmarkEnd w:id="23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09"/>
      <w:bookmarkEnd w:id="24"/>
      <w:r w:rsidRPr="00D72061">
        <w:rPr>
          <w:rFonts w:ascii="Times New Roman" w:hAnsi="Times New Roman" w:cs="Times New Roman"/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10"/>
      <w:bookmarkEnd w:id="25"/>
      <w:r w:rsidRPr="00D72061">
        <w:rPr>
          <w:rFonts w:ascii="Times New Roman" w:hAnsi="Times New Roman" w:cs="Times New Roman"/>
          <w:sz w:val="28"/>
          <w:szCs w:val="28"/>
        </w:rPr>
        <w:t xml:space="preserve">2.5.1.5.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18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ж) подпункта 2.5.1.1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ж) подпункта 2.5.1.2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е) подпункта 2.5.1.3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е) подпункта 2.5.1.4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11"/>
      <w:bookmarkEnd w:id="26"/>
      <w:r w:rsidRPr="00D72061">
        <w:rPr>
          <w:rFonts w:ascii="Times New Roman" w:hAnsi="Times New Roman" w:cs="Times New Roman"/>
          <w:sz w:val="28"/>
          <w:szCs w:val="28"/>
        </w:rPr>
        <w:t xml:space="preserve">2.5.1.6. В рамках межведомственного информационного взаимодействия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в электронной форме с использованием средств обеспечения межведомственного электронного взаимодействия Комитетом в Публично-правовой компании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" по Мурманской области получаются сведения о правоустанавливающих документах на земельный участок, если заявитель не представил указанные документы самостоятельно.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18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в) подпунктов 2.5.1.1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2.5.1.2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2.5.1.3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2.5.1.4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представляет самостоятельно, если права на земельный участок не зарегистрированы в Едином государственном реестре недвижимости.</w:t>
      </w:r>
    </w:p>
    <w:sectPr w:rsidR="00D72061" w:rsidRPr="00D72061" w:rsidSect="0043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61"/>
    <w:rsid w:val="001920E8"/>
    <w:rsid w:val="007817A0"/>
    <w:rsid w:val="00D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20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20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4&amp;dst=2597" TargetMode="External"/><Relationship Id="rId5" Type="http://schemas.openxmlformats.org/officeDocument/2006/relationships/hyperlink" Target="https://login.consultant.ru/link/?req=doc&amp;base=LAW&amp;n=508514&amp;dst=25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2025-08-14T08:04:00Z</dcterms:created>
  <dcterms:modified xsi:type="dcterms:W3CDTF">2025-11-20T11:59:00Z</dcterms:modified>
</cp:coreProperties>
</file>