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39696925" w:edGrp="everyone"/>
      <w:permEnd w:id="203969692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76089136" w:edGrp="everyone"/>
      <w:permEnd w:id="14760891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68831036" w:edGrp="everyone" w:displacedByCustomXml="prev"/>
        <w:p w:rsidR="00D71F0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EC521A">
            <w:rPr>
              <w:b/>
              <w:szCs w:val="28"/>
              <w:lang w:eastAsia="ru-RU"/>
            </w:rPr>
            <w:t>2015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в районе дома </w:t>
          </w:r>
          <w:r w:rsidR="00EC521A">
            <w:rPr>
              <w:b/>
              <w:szCs w:val="28"/>
              <w:lang w:eastAsia="ru-RU"/>
            </w:rPr>
            <w:t>2</w:t>
          </w:r>
          <w:r w:rsidR="00402DE2">
            <w:rPr>
              <w:b/>
              <w:szCs w:val="28"/>
              <w:lang w:eastAsia="ru-RU"/>
            </w:rPr>
            <w:t>2</w:t>
          </w:r>
          <w:r w:rsidR="00353F0A">
            <w:rPr>
              <w:b/>
              <w:szCs w:val="28"/>
              <w:lang w:eastAsia="ru-RU"/>
            </w:rPr>
            <w:t xml:space="preserve"> </w:t>
          </w:r>
          <w:r>
            <w:rPr>
              <w:b/>
              <w:szCs w:val="28"/>
              <w:lang w:eastAsia="ru-RU"/>
            </w:rPr>
            <w:t xml:space="preserve">по улице </w:t>
          </w:r>
          <w:r w:rsidR="00EC521A">
            <w:rPr>
              <w:b/>
              <w:szCs w:val="28"/>
              <w:lang w:eastAsia="ru-RU"/>
            </w:rPr>
            <w:t>Полухина</w:t>
          </w:r>
        </w:p>
        <w:permEnd w:id="96883103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824983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482498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70164207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701DFE">
        <w:rPr>
          <w:szCs w:val="28"/>
          <w:lang w:eastAsia="ru-RU"/>
        </w:rPr>
        <w:t>20:000</w:t>
      </w:r>
      <w:r w:rsidR="00EC521A">
        <w:rPr>
          <w:szCs w:val="28"/>
          <w:lang w:eastAsia="ru-RU"/>
        </w:rPr>
        <w:t>2015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EC521A">
        <w:rPr>
          <w:szCs w:val="28"/>
          <w:lang w:eastAsia="ru-RU"/>
        </w:rPr>
        <w:t>2</w:t>
      </w:r>
      <w:r w:rsidR="00701DFE">
        <w:rPr>
          <w:szCs w:val="28"/>
          <w:lang w:eastAsia="ru-RU"/>
        </w:rPr>
        <w:t>2</w:t>
      </w:r>
      <w:r w:rsidR="00701DFE" w:rsidRPr="005F4E4F">
        <w:rPr>
          <w:szCs w:val="28"/>
          <w:lang w:eastAsia="ru-RU"/>
        </w:rPr>
        <w:t xml:space="preserve"> по улице </w:t>
      </w:r>
      <w:r w:rsidR="00EC521A">
        <w:rPr>
          <w:szCs w:val="28"/>
          <w:lang w:eastAsia="ru-RU"/>
        </w:rPr>
        <w:t>Полухина</w:t>
      </w:r>
      <w:bookmarkStart w:id="0" w:name="_GoBack"/>
      <w:bookmarkEnd w:id="0"/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70164207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06231696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80623169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1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521A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F94DA2-3148-479E-8ACE-5A58B1E4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387</Words>
  <Characters>2208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108</cp:revision>
  <cp:lastPrinted>2025-12-09T09:47:00Z</cp:lastPrinted>
  <dcterms:created xsi:type="dcterms:W3CDTF">2023-03-27T06:48:00Z</dcterms:created>
  <dcterms:modified xsi:type="dcterms:W3CDTF">2026-02-27T07:57:00Z</dcterms:modified>
</cp:coreProperties>
</file>