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61" w:rsidRPr="00CB7011" w:rsidRDefault="00CC2C61" w:rsidP="00CC2C61">
      <w:pPr>
        <w:jc w:val="center"/>
        <w:rPr>
          <w:szCs w:val="28"/>
          <w:lang w:eastAsia="en-US"/>
        </w:rPr>
      </w:pPr>
      <w:r w:rsidRPr="00CB7011">
        <w:rPr>
          <w:szCs w:val="28"/>
          <w:lang w:val="en-US" w:eastAsia="en-US"/>
        </w:rPr>
        <w:t>V</w:t>
      </w:r>
      <w:r w:rsidRPr="00CB7011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 xml:space="preserve">Подпрограмма </w:t>
      </w:r>
      <w:r w:rsidRPr="00CB7011">
        <w:rPr>
          <w:szCs w:val="28"/>
          <w:lang w:eastAsia="en-US"/>
        </w:rPr>
        <w:t>«Обеспечение предоставления муниципальных услуг (работ) в сфере общего и допо</w:t>
      </w:r>
      <w:r>
        <w:rPr>
          <w:szCs w:val="28"/>
          <w:lang w:eastAsia="en-US"/>
        </w:rPr>
        <w:t>лнительного образования» на 2018</w:t>
      </w:r>
      <w:r w:rsidRPr="00CB7011">
        <w:rPr>
          <w:szCs w:val="28"/>
          <w:lang w:eastAsia="en-US"/>
        </w:rPr>
        <w:t xml:space="preserve"> – </w:t>
      </w:r>
      <w:r>
        <w:rPr>
          <w:szCs w:val="28"/>
          <w:lang w:eastAsia="en-US"/>
        </w:rPr>
        <w:t>2024</w:t>
      </w:r>
      <w:r w:rsidRPr="00CB7011">
        <w:rPr>
          <w:szCs w:val="28"/>
          <w:lang w:eastAsia="en-US"/>
        </w:rPr>
        <w:t>годы</w:t>
      </w:r>
    </w:p>
    <w:p w:rsidR="00CC2C61" w:rsidRDefault="00CC2C61" w:rsidP="00CC2C61">
      <w:pPr>
        <w:ind w:firstLine="720"/>
        <w:jc w:val="center"/>
        <w:rPr>
          <w:bCs/>
          <w:sz w:val="24"/>
          <w:szCs w:val="24"/>
          <w:lang w:eastAsia="en-US"/>
        </w:rPr>
      </w:pPr>
    </w:p>
    <w:p w:rsidR="00CC2C61" w:rsidRPr="00CB7011" w:rsidRDefault="00CC2C61" w:rsidP="00CC2C61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Паспорт подпрограммы</w:t>
      </w:r>
    </w:p>
    <w:p w:rsidR="00CC2C61" w:rsidRPr="00CB7011" w:rsidRDefault="00CC2C61" w:rsidP="00CC2C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CC2C61" w:rsidRPr="00CB7011" w:rsidTr="00121705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CB701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Наименование муниципальной</w:t>
            </w:r>
            <w:r>
              <w:rPr>
                <w:szCs w:val="28"/>
                <w:lang w:eastAsia="en-US"/>
              </w:rPr>
              <w:t xml:space="preserve">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CB7011" w:rsidRDefault="00CC2C61" w:rsidP="00121705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«Развитие образования» на 20</w:t>
            </w:r>
            <w:r>
              <w:rPr>
                <w:szCs w:val="28"/>
                <w:lang w:eastAsia="en-US"/>
              </w:rPr>
              <w:t>18</w:t>
            </w:r>
            <w:r w:rsidRPr="00CB7011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>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CC2C61" w:rsidRPr="00CB7011" w:rsidTr="001217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CB701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CB7011" w:rsidRDefault="00CC2C61" w:rsidP="00121705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 w:rsidRPr="00CB7011">
              <w:rPr>
                <w:bCs/>
                <w:szCs w:val="28"/>
                <w:lang w:eastAsia="en-US"/>
              </w:rPr>
              <w:t>Организация предоставления качественного и доступного общего и дополнительного образования</w:t>
            </w:r>
          </w:p>
        </w:tc>
      </w:tr>
      <w:tr w:rsidR="00CC2C61" w:rsidRPr="00CB7011" w:rsidTr="001217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CB701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Важнейшие целевые показа</w:t>
            </w:r>
            <w:r>
              <w:rPr>
                <w:szCs w:val="28"/>
                <w:lang w:eastAsia="en-US"/>
              </w:rPr>
              <w:t>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8302EA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2C61" w:rsidRPr="008302EA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</w:t>
            </w:r>
            <w:r>
              <w:rPr>
                <w:szCs w:val="28"/>
                <w:lang w:eastAsia="en-US"/>
              </w:rPr>
              <w:t xml:space="preserve"> ЕГЭ</w:t>
            </w:r>
            <w:r w:rsidRPr="008302EA">
              <w:rPr>
                <w:szCs w:val="28"/>
                <w:lang w:eastAsia="en-US"/>
              </w:rPr>
              <w:t>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2C6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2C61" w:rsidRPr="00F577F6" w:rsidRDefault="00CC2C61" w:rsidP="00121705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%;</w:t>
            </w:r>
          </w:p>
          <w:p w:rsidR="00CC2C61" w:rsidRPr="00F577F6" w:rsidRDefault="00CC2C61" w:rsidP="00121705">
            <w:pPr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использующих сертификаты дополнительного образования в статусе сертификатов персонифи</w:t>
            </w:r>
            <w:r>
              <w:rPr>
                <w:szCs w:val="28"/>
              </w:rPr>
              <w:t>цированного финансирования, %;</w:t>
            </w:r>
          </w:p>
          <w:p w:rsidR="00CC2C61" w:rsidRPr="008302EA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среднего балла </w:t>
            </w:r>
            <w:r>
              <w:rPr>
                <w:szCs w:val="28"/>
                <w:lang w:eastAsia="en-US"/>
              </w:rPr>
              <w:t xml:space="preserve">ЕГЭ </w:t>
            </w:r>
            <w:r w:rsidRPr="008302EA">
              <w:rPr>
                <w:szCs w:val="28"/>
                <w:lang w:eastAsia="en-US"/>
              </w:rPr>
              <w:t xml:space="preserve">(в расчете на один предмет) в 10% школ с лучшими результатами единого государственного экзамена к среднему баллу </w:t>
            </w:r>
            <w:r>
              <w:rPr>
                <w:szCs w:val="28"/>
                <w:lang w:eastAsia="en-US"/>
              </w:rPr>
              <w:t xml:space="preserve">ЕГЭ </w:t>
            </w:r>
            <w:r w:rsidRPr="008302EA">
              <w:rPr>
                <w:szCs w:val="28"/>
                <w:lang w:eastAsia="en-US"/>
              </w:rPr>
              <w:t>(в расче</w:t>
            </w:r>
            <w:r>
              <w:rPr>
                <w:szCs w:val="28"/>
                <w:lang w:eastAsia="en-US"/>
              </w:rPr>
              <w:t>те на один</w:t>
            </w:r>
            <w:r w:rsidRPr="008302EA">
              <w:rPr>
                <w:szCs w:val="28"/>
                <w:lang w:eastAsia="en-US"/>
              </w:rPr>
              <w:t xml:space="preserve"> предмет) в 10% школ с худшими результатами</w:t>
            </w:r>
            <w:r>
              <w:rPr>
                <w:szCs w:val="28"/>
                <w:lang w:eastAsia="en-US"/>
              </w:rPr>
              <w:t xml:space="preserve"> ЕГЭ,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CC2C61" w:rsidRPr="008302EA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от обще</w:t>
            </w:r>
            <w:r>
              <w:rPr>
                <w:szCs w:val="28"/>
                <w:lang w:eastAsia="en-US"/>
              </w:rPr>
              <w:t>го числа детей-инвалидов,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2C61" w:rsidRPr="008302EA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ОУ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2C6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</w:t>
            </w:r>
            <w:r w:rsidRPr="008302EA">
              <w:rPr>
                <w:szCs w:val="28"/>
                <w:lang w:eastAsia="en-US"/>
              </w:rPr>
              <w:lastRenderedPageBreak/>
              <w:t xml:space="preserve">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CC2C61" w:rsidRPr="008302EA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123436">
              <w:rPr>
                <w:szCs w:val="28"/>
                <w:lang w:eastAsia="en-US"/>
              </w:rPr>
              <w:t xml:space="preserve"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</w:t>
            </w:r>
            <w:r>
              <w:rPr>
                <w:szCs w:val="28"/>
                <w:lang w:eastAsia="en-US"/>
              </w:rPr>
              <w:t>работников такой категории, %;</w:t>
            </w:r>
          </w:p>
          <w:p w:rsidR="00CC2C61" w:rsidRPr="008302EA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CC2C61" w:rsidRPr="008302EA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CC2C61" w:rsidRPr="008302EA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CC2C61" w:rsidRPr="00CB701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</w:t>
            </w:r>
            <w:r>
              <w:rPr>
                <w:szCs w:val="28"/>
                <w:lang w:eastAsia="en-US"/>
              </w:rPr>
              <w:t xml:space="preserve">ОУ </w:t>
            </w:r>
            <w:r w:rsidRPr="008302EA">
              <w:rPr>
                <w:szCs w:val="28"/>
                <w:lang w:eastAsia="en-US"/>
              </w:rPr>
              <w:t>требованиям надзорных органов – ежегодно</w:t>
            </w:r>
          </w:p>
        </w:tc>
      </w:tr>
      <w:tr w:rsidR="00CC2C61" w:rsidRPr="00CB7011" w:rsidTr="0012170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CB701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lastRenderedPageBreak/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CB7011" w:rsidRDefault="00CC2C61" w:rsidP="0012170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</w:t>
            </w:r>
          </w:p>
        </w:tc>
      </w:tr>
      <w:tr w:rsidR="00CC2C61" w:rsidRPr="00CB7011" w:rsidTr="00121705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CB7011" w:rsidRDefault="00CC2C61" w:rsidP="001217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Сроки и </w:t>
            </w:r>
            <w:r>
              <w:rPr>
                <w:szCs w:val="28"/>
                <w:lang w:eastAsia="en-US"/>
              </w:rPr>
              <w:t>этапы реализации подпрограммы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CB701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8302EA"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 xml:space="preserve"> 2024</w:t>
            </w:r>
            <w:r w:rsidRPr="00CB7011">
              <w:rPr>
                <w:szCs w:val="28"/>
                <w:lang w:eastAsia="en-US"/>
              </w:rPr>
              <w:t xml:space="preserve"> годы</w:t>
            </w:r>
          </w:p>
        </w:tc>
      </w:tr>
      <w:tr w:rsidR="00CC2C61" w:rsidRPr="00CB7011" w:rsidTr="00121705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0A78F9" w:rsidRDefault="00CC2C61" w:rsidP="00121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Default="00CC2C61" w:rsidP="00121705">
            <w:pPr>
              <w:tabs>
                <w:tab w:val="left" w:pos="709"/>
              </w:tabs>
              <w:jc w:val="both"/>
            </w:pPr>
            <w:r>
              <w:t>Всего по подпрограмме: 29 148 506,4 тыс. руб., в т.ч.:</w:t>
            </w:r>
          </w:p>
          <w:p w:rsidR="00CC2C61" w:rsidRDefault="00CC2C61" w:rsidP="00121705">
            <w:pPr>
              <w:tabs>
                <w:tab w:val="left" w:pos="709"/>
              </w:tabs>
              <w:jc w:val="both"/>
            </w:pPr>
            <w:r>
              <w:t>МБ: 11 680 594,5 тыс. руб., из них:</w:t>
            </w:r>
          </w:p>
          <w:p w:rsidR="00CC2C61" w:rsidRDefault="00CC2C61" w:rsidP="00121705">
            <w:pPr>
              <w:tabs>
                <w:tab w:val="left" w:pos="709"/>
              </w:tabs>
              <w:jc w:val="both"/>
            </w:pPr>
            <w:r>
              <w:t>2018 год – 1 462 467,0 тыс. руб.;</w:t>
            </w:r>
          </w:p>
          <w:p w:rsidR="00CC2C61" w:rsidRDefault="00CC2C61" w:rsidP="00121705">
            <w:pPr>
              <w:tabs>
                <w:tab w:val="left" w:pos="709"/>
              </w:tabs>
              <w:jc w:val="both"/>
            </w:pPr>
            <w:r>
              <w:t>2019 год – 1 609 672,0 тыс. руб.;</w:t>
            </w:r>
          </w:p>
          <w:p w:rsidR="00CC2C61" w:rsidRDefault="00CC2C61" w:rsidP="00121705">
            <w:pPr>
              <w:tabs>
                <w:tab w:val="left" w:pos="709"/>
              </w:tabs>
              <w:jc w:val="both"/>
            </w:pPr>
            <w:r>
              <w:t>2020 год – 1 645 955,3 тыс. руб.;</w:t>
            </w:r>
          </w:p>
          <w:p w:rsidR="00CC2C61" w:rsidRDefault="00CC2C61" w:rsidP="00121705">
            <w:pPr>
              <w:tabs>
                <w:tab w:val="left" w:pos="709"/>
              </w:tabs>
              <w:jc w:val="both"/>
            </w:pPr>
            <w:r>
              <w:t>2021 год – 1 648 144,0 тыс. руб.;</w:t>
            </w:r>
          </w:p>
          <w:p w:rsidR="00CC2C61" w:rsidRDefault="00CC2C61" w:rsidP="00121705">
            <w:pPr>
              <w:tabs>
                <w:tab w:val="left" w:pos="709"/>
              </w:tabs>
              <w:jc w:val="both"/>
            </w:pPr>
            <w:r>
              <w:t>2022 год – 1 698 199,4 тыс. руб.;</w:t>
            </w:r>
          </w:p>
          <w:p w:rsidR="00CC2C61" w:rsidRDefault="00CC2C61" w:rsidP="00121705">
            <w:pPr>
              <w:tabs>
                <w:tab w:val="left" w:pos="709"/>
              </w:tabs>
              <w:jc w:val="both"/>
            </w:pPr>
            <w:r>
              <w:t>2023 год – 1 740 597,1 тыс. руб.;</w:t>
            </w:r>
          </w:p>
          <w:p w:rsidR="00CC2C61" w:rsidRDefault="00CC2C61" w:rsidP="00121705">
            <w:pPr>
              <w:tabs>
                <w:tab w:val="left" w:pos="709"/>
              </w:tabs>
              <w:jc w:val="both"/>
            </w:pPr>
            <w:r>
              <w:t>2024 год – 1 875 559,7 тыс. руб.;</w:t>
            </w:r>
          </w:p>
          <w:p w:rsidR="00CC2C61" w:rsidRDefault="00CC2C61" w:rsidP="00121705">
            <w:pPr>
              <w:tabs>
                <w:tab w:val="left" w:pos="709"/>
              </w:tabs>
              <w:jc w:val="both"/>
            </w:pPr>
            <w:r>
              <w:t>ОБ: 16 760 977,9 тыс. руб., из них:</w:t>
            </w:r>
          </w:p>
          <w:p w:rsidR="00CC2C61" w:rsidRDefault="00CC2C61" w:rsidP="00121705">
            <w:pPr>
              <w:tabs>
                <w:tab w:val="left" w:pos="709"/>
              </w:tabs>
              <w:jc w:val="both"/>
            </w:pPr>
            <w:r>
              <w:t>2018 год – 2 165 761,4 тыс. руб.;</w:t>
            </w:r>
          </w:p>
          <w:p w:rsidR="00CC2C61" w:rsidRDefault="00CC2C61" w:rsidP="00121705">
            <w:pPr>
              <w:tabs>
                <w:tab w:val="left" w:pos="709"/>
              </w:tabs>
              <w:jc w:val="both"/>
            </w:pPr>
            <w:r>
              <w:t>2019 год – 2 223 824,6 тыс. руб.;</w:t>
            </w:r>
          </w:p>
          <w:p w:rsidR="00CC2C61" w:rsidRDefault="00CC2C61" w:rsidP="00121705">
            <w:pPr>
              <w:tabs>
                <w:tab w:val="left" w:pos="709"/>
              </w:tabs>
              <w:jc w:val="both"/>
            </w:pPr>
            <w:r>
              <w:t>2020 год – 2 299 637,7 тыс. руб.;</w:t>
            </w:r>
          </w:p>
          <w:p w:rsidR="00CC2C61" w:rsidRDefault="00CC2C61" w:rsidP="00121705">
            <w:pPr>
              <w:tabs>
                <w:tab w:val="left" w:pos="709"/>
              </w:tabs>
              <w:jc w:val="both"/>
            </w:pPr>
            <w:r>
              <w:t>2021 год – 2 497 506,9 тыс. руб.;</w:t>
            </w:r>
          </w:p>
          <w:p w:rsidR="00CC2C61" w:rsidRDefault="00CC2C61" w:rsidP="00121705">
            <w:pPr>
              <w:tabs>
                <w:tab w:val="left" w:pos="709"/>
              </w:tabs>
              <w:jc w:val="both"/>
            </w:pPr>
            <w:r>
              <w:t>2022 год – 2 505 352,0 тыс. руб.;</w:t>
            </w:r>
          </w:p>
          <w:p w:rsidR="00CC2C61" w:rsidRDefault="00CC2C61" w:rsidP="00121705">
            <w:pPr>
              <w:tabs>
                <w:tab w:val="left" w:pos="709"/>
              </w:tabs>
              <w:jc w:val="both"/>
            </w:pPr>
            <w:r>
              <w:t>2023 год – 2 542 320,9 тыс. руб.;</w:t>
            </w:r>
          </w:p>
          <w:p w:rsidR="00CC2C61" w:rsidRDefault="00CC2C61" w:rsidP="00121705">
            <w:pPr>
              <w:tabs>
                <w:tab w:val="left" w:pos="709"/>
              </w:tabs>
              <w:jc w:val="both"/>
            </w:pPr>
            <w:r>
              <w:t>2024 год – 2 526 574,4 тыс. руб.;</w:t>
            </w:r>
          </w:p>
          <w:p w:rsidR="00CC2C61" w:rsidRDefault="00CC2C61" w:rsidP="00121705">
            <w:pPr>
              <w:tabs>
                <w:tab w:val="left" w:pos="709"/>
              </w:tabs>
              <w:jc w:val="both"/>
            </w:pPr>
            <w:r>
              <w:t>ФБ: 706 934,0 тыс. руб., из них:</w:t>
            </w:r>
          </w:p>
          <w:p w:rsidR="00CC2C61" w:rsidRDefault="00CC2C61" w:rsidP="00121705">
            <w:pPr>
              <w:tabs>
                <w:tab w:val="left" w:pos="709"/>
              </w:tabs>
              <w:jc w:val="both"/>
            </w:pPr>
            <w:r>
              <w:lastRenderedPageBreak/>
              <w:t>2020 год – 70 693,4 тыс. руб.;</w:t>
            </w:r>
          </w:p>
          <w:p w:rsidR="00CC2C61" w:rsidRDefault="00CC2C61" w:rsidP="00121705">
            <w:pPr>
              <w:tabs>
                <w:tab w:val="left" w:pos="709"/>
              </w:tabs>
              <w:jc w:val="both"/>
            </w:pPr>
            <w:r>
              <w:t>2021 год – 212 080,2 тыс. руб.;</w:t>
            </w:r>
          </w:p>
          <w:p w:rsidR="00CC2C61" w:rsidRDefault="00CC2C61" w:rsidP="00121705">
            <w:pPr>
              <w:tabs>
                <w:tab w:val="left" w:pos="709"/>
              </w:tabs>
              <w:jc w:val="both"/>
            </w:pPr>
            <w:r>
              <w:t>2022 год – 212 080,2 тыс. руб.;</w:t>
            </w:r>
          </w:p>
          <w:p w:rsidR="00CC2C61" w:rsidRPr="000A78F9" w:rsidRDefault="00CC2C61" w:rsidP="00121705">
            <w:pPr>
              <w:tabs>
                <w:tab w:val="left" w:pos="709"/>
              </w:tabs>
              <w:jc w:val="both"/>
            </w:pPr>
            <w:r>
              <w:t>2023 год – 212 080,2 тыс. руб.</w:t>
            </w:r>
          </w:p>
        </w:tc>
      </w:tr>
      <w:tr w:rsidR="00CC2C61" w:rsidRPr="00CB7011" w:rsidTr="00121705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CB701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lastRenderedPageBreak/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004F8D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у</w:t>
            </w:r>
            <w:r w:rsidRPr="00004F8D">
              <w:rPr>
                <w:szCs w:val="28"/>
                <w:lang w:eastAsia="en-US"/>
              </w:rPr>
              <w:t xml:space="preserve">дельный вес численности населения в возрасте 5-18 лет, охваченного образованием, в общей численности населения в возрасте 5-18 лет </w:t>
            </w:r>
            <w:r>
              <w:rPr>
                <w:szCs w:val="28"/>
                <w:lang w:eastAsia="en-US"/>
              </w:rPr>
              <w:t>–100,0 %;</w:t>
            </w:r>
          </w:p>
          <w:p w:rsidR="00CC2C61" w:rsidRPr="00004F8D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д</w:t>
            </w:r>
            <w:r w:rsidRPr="00004F8D">
              <w:rPr>
                <w:szCs w:val="28"/>
                <w:lang w:eastAsia="en-US"/>
              </w:rPr>
              <w:t>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004F8D">
              <w:rPr>
                <w:szCs w:val="28"/>
                <w:lang w:eastAsia="en-US"/>
              </w:rPr>
              <w:t>, не сдавших</w:t>
            </w:r>
            <w:r>
              <w:rPr>
                <w:szCs w:val="28"/>
                <w:lang w:eastAsia="en-US"/>
              </w:rPr>
              <w:t xml:space="preserve"> ЕГЭ</w:t>
            </w:r>
            <w:r w:rsidRPr="00004F8D">
              <w:rPr>
                <w:szCs w:val="28"/>
                <w:lang w:eastAsia="en-US"/>
              </w:rPr>
              <w:t xml:space="preserve">, в общей численности выпускников муниципальных общеобразовательных </w:t>
            </w:r>
            <w:r>
              <w:rPr>
                <w:szCs w:val="28"/>
                <w:lang w:eastAsia="en-US"/>
              </w:rPr>
              <w:t>учреждений – 0,21 %;</w:t>
            </w:r>
          </w:p>
          <w:p w:rsidR="00CC2C6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  <w:r>
              <w:rPr>
                <w:szCs w:val="28"/>
                <w:lang w:eastAsia="en-US"/>
              </w:rPr>
              <w:t xml:space="preserve"> – 71,0 %;</w:t>
            </w:r>
          </w:p>
          <w:p w:rsidR="00CC2C61" w:rsidRPr="00F577F6" w:rsidRDefault="00CC2C61" w:rsidP="00121705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</w:t>
            </w:r>
            <w:r>
              <w:rPr>
                <w:szCs w:val="28"/>
              </w:rPr>
              <w:t xml:space="preserve">- 100,0 </w:t>
            </w:r>
            <w:r w:rsidRPr="00F577F6">
              <w:rPr>
                <w:szCs w:val="28"/>
              </w:rPr>
              <w:t>%;</w:t>
            </w:r>
          </w:p>
          <w:p w:rsidR="00CC2C61" w:rsidRPr="00F577F6" w:rsidRDefault="00CC2C61" w:rsidP="00121705">
            <w:pPr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использующих сертификаты дополнительного образования в статусе сертификатов персонифицированного финансирования, </w:t>
            </w:r>
            <w:r>
              <w:rPr>
                <w:szCs w:val="28"/>
              </w:rPr>
              <w:t>- 8,0 %;</w:t>
            </w:r>
          </w:p>
          <w:p w:rsidR="00CC2C61" w:rsidRPr="00004F8D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004F8D">
              <w:rPr>
                <w:szCs w:val="28"/>
              </w:rPr>
              <w:t xml:space="preserve">тношение среднего балла </w:t>
            </w:r>
            <w:r>
              <w:rPr>
                <w:szCs w:val="28"/>
              </w:rPr>
              <w:t xml:space="preserve">ЕГЭ </w:t>
            </w:r>
            <w:r w:rsidRPr="00004F8D">
              <w:rPr>
                <w:szCs w:val="28"/>
              </w:rPr>
              <w:t xml:space="preserve">(в расчете на один предмет) в 10% школ с лучшими результатами </w:t>
            </w:r>
            <w:r>
              <w:rPr>
                <w:szCs w:val="28"/>
              </w:rPr>
              <w:t xml:space="preserve">ЕГЭ </w:t>
            </w:r>
            <w:r w:rsidRPr="00004F8D">
              <w:rPr>
                <w:szCs w:val="28"/>
              </w:rPr>
              <w:t xml:space="preserve">к среднему баллу </w:t>
            </w:r>
            <w:r>
              <w:rPr>
                <w:szCs w:val="28"/>
              </w:rPr>
              <w:t xml:space="preserve">ЕГЭ </w:t>
            </w:r>
            <w:r w:rsidRPr="00004F8D">
              <w:rPr>
                <w:szCs w:val="28"/>
              </w:rPr>
              <w:t xml:space="preserve">(в расчете на </w:t>
            </w:r>
            <w:r>
              <w:rPr>
                <w:szCs w:val="28"/>
              </w:rPr>
              <w:t xml:space="preserve">один </w:t>
            </w:r>
            <w:r w:rsidRPr="00004F8D">
              <w:rPr>
                <w:szCs w:val="28"/>
              </w:rPr>
              <w:t xml:space="preserve">предмет) в 10% школ с худшими результатами </w:t>
            </w:r>
            <w:r>
              <w:rPr>
                <w:szCs w:val="28"/>
              </w:rPr>
              <w:t>ЕГЭ – 1,3%;</w:t>
            </w:r>
          </w:p>
          <w:p w:rsidR="00CC2C61" w:rsidRPr="00004F8D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004F8D">
              <w:rPr>
                <w:szCs w:val="28"/>
                <w:lang w:eastAsia="en-US"/>
              </w:rPr>
              <w:t>от общего числа детей-инвалидов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CC2C6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ОУ </w:t>
            </w:r>
            <w:r w:rsidRPr="00004F8D">
              <w:rPr>
                <w:szCs w:val="28"/>
                <w:lang w:eastAsia="en-US"/>
              </w:rPr>
              <w:t>общего образования к средней заработной плате в Мурманской области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CC2C61" w:rsidRPr="00004F8D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123436">
              <w:rPr>
                <w:szCs w:val="28"/>
                <w:lang w:eastAsia="en-US"/>
              </w:rPr>
              <w:t>- 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</w:t>
            </w:r>
            <w:r>
              <w:rPr>
                <w:szCs w:val="28"/>
                <w:lang w:eastAsia="en-US"/>
              </w:rPr>
              <w:t>ков такой категории – 100,0 %;</w:t>
            </w:r>
          </w:p>
          <w:p w:rsidR="00CC2C61" w:rsidRPr="00004F8D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lastRenderedPageBreak/>
              <w:t>дополнительного образования к средней заработной плате учителей в муниципальном образовании город Мурманск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CC2C61" w:rsidRPr="00004F8D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психолого-педагогического сопровождения детей и родителей (законных представителей)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CC2C61" w:rsidRPr="00004F8D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CC2C61" w:rsidRPr="00004F8D" w:rsidRDefault="00CC2C61" w:rsidP="0012170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исполнения бюджета муниципального образования город Мурманск по подведомственным учреждениям</w:t>
            </w:r>
            <w:r w:rsidRPr="002A6E88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ежегодно;</w:t>
            </w:r>
          </w:p>
          <w:p w:rsidR="00CC2C61" w:rsidRPr="00CB7011" w:rsidRDefault="00CC2C61" w:rsidP="00121705">
            <w:pPr>
              <w:tabs>
                <w:tab w:val="left" w:pos="214"/>
              </w:tabs>
              <w:snapToGrid w:val="0"/>
              <w:rPr>
                <w:bCs/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ф</w:t>
            </w:r>
            <w:r w:rsidRPr="00004F8D">
              <w:rPr>
                <w:szCs w:val="28"/>
                <w:lang w:eastAsia="en-US"/>
              </w:rPr>
              <w:t>ормирование услови</w:t>
            </w:r>
            <w:r>
              <w:rPr>
                <w:szCs w:val="28"/>
                <w:lang w:eastAsia="en-US"/>
              </w:rPr>
              <w:t xml:space="preserve">й, обеспечивающих соответствие ОУ </w:t>
            </w:r>
            <w:r w:rsidRPr="00004F8D">
              <w:rPr>
                <w:szCs w:val="28"/>
                <w:lang w:eastAsia="en-US"/>
              </w:rPr>
              <w:t>требованиям надзорных органов</w:t>
            </w:r>
            <w:r>
              <w:rPr>
                <w:szCs w:val="28"/>
                <w:lang w:eastAsia="en-US"/>
              </w:rPr>
              <w:t xml:space="preserve">, </w:t>
            </w:r>
            <w:r w:rsidRPr="002A6E88">
              <w:rPr>
                <w:szCs w:val="28"/>
                <w:lang w:eastAsia="en-US"/>
              </w:rPr>
              <w:t>– ежегодно</w:t>
            </w:r>
          </w:p>
        </w:tc>
      </w:tr>
    </w:tbl>
    <w:p w:rsidR="00CC2C61" w:rsidRDefault="00CC2C61" w:rsidP="00CC2C61">
      <w:pPr>
        <w:widowControl w:val="0"/>
        <w:tabs>
          <w:tab w:val="left" w:pos="1080"/>
        </w:tabs>
        <w:autoSpaceDE w:val="0"/>
        <w:autoSpaceDN w:val="0"/>
        <w:adjustRightInd w:val="0"/>
        <w:ind w:right="-3"/>
        <w:jc w:val="center"/>
        <w:rPr>
          <w:rFonts w:eastAsia="Calibri"/>
          <w:szCs w:val="28"/>
        </w:rPr>
      </w:pPr>
    </w:p>
    <w:p w:rsidR="00CC2C61" w:rsidRPr="00111E73" w:rsidRDefault="00CC2C61" w:rsidP="00CC2C61">
      <w:pPr>
        <w:widowControl w:val="0"/>
        <w:tabs>
          <w:tab w:val="left" w:pos="1080"/>
        </w:tabs>
        <w:autoSpaceDE w:val="0"/>
        <w:autoSpaceDN w:val="0"/>
        <w:adjustRightInd w:val="0"/>
        <w:spacing w:line="259" w:lineRule="auto"/>
        <w:ind w:right="-3"/>
        <w:jc w:val="center"/>
        <w:rPr>
          <w:rFonts w:eastAsia="Calibri"/>
          <w:szCs w:val="28"/>
        </w:rPr>
      </w:pPr>
      <w:r w:rsidRPr="00111E73">
        <w:rPr>
          <w:rFonts w:eastAsia="Calibri"/>
          <w:szCs w:val="28"/>
        </w:rPr>
        <w:t>1. Характеристика проблемы, на решение которой направлена подпрограмма</w:t>
      </w:r>
    </w:p>
    <w:p w:rsidR="00CC2C61" w:rsidRPr="00111E73" w:rsidRDefault="00CC2C61" w:rsidP="00CC2C61">
      <w:pPr>
        <w:autoSpaceDE w:val="0"/>
        <w:autoSpaceDN w:val="0"/>
        <w:adjustRightInd w:val="0"/>
        <w:ind w:right="-3" w:firstLine="567"/>
        <w:jc w:val="both"/>
        <w:rPr>
          <w:szCs w:val="28"/>
        </w:rPr>
      </w:pPr>
    </w:p>
    <w:p w:rsidR="00CC2C61" w:rsidRPr="00111E73" w:rsidRDefault="00CC2C61" w:rsidP="00CC2C61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Одним из приоритетных направлений в области общего среднего образования является обеспечение доступности качественного образования.</w:t>
      </w:r>
    </w:p>
    <w:p w:rsidR="00CC2C61" w:rsidRPr="00111E73" w:rsidRDefault="00CC2C61" w:rsidP="00CC2C61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Основной целью реализации подпрограммы является дальнейшее эффективное развитие системы общего и дополнительного образования в городе Мурманске, повышение доступности и качества образования в рамках существующей в городе потребности в образовательных услугах.</w:t>
      </w:r>
    </w:p>
    <w:p w:rsidR="00CC2C61" w:rsidRPr="00111E73" w:rsidRDefault="00CC2C61" w:rsidP="00CC2C61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Подпрограмма позволит обеспечить достижение поставленных целей путем повышения эффективности использования ресурсов, внедрения новых организационно-экономических механизмов в общем и дополнительном образовании.</w:t>
      </w:r>
    </w:p>
    <w:p w:rsidR="00CC2C61" w:rsidRPr="00111E73" w:rsidRDefault="00CC2C61" w:rsidP="00CC2C61">
      <w:pPr>
        <w:ind w:firstLine="709"/>
        <w:jc w:val="both"/>
        <w:rPr>
          <w:szCs w:val="28"/>
        </w:rPr>
      </w:pPr>
      <w:r w:rsidRPr="00111E73">
        <w:rPr>
          <w:szCs w:val="28"/>
        </w:rPr>
        <w:t>Сеть муниципальных учреждений, реализующих общеобразовательные программы, создает условия для получения качественного образования и позволяет в полной мере обеспечивать социальный заказ.</w:t>
      </w:r>
    </w:p>
    <w:p w:rsidR="00CC2C61" w:rsidRPr="00111E73" w:rsidRDefault="00CC2C61" w:rsidP="00CC2C61">
      <w:pPr>
        <w:ind w:firstLine="709"/>
        <w:jc w:val="both"/>
        <w:rPr>
          <w:szCs w:val="28"/>
        </w:rPr>
      </w:pPr>
      <w:r w:rsidRPr="00111E73">
        <w:rPr>
          <w:szCs w:val="28"/>
        </w:rPr>
        <w:t>Основное общее образование обеспечивает освоение обучающимися общеобразовательных программ основного общего образования, условия для воспитания, становления и формирования личности обучающегося, для развития его способности к социальному самоопределению.</w:t>
      </w:r>
    </w:p>
    <w:p w:rsidR="00CC2C61" w:rsidRPr="00111E73" w:rsidRDefault="00CC2C61" w:rsidP="00CC2C61">
      <w:pPr>
        <w:ind w:firstLine="709"/>
        <w:jc w:val="both"/>
        <w:rPr>
          <w:szCs w:val="28"/>
          <w:lang w:eastAsia="ar-SA"/>
        </w:rPr>
      </w:pPr>
      <w:r w:rsidRPr="00111E73">
        <w:rPr>
          <w:szCs w:val="28"/>
          <w:lang w:eastAsia="ar-SA"/>
        </w:rPr>
        <w:t xml:space="preserve">Стабильно в муниципальном образовании </w:t>
      </w:r>
      <w:r>
        <w:rPr>
          <w:szCs w:val="28"/>
          <w:lang w:eastAsia="ar-SA"/>
        </w:rPr>
        <w:t xml:space="preserve">город Мурманск </w:t>
      </w:r>
      <w:r w:rsidRPr="00111E73">
        <w:rPr>
          <w:szCs w:val="28"/>
          <w:lang w:eastAsia="ar-SA"/>
        </w:rPr>
        <w:t xml:space="preserve">сохраняется высокое качество предоставления образовательных услуг. Средний балл выпускников города Мурманска по обязательным предметам ЕГЭ на протяжении нескольких лет остается выше общероссийского. Увеличивается число выпускников, получивших 90 и более баллов. </w:t>
      </w:r>
    </w:p>
    <w:p w:rsidR="00CC2C61" w:rsidRPr="00111E73" w:rsidRDefault="00CC2C61" w:rsidP="00CC2C61">
      <w:pPr>
        <w:widowControl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С 2010 года в Мурманске осуществляется введение </w:t>
      </w:r>
      <w:r>
        <w:rPr>
          <w:rFonts w:eastAsia="Calibri"/>
          <w:szCs w:val="28"/>
          <w:lang w:eastAsia="en-US"/>
        </w:rPr>
        <w:t xml:space="preserve">ФГОС </w:t>
      </w:r>
      <w:r w:rsidRPr="00111E73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 общеобразовательных учреждениях</w:t>
      </w:r>
      <w:r w:rsidRPr="00111E73">
        <w:rPr>
          <w:rFonts w:eastAsia="Calibri"/>
          <w:szCs w:val="28"/>
          <w:lang w:eastAsia="en-US"/>
        </w:rPr>
        <w:t>. В 2015 году ФГОС реализован на всем уровне начального общего образования, а с 2014 года начался поэтапный переход на ФГОС основного общего образования.</w:t>
      </w:r>
    </w:p>
    <w:p w:rsidR="00CC2C61" w:rsidRPr="00111E73" w:rsidRDefault="00CC2C61" w:rsidP="00CC2C61">
      <w:pPr>
        <w:ind w:firstLine="709"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lastRenderedPageBreak/>
        <w:t xml:space="preserve">Система дополнительного образования подведомственных учреждений представлена сетью объединений всех направлений дополнительного образования. Наиболее востребованными являются объединения художественно-эстетического и физкультурно-спортивного направлений, в 2017 году в них занималось 69,0% от общего количества детей, обучающихся в учреждениях дополнительного образования детей. </w:t>
      </w:r>
    </w:p>
    <w:p w:rsidR="00CC2C61" w:rsidRPr="00111E73" w:rsidRDefault="00CC2C61" w:rsidP="00CC2C61">
      <w:pPr>
        <w:ind w:firstLine="709"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>Контингент обучающихся в учреждениях дополнительного образования представлен всеми возрастными и социальными группами детей и молодежи. Из общей численности обучающихся в учреждениях дополнительного образования:</w:t>
      </w:r>
    </w:p>
    <w:p w:rsidR="00CC2C61" w:rsidRPr="00111E73" w:rsidRDefault="00CC2C61" w:rsidP="00CC2C61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- 85,9 % - обучающиеся </w:t>
      </w:r>
      <w:r>
        <w:rPr>
          <w:rFonts w:eastAsia="Calibri"/>
          <w:szCs w:val="28"/>
          <w:lang w:eastAsia="en-US"/>
        </w:rPr>
        <w:t>МБОУ;</w:t>
      </w:r>
    </w:p>
    <w:p w:rsidR="00CC2C61" w:rsidRPr="00111E73" w:rsidRDefault="00CC2C61" w:rsidP="00CC2C61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- 13,2 % - воспитанники </w:t>
      </w:r>
      <w:r>
        <w:rPr>
          <w:rFonts w:eastAsia="Calibri"/>
          <w:szCs w:val="28"/>
          <w:lang w:eastAsia="en-US"/>
        </w:rPr>
        <w:t>МДОУ;</w:t>
      </w:r>
    </w:p>
    <w:p w:rsidR="00CC2C61" w:rsidRPr="00111E73" w:rsidRDefault="00CC2C61" w:rsidP="00CC2C61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111E73">
        <w:rPr>
          <w:rFonts w:eastAsia="Calibri"/>
          <w:szCs w:val="28"/>
          <w:lang w:eastAsia="en-US"/>
        </w:rPr>
        <w:t xml:space="preserve">- 7,0 % - обучающиеся учебных заведений начального и среднего профессионального образования. </w:t>
      </w:r>
    </w:p>
    <w:p w:rsidR="00CC2C61" w:rsidRPr="00111E73" w:rsidRDefault="00CC2C61" w:rsidP="00CC2C61">
      <w:pPr>
        <w:ind w:firstLine="709"/>
        <w:jc w:val="both"/>
        <w:rPr>
          <w:szCs w:val="28"/>
        </w:rPr>
      </w:pPr>
      <w:r w:rsidRPr="00111E73">
        <w:rPr>
          <w:szCs w:val="28"/>
        </w:rPr>
        <w:t>Основными направлениями по расширению потенциала системы дополнительного образования детей являются:</w:t>
      </w:r>
    </w:p>
    <w:p w:rsidR="00CC2C61" w:rsidRPr="00111E73" w:rsidRDefault="00CC2C61" w:rsidP="00CC2C61">
      <w:pPr>
        <w:ind w:firstLine="709"/>
        <w:jc w:val="both"/>
        <w:rPr>
          <w:szCs w:val="28"/>
        </w:rPr>
      </w:pPr>
      <w:r w:rsidRPr="00111E73">
        <w:rPr>
          <w:szCs w:val="28"/>
        </w:rPr>
        <w:t>- реализация мероприятий по развитию дополнительного образования детей;</w:t>
      </w:r>
    </w:p>
    <w:p w:rsidR="00CC2C61" w:rsidRPr="00111E73" w:rsidRDefault="00CC2C61" w:rsidP="00CC2C61">
      <w:pPr>
        <w:ind w:firstLine="709"/>
        <w:jc w:val="both"/>
        <w:rPr>
          <w:szCs w:val="28"/>
        </w:rPr>
      </w:pPr>
      <w:r w:rsidRPr="00111E73">
        <w:rPr>
          <w:szCs w:val="28"/>
        </w:rPr>
        <w:t>-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CC2C61" w:rsidRPr="00111E73" w:rsidRDefault="00CC2C61" w:rsidP="00CC2C61">
      <w:pPr>
        <w:ind w:firstLine="709"/>
        <w:jc w:val="both"/>
        <w:rPr>
          <w:szCs w:val="28"/>
        </w:rPr>
      </w:pPr>
      <w:r w:rsidRPr="00111E73">
        <w:rPr>
          <w:szCs w:val="28"/>
        </w:rPr>
        <w:t>- распространение современных моделей организации дополнительного образования детей;</w:t>
      </w:r>
    </w:p>
    <w:p w:rsidR="00CC2C61" w:rsidRPr="00111E73" w:rsidRDefault="00CC2C61" w:rsidP="00CC2C61">
      <w:pPr>
        <w:ind w:firstLine="709"/>
        <w:jc w:val="both"/>
        <w:rPr>
          <w:szCs w:val="28"/>
        </w:rPr>
      </w:pPr>
      <w:r w:rsidRPr="00111E73">
        <w:rPr>
          <w:szCs w:val="28"/>
        </w:rPr>
        <w:t>- разработка и внедрение системы оценки качества дополнительного образования детей.</w:t>
      </w:r>
    </w:p>
    <w:p w:rsidR="00CC2C61" w:rsidRPr="00111E73" w:rsidRDefault="00CC2C61" w:rsidP="00CC2C61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В учреждениях дополнительного образования детей наблюдается рост числа объединений для детей младшего и среднего школьного возраста. Доля детей старшего школьного возраста, занимающихся по программам дополнительного образования, составляет около 20 % от общего контингента обучающихся в учреждениях дополнительного образования детей. Требует устранения диспропорция в предоставлении допол</w:t>
      </w:r>
      <w:r>
        <w:rPr>
          <w:szCs w:val="28"/>
          <w:lang w:eastAsia="en-US"/>
        </w:rPr>
        <w:t xml:space="preserve">нительных образовательных услуг </w:t>
      </w:r>
      <w:r w:rsidRPr="00E96B0D">
        <w:rPr>
          <w:szCs w:val="28"/>
          <w:lang w:eastAsia="en-US"/>
        </w:rPr>
        <w:t xml:space="preserve">– </w:t>
      </w:r>
      <w:r w:rsidRPr="00111E73">
        <w:rPr>
          <w:szCs w:val="28"/>
          <w:lang w:eastAsia="en-US"/>
        </w:rPr>
        <w:t>увеличение количества объединений технической и естественно</w:t>
      </w:r>
      <w:r>
        <w:rPr>
          <w:szCs w:val="28"/>
          <w:lang w:eastAsia="en-US"/>
        </w:rPr>
        <w:t>-</w:t>
      </w:r>
      <w:r w:rsidRPr="00111E73">
        <w:rPr>
          <w:szCs w:val="28"/>
          <w:lang w:eastAsia="en-US"/>
        </w:rPr>
        <w:t>научной направленностей дополнительного образования детей. Сохраняется проблема привлечения детей к систематическим занятиям спортом. Требуется увеличить количество детей, участвующих в различных спортивных мероприятиях.</w:t>
      </w:r>
    </w:p>
    <w:p w:rsidR="00CC2C61" w:rsidRPr="00111E73" w:rsidRDefault="00CC2C61" w:rsidP="00CC2C61">
      <w:pPr>
        <w:ind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В соответствии с общими приоритетными направлениями системы дополнител</w:t>
      </w:r>
      <w:r>
        <w:rPr>
          <w:szCs w:val="28"/>
          <w:lang w:eastAsia="en-US"/>
        </w:rPr>
        <w:t>ьного образования в Российской Федерации, закрепленными в частности</w:t>
      </w:r>
      <w:r w:rsidRPr="00111E73">
        <w:rPr>
          <w:szCs w:val="28"/>
          <w:lang w:eastAsia="en-US"/>
        </w:rPr>
        <w:t xml:space="preserve">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 1726-р,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Указом Президента Российской </w:t>
      </w:r>
      <w:r>
        <w:rPr>
          <w:szCs w:val="28"/>
          <w:lang w:eastAsia="en-US"/>
        </w:rPr>
        <w:t>Федерации от 01.06.2012 № 761, п</w:t>
      </w:r>
      <w:r w:rsidRPr="00111E73">
        <w:rPr>
          <w:szCs w:val="28"/>
          <w:lang w:eastAsia="en-US"/>
        </w:rPr>
        <w:t xml:space="preserve">риказом Минпросвещения России от 03.09.2019 № 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</w:t>
      </w:r>
      <w:r w:rsidRPr="00111E73">
        <w:rPr>
          <w:szCs w:val="28"/>
          <w:lang w:eastAsia="en-US"/>
        </w:rPr>
        <w:lastRenderedPageBreak/>
        <w:t>для детей в муниципальном образовании город Мурманск с 2020 года реализуется система персонифицированного финансирования дополнительного образования</w:t>
      </w:r>
      <w:r>
        <w:rPr>
          <w:szCs w:val="28"/>
          <w:lang w:eastAsia="en-US"/>
        </w:rPr>
        <w:t>, подразумевающая предоставление</w:t>
      </w:r>
      <w:r w:rsidRPr="00111E73">
        <w:rPr>
          <w:szCs w:val="28"/>
          <w:lang w:eastAsia="en-US"/>
        </w:rPr>
        <w:t xml:space="preserve"> детям именных сертификатов дополнительного образования. Реализуемый финансово-экономический механизм позволит всем организациям, в том числе не являющимся муниципальными учреждениями, имеющим лицензию н</w:t>
      </w:r>
      <w:r>
        <w:rPr>
          <w:szCs w:val="28"/>
          <w:lang w:eastAsia="en-US"/>
        </w:rPr>
        <w:t>а</w:t>
      </w:r>
      <w:r w:rsidRPr="00111E73">
        <w:rPr>
          <w:szCs w:val="28"/>
          <w:lang w:eastAsia="en-US"/>
        </w:rPr>
        <w:t xml:space="preserve">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>
        <w:rPr>
          <w:szCs w:val="28"/>
          <w:lang w:eastAsia="en-US"/>
        </w:rPr>
        <w:t xml:space="preserve">КО </w:t>
      </w:r>
      <w:r w:rsidRPr="00111E73">
        <w:rPr>
          <w:szCs w:val="28"/>
          <w:lang w:eastAsia="en-US"/>
        </w:rPr>
        <w:t>руководствуется региональными правилами персонифицированного финансирования дополнительного образования детей и начиная с 2020 года ежегодно принимает программу персонифицированного финансирования детей в муниципальном образовании город Мурманск.</w:t>
      </w:r>
    </w:p>
    <w:p w:rsidR="00CC2C61" w:rsidRDefault="00CC2C61" w:rsidP="00CC2C61">
      <w:pPr>
        <w:widowControl w:val="0"/>
        <w:suppressAutoHyphens/>
        <w:autoSpaceDE w:val="0"/>
        <w:ind w:right="-3" w:firstLine="709"/>
        <w:jc w:val="both"/>
        <w:rPr>
          <w:szCs w:val="28"/>
          <w:lang w:eastAsia="en-US"/>
        </w:rPr>
      </w:pPr>
      <w:r w:rsidRPr="00111E73">
        <w:rPr>
          <w:szCs w:val="28"/>
          <w:lang w:eastAsia="en-US"/>
        </w:rPr>
        <w:t>Помимо реализуемого механизма персонифицированного финансирования в муниципальном образовании город Мурманск реализуется механизм персонифицированного учета детей, получающих дополнительное образование за счет бюджетных средств, которые в совокупности создают систему персонифицированного дополнительного образования.</w:t>
      </w:r>
    </w:p>
    <w:p w:rsidR="00CC2C61" w:rsidRDefault="00CC2C61" w:rsidP="00CC2C6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CC2C61" w:rsidRDefault="00CC2C61" w:rsidP="00CC2C6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CC2C61" w:rsidRPr="00F2347E" w:rsidRDefault="00CC2C61" w:rsidP="00CC2C6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9361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835"/>
        <w:gridCol w:w="671"/>
        <w:gridCol w:w="746"/>
        <w:gridCol w:w="709"/>
        <w:gridCol w:w="11"/>
        <w:gridCol w:w="556"/>
        <w:gridCol w:w="567"/>
        <w:gridCol w:w="567"/>
        <w:gridCol w:w="567"/>
        <w:gridCol w:w="567"/>
        <w:gridCol w:w="567"/>
        <w:gridCol w:w="567"/>
      </w:tblGrid>
      <w:tr w:rsidR="00CC2C61" w:rsidRPr="00F2347E" w:rsidTr="00121705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CC2C61" w:rsidRPr="00F2347E" w:rsidTr="00121705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</w:t>
            </w:r>
            <w:r>
              <w:rPr>
                <w:sz w:val="18"/>
                <w:szCs w:val="18"/>
                <w:lang w:eastAsia="ar-SA"/>
              </w:rPr>
              <w:t>-</w:t>
            </w:r>
            <w:r w:rsidRPr="00F2347E">
              <w:rPr>
                <w:sz w:val="18"/>
                <w:szCs w:val="18"/>
                <w:lang w:eastAsia="ar-SA"/>
              </w:rPr>
              <w:t>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</w:t>
            </w:r>
            <w:r>
              <w:rPr>
                <w:sz w:val="18"/>
                <w:szCs w:val="18"/>
                <w:lang w:eastAsia="ar-SA"/>
              </w:rPr>
              <w:t>-</w:t>
            </w:r>
            <w:r w:rsidRPr="00F2347E">
              <w:rPr>
                <w:sz w:val="18"/>
                <w:szCs w:val="18"/>
                <w:lang w:eastAsia="ar-SA"/>
              </w:rPr>
              <w:t>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39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CC2C61" w:rsidRPr="00F2347E" w:rsidTr="00121705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CC2C61" w:rsidRPr="00F2347E" w:rsidRDefault="00CC2C61" w:rsidP="00121705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CC2C61" w:rsidRPr="00F2347E" w:rsidTr="00121705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CC2C61" w:rsidRPr="00F2347E" w:rsidTr="00121705">
        <w:trPr>
          <w:tblCellSpacing w:w="5" w:type="nil"/>
        </w:trPr>
        <w:tc>
          <w:tcPr>
            <w:tcW w:w="93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CC2C61" w:rsidRPr="00F2347E" w:rsidTr="00121705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CC2C61" w:rsidRPr="00F2347E" w:rsidTr="00121705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Доля выпускников муниципальных общеобразовательных учреждений, не сдавших</w:t>
            </w:r>
            <w:r>
              <w:rPr>
                <w:sz w:val="18"/>
                <w:szCs w:val="18"/>
              </w:rPr>
              <w:t xml:space="preserve"> ЕГЭ</w:t>
            </w:r>
            <w:r w:rsidRPr="00F2347E">
              <w:rPr>
                <w:sz w:val="18"/>
                <w:szCs w:val="18"/>
              </w:rPr>
              <w:t>, в общей численности выпускников муниципальных общеобразовательных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0,21</w:t>
            </w:r>
          </w:p>
        </w:tc>
      </w:tr>
      <w:tr w:rsidR="00CC2C61" w:rsidRPr="00F2347E" w:rsidTr="0012170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</w:tr>
      <w:tr w:rsidR="00CC2C61" w:rsidRPr="00F2347E" w:rsidTr="0012170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F3801">
              <w:rPr>
                <w:sz w:val="18"/>
                <w:szCs w:val="18"/>
              </w:rPr>
              <w:t xml:space="preserve">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</w:t>
            </w:r>
            <w:r w:rsidRPr="000F3801">
              <w:rPr>
                <w:sz w:val="18"/>
                <w:szCs w:val="18"/>
              </w:rPr>
              <w:lastRenderedPageBreak/>
              <w:t>дополнительное образование за счет бюджетных средств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jc w:val="center"/>
              <w:rPr>
                <w:sz w:val="18"/>
                <w:szCs w:val="18"/>
              </w:rPr>
            </w:pPr>
            <w:r w:rsidRPr="00505326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C2C61" w:rsidRPr="00F2347E" w:rsidTr="0012170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F3801">
              <w:rPr>
                <w:sz w:val="18"/>
                <w:szCs w:val="18"/>
              </w:rPr>
              <w:t>оля детей в возрасте 5-18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505326" w:rsidRDefault="00CC2C61" w:rsidP="0012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CC2C61" w:rsidRPr="00F2347E" w:rsidTr="0012170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 xml:space="preserve">Отношение среднего балла </w:t>
            </w:r>
            <w:r>
              <w:rPr>
                <w:sz w:val="18"/>
                <w:szCs w:val="18"/>
              </w:rPr>
              <w:t xml:space="preserve">ЕГЭ </w:t>
            </w:r>
            <w:r w:rsidRPr="00F2347E">
              <w:rPr>
                <w:sz w:val="18"/>
                <w:szCs w:val="18"/>
              </w:rPr>
              <w:t xml:space="preserve">(в расчете на один предмет) в 10% школ с лучшими результатами единого государственного экзамена к среднему баллу </w:t>
            </w:r>
            <w:r>
              <w:rPr>
                <w:sz w:val="18"/>
                <w:szCs w:val="18"/>
              </w:rPr>
              <w:t>ЕГЭ (в расчете на один</w:t>
            </w:r>
            <w:r w:rsidRPr="00F2347E">
              <w:rPr>
                <w:sz w:val="18"/>
                <w:szCs w:val="18"/>
              </w:rPr>
              <w:t xml:space="preserve"> предмет) в 10% школ с худшими результатами </w:t>
            </w:r>
            <w:r>
              <w:rPr>
                <w:sz w:val="18"/>
                <w:szCs w:val="18"/>
              </w:rPr>
              <w:t>ЕГЭ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</w:tr>
      <w:tr w:rsidR="00CC2C61" w:rsidRPr="00F2347E" w:rsidTr="0012170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CC2C61" w:rsidRPr="00F2347E" w:rsidTr="0012170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 xml:space="preserve">Отношение средней заработной платы педагогических работников </w:t>
            </w:r>
            <w:r>
              <w:rPr>
                <w:sz w:val="18"/>
                <w:szCs w:val="18"/>
              </w:rPr>
              <w:t xml:space="preserve">ОУ </w:t>
            </w:r>
            <w:r w:rsidRPr="00F2347E">
              <w:rPr>
                <w:sz w:val="18"/>
                <w:szCs w:val="18"/>
              </w:rPr>
              <w:t>общего образования к средней заработной плате в Мурманской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CC2C61" w:rsidRPr="00F2347E" w:rsidTr="0012170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432802" w:rsidRDefault="00CC2C61" w:rsidP="0012170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CC2C61" w:rsidRPr="00432802" w:rsidRDefault="00CC2C61" w:rsidP="001217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432802" w:rsidRDefault="00CC2C61" w:rsidP="00121705">
            <w:pPr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432802" w:rsidRDefault="00CC2C61" w:rsidP="00121705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432802" w:rsidRDefault="00CC2C61" w:rsidP="00121705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432802" w:rsidRDefault="00CC2C61" w:rsidP="00121705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432802" w:rsidRDefault="00CC2C61" w:rsidP="00121705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432802" w:rsidRDefault="00CC2C61" w:rsidP="00121705">
            <w:pPr>
              <w:jc w:val="center"/>
              <w:rPr>
                <w:bCs/>
                <w:sz w:val="18"/>
                <w:szCs w:val="18"/>
              </w:rPr>
            </w:pPr>
            <w:r w:rsidRPr="0043280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432802" w:rsidRDefault="00CC2C61" w:rsidP="00121705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432802" w:rsidRDefault="00CC2C61" w:rsidP="00121705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432802" w:rsidRDefault="00CC2C61" w:rsidP="00121705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432802" w:rsidRDefault="00CC2C61" w:rsidP="00121705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432802" w:rsidRDefault="00CC2C61" w:rsidP="00121705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</w:tr>
      <w:tr w:rsidR="00CC2C61" w:rsidRPr="00F2347E" w:rsidTr="0012170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95,0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CC2C61" w:rsidRPr="00F2347E" w:rsidTr="0012170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психолого-педагогического сопровождения детей и родителей (законных представителей)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– 1, нет – </w:t>
            </w:r>
            <w:r w:rsidRPr="00F2347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CC2C61" w:rsidRPr="00F2347E" w:rsidTr="0012170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– 1, нет – </w:t>
            </w:r>
            <w:r w:rsidRPr="00F2347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CC2C61" w:rsidRPr="00F2347E" w:rsidTr="0012170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исполнения бюджета муниципального образования город Мурманск по подведомственным учреждениям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– 1, нет – </w:t>
            </w:r>
            <w:r w:rsidRPr="00F2347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CC2C61" w:rsidRPr="00F2347E" w:rsidTr="0012170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 xml:space="preserve">Формирование условий, обеспечивающих соответствие </w:t>
            </w:r>
            <w:r>
              <w:rPr>
                <w:sz w:val="18"/>
                <w:szCs w:val="18"/>
                <w:lang w:eastAsia="en-US"/>
              </w:rPr>
              <w:t xml:space="preserve">ОУ </w:t>
            </w:r>
            <w:r w:rsidRPr="00F2347E">
              <w:rPr>
                <w:sz w:val="18"/>
                <w:szCs w:val="18"/>
                <w:lang w:eastAsia="en-US"/>
              </w:rPr>
              <w:t>требованиям надзорных органов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ind w:right="-11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 – 1, нет – </w:t>
            </w:r>
            <w:r w:rsidRPr="00F2347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F2347E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</w:tr>
    </w:tbl>
    <w:p w:rsidR="00CC2C61" w:rsidRPr="003D1710" w:rsidRDefault="00CC2C61" w:rsidP="00CC2C61">
      <w:pPr>
        <w:ind w:firstLine="720"/>
        <w:jc w:val="center"/>
        <w:rPr>
          <w:rFonts w:ascii="Calibri" w:hAnsi="Calibri"/>
          <w:b/>
          <w:sz w:val="22"/>
          <w:szCs w:val="28"/>
          <w:lang w:eastAsia="en-US"/>
        </w:rPr>
        <w:sectPr w:rsidR="00CC2C61" w:rsidRPr="003D1710" w:rsidSect="000D31B0">
          <w:headerReference w:type="even" r:id="rId5"/>
          <w:headerReference w:type="default" r:id="rId6"/>
          <w:footerReference w:type="even" r:id="rId7"/>
          <w:footerReference w:type="default" r:id="rId8"/>
          <w:pgSz w:w="11905" w:h="16837" w:code="9"/>
          <w:pgMar w:top="1134" w:right="567" w:bottom="1134" w:left="1701" w:header="720" w:footer="720" w:gutter="0"/>
          <w:pgNumType w:start="67"/>
          <w:cols w:space="60"/>
          <w:noEndnote/>
          <w:docGrid w:linePitch="381"/>
        </w:sectPr>
      </w:pPr>
    </w:p>
    <w:p w:rsidR="00CC2C61" w:rsidRPr="00646716" w:rsidRDefault="00CC2C61" w:rsidP="00CC2C61">
      <w:pPr>
        <w:ind w:left="720"/>
        <w:jc w:val="center"/>
        <w:rPr>
          <w:bCs/>
          <w:szCs w:val="28"/>
          <w:lang w:eastAsia="en-US"/>
        </w:rPr>
      </w:pPr>
      <w:r w:rsidRPr="00646716">
        <w:rPr>
          <w:bCs/>
          <w:szCs w:val="28"/>
          <w:lang w:eastAsia="en-US"/>
        </w:rPr>
        <w:lastRenderedPageBreak/>
        <w:t>3. Перечень основных мероприятий подпрограммы</w:t>
      </w:r>
    </w:p>
    <w:p w:rsidR="00CC2C61" w:rsidRPr="00646716" w:rsidRDefault="00CC2C61" w:rsidP="00CC2C61">
      <w:pPr>
        <w:ind w:left="720"/>
        <w:jc w:val="center"/>
        <w:rPr>
          <w:szCs w:val="28"/>
          <w:lang w:eastAsia="en-US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261"/>
        <w:gridCol w:w="567"/>
        <w:gridCol w:w="585"/>
        <w:gridCol w:w="850"/>
        <w:gridCol w:w="709"/>
        <w:gridCol w:w="709"/>
        <w:gridCol w:w="708"/>
        <w:gridCol w:w="700"/>
        <w:gridCol w:w="11"/>
        <w:gridCol w:w="18"/>
        <w:gridCol w:w="707"/>
        <w:gridCol w:w="682"/>
        <w:gridCol w:w="15"/>
        <w:gridCol w:w="834"/>
        <w:gridCol w:w="1701"/>
        <w:gridCol w:w="567"/>
        <w:gridCol w:w="565"/>
        <w:gridCol w:w="569"/>
        <w:gridCol w:w="568"/>
        <w:gridCol w:w="567"/>
        <w:gridCol w:w="567"/>
        <w:gridCol w:w="567"/>
        <w:gridCol w:w="991"/>
      </w:tblGrid>
      <w:tr w:rsidR="00CC2C61" w:rsidRPr="00BE05E1" w:rsidTr="00121705">
        <w:trPr>
          <w:trHeight w:val="431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C61" w:rsidRPr="00BE05E1" w:rsidRDefault="00CC2C61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C61" w:rsidRPr="00BE05E1" w:rsidRDefault="00CC2C61" w:rsidP="00121705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Срок выпол-нения</w:t>
            </w:r>
          </w:p>
          <w:p w:rsidR="00CC2C61" w:rsidRPr="00BE05E1" w:rsidRDefault="00CC2C61" w:rsidP="00121705">
            <w:pPr>
              <w:ind w:left="-93" w:right="-123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</w:rPr>
              <w:t>(квар-тал, год)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2C61" w:rsidRPr="00BE05E1" w:rsidRDefault="00CC2C61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Источ-никифинан-сирова-ния</w:t>
            </w:r>
          </w:p>
        </w:tc>
        <w:tc>
          <w:tcPr>
            <w:tcW w:w="59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C2C61" w:rsidRPr="00BE05E1" w:rsidRDefault="00CC2C61" w:rsidP="00121705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C2C61" w:rsidRPr="00BE05E1" w:rsidTr="00121705">
        <w:trPr>
          <w:trHeight w:val="293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C61" w:rsidRPr="00BE05E1" w:rsidRDefault="00CC2C61" w:rsidP="00121705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Pr="00BE05E1" w:rsidRDefault="00CC2C61" w:rsidP="00121705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2020</w:t>
            </w:r>
          </w:p>
          <w:p w:rsidR="00CC2C61" w:rsidRPr="00BE05E1" w:rsidRDefault="00CC2C61" w:rsidP="00121705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2020</w:t>
            </w:r>
          </w:p>
          <w:p w:rsidR="00CC2C61" w:rsidRPr="00BE05E1" w:rsidRDefault="00CC2C61" w:rsidP="00121705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CC2C61" w:rsidRPr="00BE05E1" w:rsidTr="00121705">
        <w:trPr>
          <w:trHeight w:val="151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C61" w:rsidRPr="00BE05E1" w:rsidRDefault="00CC2C61" w:rsidP="00121705">
            <w:pPr>
              <w:ind w:left="-93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21</w:t>
            </w:r>
          </w:p>
        </w:tc>
      </w:tr>
      <w:tr w:rsidR="00CC2C61" w:rsidRPr="00BE05E1" w:rsidTr="00121705">
        <w:trPr>
          <w:trHeight w:val="106"/>
        </w:trPr>
        <w:tc>
          <w:tcPr>
            <w:tcW w:w="1630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CC2C61" w:rsidRPr="00BE05E1" w:rsidTr="00121705">
        <w:trPr>
          <w:trHeight w:val="39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Основное мероприятие:</w:t>
            </w:r>
          </w:p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 xml:space="preserve">обеспечение предоставления услуг (выполнения работ) в сфере общего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Всего: </w:t>
            </w:r>
            <w:r w:rsidRPr="00BE05E1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22381333,1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2773108,4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2918991,3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3043336,0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3425608,1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3444370,6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3485737,4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3290181,3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67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КО, МБОУ</w:t>
            </w:r>
          </w:p>
        </w:tc>
      </w:tr>
      <w:tr w:rsidR="00CC2C61" w:rsidRPr="00BE05E1" w:rsidTr="00121705">
        <w:trPr>
          <w:trHeight w:val="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4934081,4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716697,3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727614,7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732012,6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67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16740317,7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2222519,2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2298882,5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2496830,6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2504675,7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2541644,6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67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1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706934,0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67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Всего: </w:t>
            </w:r>
            <w:r w:rsidRPr="00BE05E1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4934081,4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716697,3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727614,7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732012,6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50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67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КО, МБОУ</w:t>
            </w:r>
          </w:p>
        </w:tc>
      </w:tr>
      <w:tr w:rsidR="00CC2C61" w:rsidRPr="00BE05E1" w:rsidTr="00121705">
        <w:trPr>
          <w:trHeight w:val="24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4934081,4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696472,1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673760,1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716697,3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727614,7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732012,6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764362,1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 w:firstLine="6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6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в Мурманской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Всего: </w:t>
            </w:r>
            <w:r w:rsidRPr="00BE05E1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29411,8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КО, МБОУ</w:t>
            </w:r>
          </w:p>
        </w:tc>
      </w:tr>
      <w:tr w:rsidR="00CC2C61" w:rsidRPr="00BE05E1" w:rsidTr="00121705">
        <w:trPr>
          <w:trHeight w:val="108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BE05E1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BE05E1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59,5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6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BE05E1">
              <w:rPr>
                <w:sz w:val="15"/>
                <w:szCs w:val="15"/>
              </w:rPr>
              <w:t xml:space="preserve">программам дошкольного </w:t>
            </w:r>
            <w:r w:rsidRPr="00BE05E1">
              <w:rPr>
                <w:sz w:val="15"/>
                <w:szCs w:val="15"/>
              </w:rPr>
              <w:lastRenderedPageBreak/>
              <w:t xml:space="preserve">образования </w:t>
            </w:r>
            <w:r w:rsidRPr="00BE05E1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lastRenderedPageBreak/>
              <w:t>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2019 - 2024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Всего: </w:t>
            </w:r>
            <w:r w:rsidRPr="00BE05E1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14557248,5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2487190,6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2495035,7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2532004,6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29588,7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30027,5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30481,6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30481,6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30481,6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30481,65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КО, МБОУ</w:t>
            </w:r>
          </w:p>
        </w:tc>
      </w:tr>
      <w:tr w:rsidR="00CC2C61" w:rsidRPr="00BE05E1" w:rsidTr="00121705">
        <w:trPr>
          <w:trHeight w:val="6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BE05E1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BE05E1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53,6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38,9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38,5</w:t>
            </w:r>
          </w:p>
        </w:tc>
        <w:tc>
          <w:tcPr>
            <w:tcW w:w="991" w:type="dxa"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27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14557248,5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2221529,2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2295669,2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2487190,6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2495035,7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2532004,6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2525819,2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BE05E1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BE05E1">
              <w:rPr>
                <w:sz w:val="15"/>
                <w:szCs w:val="15"/>
                <w:lang w:eastAsia="en-US"/>
              </w:rPr>
              <w:t xml:space="preserve">в муниципальных общеобразовательных учреждениях, в том числе в общеобразовательных учреждениях, реализующих </w:t>
            </w:r>
            <w:r w:rsidRPr="00BE05E1">
              <w:rPr>
                <w:sz w:val="15"/>
                <w:szCs w:val="15"/>
                <w:lang w:eastAsia="en-US"/>
              </w:rPr>
              <w:lastRenderedPageBreak/>
              <w:t>программы дошкольного и начального общего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lastRenderedPageBreak/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183,3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155,3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90,7</w:t>
            </w:r>
          </w:p>
        </w:tc>
        <w:tc>
          <w:tcPr>
            <w:tcW w:w="991" w:type="dxa"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1.4.</w:t>
            </w:r>
          </w:p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Всего: </w:t>
            </w:r>
            <w:r w:rsidRPr="00BE05E1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естественно-научной направленности, </w:t>
            </w:r>
          </w:p>
          <w:p w:rsidR="00CC2C61" w:rsidRPr="00BE05E1" w:rsidRDefault="00CC2C61" w:rsidP="00121705">
            <w:pPr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6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108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КО,</w:t>
            </w:r>
          </w:p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ММЛ, МПЛ</w:t>
            </w:r>
          </w:p>
        </w:tc>
      </w:tr>
      <w:tr w:rsidR="00CC2C61" w:rsidRPr="00BE05E1" w:rsidTr="00121705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990,0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1.5.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Обеспечение выплат ежемесячного денежного вознаграждения за классное руководство педагогическим работникам муниципальных ОУ Мурманской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Всего: </w:t>
            </w:r>
            <w:r w:rsidRPr="00BE05E1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739067,3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73906,7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221720,2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221720,2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221720,2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</w:rPr>
              <w:t>Численность педагогических работников общеобразовательных учреждений, получивших вознаграждение за классное руководство, чел.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vMerge w:val="restart"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6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1234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1234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108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1234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1234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-</w:t>
            </w:r>
          </w:p>
        </w:tc>
        <w:tc>
          <w:tcPr>
            <w:tcW w:w="991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 xml:space="preserve">КО, МБОУ </w:t>
            </w:r>
          </w:p>
        </w:tc>
      </w:tr>
      <w:tr w:rsidR="00CC2C61" w:rsidRPr="00BE05E1" w:rsidTr="00121705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32133,3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3213,3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9640,0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9640,0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9640,0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28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706934,0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70693,4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31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Основное мероприятие:</w:t>
            </w:r>
          </w:p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 xml:space="preserve">обеспечение предоставления услуг (выполнения работ) в сфере дополнительного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Всего: </w:t>
            </w:r>
            <w:r w:rsidRPr="00BE05E1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4320641,5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521827,1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564820,5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642247,3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592091,3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619710,5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647641,2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732803,6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108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</w:rPr>
              <w:t>Доля детей, охваченных образовательными программами дополнительного образования в муниципальных ОУ дополнительного образования детей, в общей численности детей и молодежи в возрасте 5 - 18 лет,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34,1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34,0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6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32,65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29,3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108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29,3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29,3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34,5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КО, МБОУ</w:t>
            </w:r>
          </w:p>
        </w:tc>
      </w:tr>
      <w:tr w:rsidR="00CC2C61" w:rsidRPr="00BE05E1" w:rsidTr="00121705">
        <w:trPr>
          <w:trHeight w:val="18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4299981,3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506011,6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641492,1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591415,0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619034,2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646964,9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6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20660,2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15815,5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1305,4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676,3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2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r w:rsidRPr="00BE05E1">
              <w:rPr>
                <w:sz w:val="15"/>
                <w:szCs w:val="15"/>
                <w:lang w:eastAsia="en-US"/>
              </w:rPr>
              <w:lastRenderedPageBreak/>
              <w:t xml:space="preserve">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lastRenderedPageBreak/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Всего: </w:t>
            </w:r>
            <w:r w:rsidRPr="00BE05E1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3995847,1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620765,5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517029,5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520158,0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547588,7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 xml:space="preserve">Количество муниципальных учреждений  дополнительного </w:t>
            </w:r>
            <w:r w:rsidRPr="00BE05E1">
              <w:rPr>
                <w:sz w:val="15"/>
                <w:szCs w:val="15"/>
              </w:rPr>
              <w:lastRenderedPageBreak/>
              <w:t>образования,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lastRenderedPageBreak/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67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КО, МБУ ДО</w:t>
            </w:r>
          </w:p>
          <w:p w:rsidR="00CC2C61" w:rsidRPr="00BE05E1" w:rsidRDefault="00CC2C61" w:rsidP="00121705">
            <w:pPr>
              <w:ind w:right="-67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14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3995847,1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563515,1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620765,5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517029,5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520158,0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547588,7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732048,4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Количество обучающихся муниципальныхучреждений дополнительного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9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14169,6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108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14444</w:t>
            </w:r>
          </w:p>
          <w:p w:rsidR="00CC2C61" w:rsidRPr="00BE05E1" w:rsidRDefault="00CC2C61" w:rsidP="00121705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13951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29" w:right="-103" w:firstLine="13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12526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68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12526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12526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14672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67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КО, МБУ ДО</w:t>
            </w:r>
          </w:p>
          <w:p w:rsidR="00CC2C61" w:rsidRPr="00BE05E1" w:rsidRDefault="00CC2C61" w:rsidP="00121705">
            <w:pPr>
              <w:ind w:right="-67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(кроме ППМС)</w:t>
            </w:r>
          </w:p>
        </w:tc>
      </w:tr>
      <w:tr w:rsidR="00CC2C61" w:rsidRPr="00BE05E1" w:rsidTr="00121705">
        <w:trPr>
          <w:trHeight w:val="26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67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КО, ППМС</w:t>
            </w:r>
          </w:p>
        </w:tc>
      </w:tr>
      <w:tr w:rsidR="00CC2C61" w:rsidRPr="00BE05E1" w:rsidTr="00121705">
        <w:trPr>
          <w:trHeight w:val="19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48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67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28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106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873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867</w:t>
            </w:r>
          </w:p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867</w:t>
            </w:r>
          </w:p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67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2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1950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5" w:right="-108" w:firstLine="105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2400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67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56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</w:t>
            </w:r>
            <w:r w:rsidRPr="00BE05E1">
              <w:rPr>
                <w:sz w:val="15"/>
                <w:szCs w:val="15"/>
                <w:lang w:eastAsia="en-US"/>
              </w:rPr>
              <w:lastRenderedPageBreak/>
              <w:t>связи с упразднением поселка городского типа Росляково»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lastRenderedPageBreak/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Всего: </w:t>
            </w:r>
            <w:r w:rsidRPr="00BE05E1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5050,2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КО, МБУ ДО, МБУО ЦБ</w:t>
            </w:r>
          </w:p>
        </w:tc>
      </w:tr>
      <w:tr w:rsidR="00CC2C61" w:rsidRPr="00BE05E1" w:rsidTr="00121705">
        <w:trPr>
          <w:trHeight w:val="17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7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5050,2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695,4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676,3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755,2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социальной поддержки отдельных категорий граждан в связи с упразднением поселка </w:t>
            </w:r>
            <w:r w:rsidRPr="00BE05E1">
              <w:rPr>
                <w:sz w:val="15"/>
                <w:szCs w:val="15"/>
                <w:lang w:eastAsia="en-US"/>
              </w:rPr>
              <w:lastRenderedPageBreak/>
              <w:t>городского типа Росляково,</w:t>
            </w:r>
            <w:r w:rsidRPr="00BE05E1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43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Всего: </w:t>
            </w:r>
            <w:r w:rsidRPr="00BE05E1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 xml:space="preserve">Отсутствие кредиторской задолженности по оплате труда, </w:t>
            </w:r>
          </w:p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32" w:right="-66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КО, МБУ ДО, МБУО ЦБ</w:t>
            </w:r>
          </w:p>
        </w:tc>
      </w:tr>
      <w:tr w:rsidR="00CC2C61" w:rsidRPr="00BE05E1" w:rsidTr="00121705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4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25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2.4.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2018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Всего: </w:t>
            </w:r>
            <w:r w:rsidRPr="00BE05E1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1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2.5.</w:t>
            </w:r>
          </w:p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 xml:space="preserve">Иные межбюджетные трансферты на предоставление грантов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2019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Всего: </w:t>
            </w:r>
            <w:r w:rsidRPr="00BE05E1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Приобретение учебного оборудования и инвентаря для реализации дополнительных общеобразовательных общеразвивающих программ технической и естественно-научной направленности,</w:t>
            </w:r>
          </w:p>
          <w:p w:rsidR="00CC2C61" w:rsidRPr="00BE05E1" w:rsidRDefault="00CC2C61" w:rsidP="00121705">
            <w:pPr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ind w:right="-6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ind w:right="-108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КО, МБУ ДО      г. Мурманска ЦДЮТ</w:t>
            </w:r>
          </w:p>
        </w:tc>
      </w:tr>
      <w:tr w:rsidR="00CC2C61" w:rsidRPr="00BE05E1" w:rsidTr="00121705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12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2.6.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2020 - 2024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97"/>
              <w:rPr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Всего:</w:t>
            </w:r>
          </w:p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 xml:space="preserve">в т.ч: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292864,5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63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20726,6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74385,5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98876,2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98876,2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Организация деятельности по обеспечению персонифицированного финансирования дополнительного образования детей,</w:t>
            </w:r>
          </w:p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да – 1, нет –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-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BE05E1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 w:rsidRPr="00BE05E1">
              <w:rPr>
                <w:rFonts w:eastAsia="Calibri"/>
                <w:sz w:val="16"/>
                <w:szCs w:val="16"/>
              </w:rPr>
              <w:t>КО</w:t>
            </w:r>
          </w:p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CC2C61" w:rsidRPr="00BE05E1" w:rsidTr="00121705">
        <w:trPr>
          <w:trHeight w:val="23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BE05E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292864,5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63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20726,6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74385,5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98876,2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98876,2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2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63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29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ind w:right="-65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2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3.</w:t>
            </w:r>
          </w:p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Основное мероприятие:</w:t>
            </w:r>
          </w:p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 xml:space="preserve">обеспечение предоставления услуг (выполнения работ) в сфере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Всего: </w:t>
            </w:r>
            <w:r w:rsidRPr="00BE05E1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2" w:right="-113" w:firstLine="102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2446531,8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330703,1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340031,7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351550,5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362119,6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Количество ОУ и УО,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4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КО, ОУ</w:t>
            </w:r>
          </w:p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и УО</w:t>
            </w:r>
          </w:p>
        </w:tc>
      </w:tr>
      <w:tr w:rsidR="00CC2C61" w:rsidRPr="00BE05E1" w:rsidTr="00121705">
        <w:trPr>
          <w:trHeight w:val="9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2" w:right="-113" w:firstLine="102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2446531,8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330703,1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340031,7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351550,5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362119,6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34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 xml:space="preserve">Расходы на обеспечение </w:t>
            </w:r>
            <w:r w:rsidRPr="00BE05E1">
              <w:rPr>
                <w:sz w:val="15"/>
                <w:szCs w:val="15"/>
              </w:rPr>
              <w:lastRenderedPageBreak/>
              <w:t>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lastRenderedPageBreak/>
              <w:t xml:space="preserve">2018 - </w:t>
            </w:r>
            <w:r w:rsidRPr="00BE05E1">
              <w:rPr>
                <w:sz w:val="15"/>
                <w:szCs w:val="15"/>
              </w:rPr>
              <w:lastRenderedPageBreak/>
              <w:t>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  <w:lang w:eastAsia="en-US"/>
              </w:rPr>
              <w:lastRenderedPageBreak/>
              <w:t xml:space="preserve">Всего: </w:t>
            </w:r>
            <w:r w:rsidRPr="00BE05E1">
              <w:rPr>
                <w:sz w:val="15"/>
                <w:szCs w:val="15"/>
                <w:lang w:eastAsia="en-US"/>
              </w:rPr>
              <w:br/>
            </w:r>
            <w:r w:rsidRPr="00BE05E1">
              <w:rPr>
                <w:sz w:val="15"/>
                <w:szCs w:val="15"/>
                <w:lang w:eastAsia="en-US"/>
              </w:rPr>
              <w:lastRenderedPageBreak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2" w:right="-113" w:firstLine="102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lastRenderedPageBreak/>
              <w:t>2446531,8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330703,1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340031,7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351550,5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362119,6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Количество </w:t>
            </w:r>
            <w:r w:rsidRPr="00BE05E1">
              <w:rPr>
                <w:sz w:val="15"/>
                <w:szCs w:val="15"/>
                <w:lang w:eastAsia="en-US"/>
              </w:rPr>
              <w:lastRenderedPageBreak/>
              <w:t>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lastRenderedPageBreak/>
              <w:t>118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</w:rPr>
              <w:t>КО, ППМС</w:t>
            </w:r>
          </w:p>
        </w:tc>
      </w:tr>
      <w:tr w:rsidR="00CC2C61" w:rsidRPr="00BE05E1" w:rsidTr="00121705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2" w:right="-113" w:firstLine="102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2446531,8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333292,9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349684,8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330703,1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340031,7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351550,5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362119,6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379149,2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106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641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803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Доля выполненных заявок на ремонт и техническое обслуживание компьютерной и вычислительной техники и технических средств обучения,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КО,</w:t>
            </w:r>
          </w:p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ГИМЦ РО</w:t>
            </w:r>
          </w:p>
        </w:tc>
      </w:tr>
      <w:tr w:rsidR="00CC2C61" w:rsidRPr="00BE05E1" w:rsidTr="00121705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106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Количество обслуживаемых муниципальных ОУ и УО,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Организация и обслуживание образовательного портала города Мурманска, электронного документооборота с муниципальными ОУ,</w:t>
            </w:r>
          </w:p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да-1, нет-0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Доля педагогических и</w:t>
            </w:r>
          </w:p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руководящих работников, охваченных </w:t>
            </w:r>
            <w:r w:rsidRPr="00BE05E1">
              <w:rPr>
                <w:sz w:val="15"/>
                <w:szCs w:val="15"/>
                <w:lang w:eastAsia="en-US"/>
              </w:rPr>
              <w:lastRenderedPageBreak/>
              <w:t>различными формами методических мероприятий,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lastRenderedPageBreak/>
              <w:t>95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Количество обслуживаемых муниципальных ОУ и УО,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  <w:lang w:eastAsia="en-US"/>
              </w:rPr>
              <w:t>КО, муниципаль-ное автономное учреждение образования города Мурманска «Управление хозяйственно-эксплуатаци-онного обслуживания образователь-ных учреждений»</w:t>
            </w:r>
          </w:p>
        </w:tc>
      </w:tr>
      <w:tr w:rsidR="00CC2C61" w:rsidRPr="00BE05E1" w:rsidTr="00121705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117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94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Готовность ОУ к новому учебному году и осенне-зимнему периоду,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100,0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54"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5" w:right="-162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Количество обслуживаемых муниципальных ОУ и УО,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141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КО, МБУО ЦБ</w:t>
            </w:r>
          </w:p>
        </w:tc>
      </w:tr>
      <w:tr w:rsidR="00CC2C61" w:rsidRPr="00BE05E1" w:rsidTr="00121705">
        <w:trPr>
          <w:trHeight w:val="10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3.2.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2018 - 2024</w:t>
            </w:r>
          </w:p>
        </w:tc>
        <w:tc>
          <w:tcPr>
            <w:tcW w:w="652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29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2448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5" w:right="-108" w:firstLine="105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КО, ППМС</w:t>
            </w:r>
          </w:p>
        </w:tc>
      </w:tr>
      <w:tr w:rsidR="00CC2C61" w:rsidRPr="00BE05E1" w:rsidTr="00121705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Всего: </w:t>
            </w:r>
            <w:r w:rsidRPr="00BE05E1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29148506,4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3628228,4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3833496,6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19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4016286,4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4357731,1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4415631,6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4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4494998,2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4402134,1</w:t>
            </w:r>
          </w:p>
        </w:tc>
        <w:tc>
          <w:tcPr>
            <w:tcW w:w="66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104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11680594,5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1462467,0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1609672,0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1645955,3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1648144,0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1698199,4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10" w:right="-131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1740597,1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BE05E1">
              <w:rPr>
                <w:rFonts w:eastAsia="Calibri"/>
                <w:sz w:val="15"/>
                <w:szCs w:val="15"/>
              </w:rPr>
              <w:t>1875559,7</w:t>
            </w:r>
          </w:p>
        </w:tc>
        <w:tc>
          <w:tcPr>
            <w:tcW w:w="666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CC2C61" w:rsidRPr="00BE05E1" w:rsidTr="00121705">
        <w:trPr>
          <w:trHeight w:val="9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16760977,9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2165761,4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2223824,6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2299637,7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2497506,9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2505352,0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4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2542320,9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2526574,4</w:t>
            </w:r>
          </w:p>
        </w:tc>
        <w:tc>
          <w:tcPr>
            <w:tcW w:w="666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CC2C61" w:rsidRPr="00BE05E1" w:rsidTr="00121705">
        <w:trPr>
          <w:trHeight w:val="92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BE05E1">
              <w:rPr>
                <w:sz w:val="15"/>
                <w:szCs w:val="15"/>
              </w:rPr>
              <w:t>706934,0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1" w:rsidRPr="00BE05E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BE05E1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6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61" w:rsidRPr="00BE05E1" w:rsidRDefault="00CC2C61" w:rsidP="0012170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CC2C61" w:rsidRPr="00646716" w:rsidRDefault="00CC2C61" w:rsidP="00CC2C61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CC2C61" w:rsidRPr="00646716" w:rsidRDefault="00CC2C61" w:rsidP="00CC2C61">
      <w:pPr>
        <w:widowControl w:val="0"/>
        <w:suppressAutoHyphens/>
        <w:autoSpaceDE w:val="0"/>
        <w:ind w:right="-3"/>
        <w:jc w:val="center"/>
        <w:rPr>
          <w:szCs w:val="28"/>
        </w:rPr>
      </w:pPr>
      <w:r w:rsidRPr="00646716">
        <w:rPr>
          <w:szCs w:val="28"/>
        </w:rPr>
        <w:t>Детализация направлений расходов</w:t>
      </w:r>
    </w:p>
    <w:p w:rsidR="00CC2C61" w:rsidRPr="00646716" w:rsidRDefault="00CC2C61" w:rsidP="00CC2C61">
      <w:pPr>
        <w:widowControl w:val="0"/>
        <w:suppressAutoHyphens/>
        <w:autoSpaceDE w:val="0"/>
        <w:ind w:right="-3"/>
        <w:jc w:val="center"/>
        <w:rPr>
          <w:szCs w:val="28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568"/>
        <w:gridCol w:w="5654"/>
        <w:gridCol w:w="1285"/>
        <w:gridCol w:w="1132"/>
        <w:gridCol w:w="993"/>
        <w:gridCol w:w="992"/>
        <w:gridCol w:w="991"/>
        <w:gridCol w:w="995"/>
        <w:gridCol w:w="994"/>
        <w:gridCol w:w="1138"/>
        <w:gridCol w:w="1135"/>
      </w:tblGrid>
      <w:tr w:rsidR="00CC2C61" w:rsidRPr="00010079" w:rsidTr="00121705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№ п/п</w:t>
            </w: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Цель, задачи, основные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Объемы финансирования, тыс. руб.</w:t>
            </w:r>
          </w:p>
        </w:tc>
      </w:tr>
      <w:tr w:rsidR="00CC2C61" w:rsidRPr="00010079" w:rsidTr="00121705">
        <w:trPr>
          <w:trHeight w:val="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1" w:rsidRPr="00010079" w:rsidRDefault="00CC2C61" w:rsidP="00121705">
            <w:pPr>
              <w:rPr>
                <w:sz w:val="15"/>
                <w:szCs w:val="15"/>
              </w:rPr>
            </w:pPr>
          </w:p>
        </w:tc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1" w:rsidRPr="00010079" w:rsidRDefault="00CC2C61" w:rsidP="00121705">
            <w:pPr>
              <w:rPr>
                <w:sz w:val="15"/>
                <w:szCs w:val="15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1" w:rsidRPr="00010079" w:rsidRDefault="00CC2C61" w:rsidP="00121705">
            <w:pPr>
              <w:rPr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2021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2024 год</w:t>
            </w:r>
          </w:p>
        </w:tc>
      </w:tr>
      <w:tr w:rsidR="00CC2C61" w:rsidRPr="00010079" w:rsidTr="00121705">
        <w:trPr>
          <w:trHeight w:val="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11</w:t>
            </w:r>
          </w:p>
        </w:tc>
      </w:tr>
      <w:tr w:rsidR="00CC2C61" w:rsidRPr="00010079" w:rsidTr="0012170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Основное мероприятие: обеспечение предоставления услуг (выполнения работ) в сфере образования</w:t>
            </w:r>
            <w:r w:rsidRPr="00010079">
              <w:rPr>
                <w:sz w:val="15"/>
                <w:szCs w:val="15"/>
              </w:rPr>
              <w:t>, всего, из них: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2 446 531,8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333292,9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349684,8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330 703,1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340 031,7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351 550,5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362 119,6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379149,2</w:t>
            </w:r>
          </w:p>
        </w:tc>
      </w:tr>
      <w:tr w:rsidR="00CC2C61" w:rsidRPr="00010079" w:rsidTr="0012170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lastRenderedPageBreak/>
              <w:t>3.1.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2 446 531,8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333292,9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349684,8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330 703,1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340 031,7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351 550,5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362 119,6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379149,2</w:t>
            </w:r>
          </w:p>
        </w:tc>
      </w:tr>
      <w:tr w:rsidR="00CC2C61" w:rsidRPr="00010079" w:rsidTr="0012170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3.1.1.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ППМС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56 965,7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25 557,8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31 407,9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</w:tr>
      <w:tr w:rsidR="00CC2C61" w:rsidRPr="00010079" w:rsidTr="0012170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3.1.2.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ГИМЦ РО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331 583,8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41 966,1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42 313,7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46 907,7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47 420,1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48 871,4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50 289,8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53 815,1</w:t>
            </w:r>
          </w:p>
        </w:tc>
      </w:tr>
      <w:tr w:rsidR="00CC2C61" w:rsidRPr="00010079" w:rsidTr="0012170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3.1.3.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МБУО ЦБ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ind w:left="-9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1 564 389,7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left="-95" w:right="-121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205 086,5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208 230,9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212 962,1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221 138,4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229 741,2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237 817,0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249 413,6</w:t>
            </w:r>
          </w:p>
        </w:tc>
      </w:tr>
      <w:tr w:rsidR="00CC2C61" w:rsidRPr="00010079" w:rsidTr="0012170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3.1.4.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образования города Мурма</w:t>
            </w:r>
            <w:r>
              <w:rPr>
                <w:sz w:val="15"/>
                <w:szCs w:val="15"/>
                <w:lang w:eastAsia="en-US"/>
              </w:rPr>
              <w:t>нска «Управление хозяйственно-</w:t>
            </w:r>
            <w:r w:rsidRPr="00010079">
              <w:rPr>
                <w:sz w:val="15"/>
                <w:szCs w:val="15"/>
                <w:lang w:eastAsia="en-US"/>
              </w:rPr>
              <w:t>эксплуатационного обслуживания образовательных учреждений»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468 433,0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60 682,6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67 732,3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67 592,1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64 361,2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65 627,8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66 516,5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75 920,5</w:t>
            </w:r>
          </w:p>
        </w:tc>
      </w:tr>
      <w:tr w:rsidR="00CC2C61" w:rsidRPr="00010079" w:rsidTr="0012170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 xml:space="preserve">3.1.5. 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муниципального автономного учреждения г. Мурманска «Муниципальный опорный центр дополнительного образования детей»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МБ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25 159,6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3 241,2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7 112,0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7 310,1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7 496,3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10079">
              <w:rPr>
                <w:sz w:val="15"/>
                <w:szCs w:val="15"/>
              </w:rPr>
              <w:t>0,0</w:t>
            </w:r>
          </w:p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</w:tbl>
    <w:p w:rsidR="00CC2C61" w:rsidRDefault="00CC2C61" w:rsidP="00CC2C61">
      <w:pPr>
        <w:ind w:left="720"/>
        <w:jc w:val="center"/>
        <w:rPr>
          <w:bCs/>
          <w:szCs w:val="28"/>
          <w:lang w:eastAsia="en-US"/>
        </w:rPr>
      </w:pPr>
    </w:p>
    <w:p w:rsidR="00CC2C61" w:rsidRDefault="00CC2C61" w:rsidP="00CC2C61">
      <w:pPr>
        <w:ind w:firstLine="720"/>
        <w:jc w:val="center"/>
        <w:rPr>
          <w:szCs w:val="28"/>
          <w:lang w:eastAsia="en-US"/>
        </w:rPr>
      </w:pPr>
    </w:p>
    <w:p w:rsidR="00CC2C61" w:rsidRPr="003D1710" w:rsidRDefault="00CC2C61" w:rsidP="00CC2C61">
      <w:pPr>
        <w:ind w:firstLine="720"/>
        <w:jc w:val="center"/>
        <w:rPr>
          <w:rFonts w:ascii="Calibri" w:hAnsi="Calibri"/>
          <w:sz w:val="20"/>
          <w:lang w:eastAsia="en-US"/>
        </w:rPr>
        <w:sectPr w:rsidR="00CC2C61" w:rsidRPr="003D1710" w:rsidSect="00153F37">
          <w:pgSz w:w="16837" w:h="11905" w:orient="landscape"/>
          <w:pgMar w:top="1701" w:right="851" w:bottom="426" w:left="426" w:header="1134" w:footer="720" w:gutter="0"/>
          <w:pgNumType w:start="75"/>
          <w:cols w:space="60"/>
          <w:noEndnote/>
          <w:docGrid w:linePitch="326"/>
        </w:sectPr>
      </w:pPr>
    </w:p>
    <w:p w:rsidR="00CC2C61" w:rsidRDefault="00CC2C61" w:rsidP="00CC2C6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CC2C61" w:rsidRPr="00640411" w:rsidRDefault="00CC2C61" w:rsidP="00CC2C61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CC2C61" w:rsidRPr="00640411" w:rsidTr="00121705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640411" w:rsidRDefault="00CC2C61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640411" w:rsidRDefault="00CC2C61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640411" w:rsidRDefault="00CC2C61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CC2C61" w:rsidRPr="00640411" w:rsidTr="00121705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1" w:rsidRPr="00640411" w:rsidRDefault="00CC2C61" w:rsidP="001217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1" w:rsidRPr="00640411" w:rsidRDefault="00CC2C61" w:rsidP="001217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61" w:rsidRPr="00640411" w:rsidRDefault="00CC2C61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61" w:rsidRPr="00640411" w:rsidRDefault="00CC2C61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61" w:rsidRPr="00640411" w:rsidRDefault="00CC2C61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61" w:rsidRPr="00640411" w:rsidRDefault="00CC2C61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61" w:rsidRPr="00640411" w:rsidRDefault="00CC2C61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61" w:rsidRPr="00640411" w:rsidRDefault="00CC2C61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61" w:rsidRPr="00640411" w:rsidRDefault="00CC2C61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CC2C61" w:rsidRPr="00640411" w:rsidTr="00121705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640411" w:rsidRDefault="00CC2C61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640411" w:rsidRDefault="00CC2C61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640411" w:rsidRDefault="00CC2C61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640411" w:rsidRDefault="00CC2C61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640411" w:rsidRDefault="00CC2C61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640411" w:rsidRDefault="00CC2C61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640411" w:rsidRDefault="00CC2C61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61" w:rsidRPr="00640411" w:rsidRDefault="00CC2C61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C61" w:rsidRPr="00640411" w:rsidRDefault="00CC2C61" w:rsidP="00121705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CC2C61" w:rsidRPr="00640411" w:rsidTr="00121705">
        <w:trPr>
          <w:trHeight w:val="8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640411" w:rsidRDefault="00CC2C61" w:rsidP="001217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7F11B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29 148 506,4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3628228,4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3833496,6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ind w:left="-119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4 016 286,4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7F11B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4 357 731,1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7F11B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4 415 631,6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7F11B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4 494 998,2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4402134,1</w:t>
            </w:r>
          </w:p>
        </w:tc>
      </w:tr>
      <w:tr w:rsidR="00CC2C61" w:rsidRPr="00640411" w:rsidTr="00121705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640411" w:rsidRDefault="00CC2C61" w:rsidP="001217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7F11B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734E3B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734E3B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734E3B" w:rsidRDefault="00CC2C61" w:rsidP="00121705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7F11B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734E3B" w:rsidRDefault="00CC2C61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734E3B" w:rsidRDefault="00CC2C61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734E3B" w:rsidRDefault="00CC2C61" w:rsidP="00121705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</w:tr>
      <w:tr w:rsidR="00CC2C61" w:rsidRPr="00640411" w:rsidTr="00121705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640411" w:rsidRDefault="00CC2C61" w:rsidP="001217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7F11B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11 680 594,5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1462467,0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1609672,0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1 645 955,3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7F11B1" w:rsidRDefault="00CC2C61" w:rsidP="00121705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1 648 144,0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1 698 199,4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1740597,1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5"/>
                <w:szCs w:val="15"/>
              </w:rPr>
            </w:pPr>
            <w:r w:rsidRPr="00010079">
              <w:rPr>
                <w:rFonts w:eastAsia="Calibri"/>
                <w:sz w:val="15"/>
                <w:szCs w:val="15"/>
              </w:rPr>
              <w:t>1875559,7</w:t>
            </w:r>
          </w:p>
        </w:tc>
      </w:tr>
      <w:tr w:rsidR="00CC2C61" w:rsidRPr="00640411" w:rsidTr="00121705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640411" w:rsidRDefault="00CC2C61" w:rsidP="001217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7F11B1" w:rsidRDefault="00CC2C61" w:rsidP="00121705">
            <w:pPr>
              <w:widowControl w:val="0"/>
              <w:autoSpaceDE w:val="0"/>
              <w:autoSpaceDN w:val="0"/>
              <w:adjustRightInd w:val="0"/>
              <w:ind w:left="-11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16 760 977,9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2165761,4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2223824,6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2299637,7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7F11B1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2 497 506,9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7F11B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2 505 352,0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7F11B1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2 542 320,9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2526574,4</w:t>
            </w:r>
          </w:p>
        </w:tc>
      </w:tr>
      <w:tr w:rsidR="00CC2C61" w:rsidRPr="00640411" w:rsidTr="00121705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640411" w:rsidRDefault="00CC2C61" w:rsidP="00121705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7F11B1" w:rsidRDefault="00CC2C61" w:rsidP="00121705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7F11B1">
              <w:rPr>
                <w:sz w:val="15"/>
                <w:szCs w:val="15"/>
              </w:rPr>
              <w:t>706934,0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70693,4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212080,2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61" w:rsidRPr="00010079" w:rsidRDefault="00CC2C61" w:rsidP="00121705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010079">
              <w:rPr>
                <w:sz w:val="15"/>
                <w:szCs w:val="15"/>
                <w:lang w:eastAsia="en-US"/>
              </w:rPr>
              <w:t>0,0</w:t>
            </w:r>
          </w:p>
        </w:tc>
      </w:tr>
    </w:tbl>
    <w:p w:rsidR="00CC2C61" w:rsidRPr="00640411" w:rsidRDefault="00CC2C61" w:rsidP="00CC2C61">
      <w:pPr>
        <w:widowControl w:val="0"/>
        <w:suppressAutoHyphens/>
        <w:autoSpaceDE w:val="0"/>
        <w:ind w:right="-3" w:firstLine="851"/>
        <w:jc w:val="center"/>
        <w:rPr>
          <w:szCs w:val="28"/>
          <w:lang w:eastAsia="en-US"/>
        </w:rPr>
      </w:pPr>
    </w:p>
    <w:p w:rsidR="00CC2C61" w:rsidRPr="003D1710" w:rsidRDefault="00CC2C61" w:rsidP="00CC2C61">
      <w:pPr>
        <w:ind w:firstLine="56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 Оценка эффективности подпрограммы</w:t>
      </w:r>
      <w:r w:rsidRPr="003D1710">
        <w:rPr>
          <w:rFonts w:eastAsia="Calibri"/>
          <w:szCs w:val="28"/>
          <w:lang w:eastAsia="en-US"/>
        </w:rPr>
        <w:t>, рисков ее реализации</w:t>
      </w:r>
    </w:p>
    <w:p w:rsidR="00CC2C61" w:rsidRPr="003D1710" w:rsidRDefault="00CC2C61" w:rsidP="00CC2C61">
      <w:pPr>
        <w:ind w:firstLine="567"/>
        <w:jc w:val="both"/>
        <w:rPr>
          <w:szCs w:val="28"/>
          <w:lang w:eastAsia="en-US"/>
        </w:rPr>
      </w:pPr>
    </w:p>
    <w:p w:rsidR="00CC2C61" w:rsidRPr="003D1710" w:rsidRDefault="00CC2C61" w:rsidP="00CC2C61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Реализация подпрограммы</w:t>
      </w:r>
      <w:r w:rsidRPr="003D1710">
        <w:rPr>
          <w:szCs w:val="28"/>
          <w:lang w:eastAsia="en-US"/>
        </w:rPr>
        <w:t xml:space="preserve"> позволит обеспечить доступность получения качественного образования независимо от места жительства, в том числе за счет создания и развития вариативных моделей образовательных учреждений и внедрения информационно-коммуникационных технологий, повысить эффективность использования муниципальной собственности в образовательной сфере, повысить долю обучающихся</w:t>
      </w:r>
      <w:r>
        <w:rPr>
          <w:szCs w:val="28"/>
          <w:lang w:eastAsia="en-US"/>
        </w:rPr>
        <w:t xml:space="preserve"> ОУ</w:t>
      </w:r>
      <w:r w:rsidRPr="003D1710">
        <w:rPr>
          <w:szCs w:val="28"/>
          <w:lang w:eastAsia="en-US"/>
        </w:rPr>
        <w:t xml:space="preserve">, которые обучаются в соответствии с современными требованиями к условиям организации образовательного процесса, </w:t>
      </w:r>
      <w:r w:rsidRPr="003D1710">
        <w:rPr>
          <w:rFonts w:eastAsia="Lucida Sans Unicode"/>
          <w:szCs w:val="28"/>
        </w:rPr>
        <w:t xml:space="preserve">развивать систему поддержки одарённых и талантливых детей, осуществлять </w:t>
      </w:r>
      <w:r w:rsidRPr="003D1710">
        <w:rPr>
          <w:rFonts w:eastAsia="Lucida Sans Unicode"/>
          <w:szCs w:val="28"/>
          <w:lang w:eastAsia="en-US"/>
        </w:rPr>
        <w:t>поддержку системы массовых мероприятий с обучающимися по различнымнаправлениям образовательной деятельности,</w:t>
      </w:r>
      <w:r w:rsidRPr="003D1710">
        <w:rPr>
          <w:szCs w:val="28"/>
          <w:lang w:eastAsia="en-US"/>
        </w:rPr>
        <w:t xml:space="preserve"> обеспечить предоставление услуги по дополнительному образованию в муниципальных образовательных организациях дополнительного образования детей.</w:t>
      </w:r>
    </w:p>
    <w:p w:rsidR="00CC2C61" w:rsidRPr="003D1710" w:rsidRDefault="00CC2C61" w:rsidP="00CC2C61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Для оценки рисков реализации подпрограммы</w:t>
      </w:r>
      <w:r w:rsidRPr="003D1710">
        <w:rPr>
          <w:szCs w:val="28"/>
          <w:lang w:eastAsia="en-US"/>
        </w:rPr>
        <w:t xml:space="preserve"> рассматриваются внешние и внутренние риски. К внешним рискам относятся: </w:t>
      </w:r>
    </w:p>
    <w:p w:rsidR="00CC2C61" w:rsidRPr="003D1710" w:rsidRDefault="00CC2C61" w:rsidP="00CC2C61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законодательства; </w:t>
      </w:r>
    </w:p>
    <w:p w:rsidR="00CC2C61" w:rsidRPr="003D1710" w:rsidRDefault="00CC2C61" w:rsidP="00CC2C61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CC2C61" w:rsidRPr="003D1710" w:rsidRDefault="00CC2C61" w:rsidP="00CC2C61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CC2C61" w:rsidRPr="003D1710" w:rsidRDefault="00CC2C61" w:rsidP="00CC2C61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CC2C61" w:rsidRPr="003D1710" w:rsidRDefault="00CC2C61" w:rsidP="00CC2C61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CC2C61" w:rsidRPr="003D1710" w:rsidRDefault="00CC2C61" w:rsidP="00CC2C61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CC2C61" w:rsidRPr="003D1710" w:rsidRDefault="00CC2C61" w:rsidP="00CC2C61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CC2C61" w:rsidRPr="003D1710" w:rsidRDefault="00CC2C61" w:rsidP="00CC2C61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оперативное реагирование на изменения федерального за</w:t>
      </w:r>
      <w:r>
        <w:rPr>
          <w:szCs w:val="28"/>
          <w:lang w:eastAsia="en-US"/>
        </w:rPr>
        <w:t>конодательства и соответствующегорегиональногозаконодательства</w:t>
      </w:r>
      <w:r w:rsidRPr="003D1710">
        <w:rPr>
          <w:szCs w:val="28"/>
          <w:lang w:eastAsia="en-US"/>
        </w:rPr>
        <w:t>;</w:t>
      </w:r>
    </w:p>
    <w:p w:rsidR="00CC2C61" w:rsidRPr="003D1710" w:rsidRDefault="00CC2C61" w:rsidP="00CC2C61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CC2C61" w:rsidRPr="003D1710" w:rsidRDefault="00CC2C61" w:rsidP="00CC2C61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Описание и оценка внутренних рисков реализации</w:t>
      </w:r>
      <w:r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 xml:space="preserve">: искажение прогнозных показателей </w:t>
      </w:r>
      <w:r>
        <w:rPr>
          <w:szCs w:val="28"/>
          <w:lang w:eastAsia="en-US"/>
        </w:rPr>
        <w:t>численности обучающихся ОУ</w:t>
      </w:r>
      <w:r w:rsidRPr="003D1710">
        <w:rPr>
          <w:szCs w:val="28"/>
          <w:lang w:eastAsia="en-US"/>
        </w:rPr>
        <w:t>, несбалансированное кодовое распреде</w:t>
      </w:r>
      <w:r>
        <w:rPr>
          <w:szCs w:val="28"/>
          <w:lang w:eastAsia="en-US"/>
        </w:rPr>
        <w:t>ление финансовых средств между ОУ</w:t>
      </w:r>
      <w:r w:rsidRPr="003D1710">
        <w:rPr>
          <w:szCs w:val="28"/>
          <w:lang w:eastAsia="en-US"/>
        </w:rPr>
        <w:t>.</w:t>
      </w:r>
    </w:p>
    <w:p w:rsidR="00CC2C61" w:rsidRPr="003D1710" w:rsidRDefault="00CC2C61" w:rsidP="00CC2C61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lastRenderedPageBreak/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CC2C61" w:rsidRPr="003D1710" w:rsidRDefault="00CC2C61" w:rsidP="00CC2C61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Оценка эффективности реализации мероприятий </w:t>
      </w:r>
      <w:r>
        <w:rPr>
          <w:szCs w:val="28"/>
          <w:lang w:eastAsia="en-US"/>
        </w:rPr>
        <w:t>подпрограммы определяется в соответствии с М</w:t>
      </w:r>
      <w:r w:rsidRPr="003D1710">
        <w:rPr>
          <w:szCs w:val="28"/>
          <w:lang w:eastAsia="en-US"/>
        </w:rPr>
        <w:t>етодикой оценки эффективности реализации муниципальных программ города Мурманска.</w:t>
      </w:r>
    </w:p>
    <w:p w:rsidR="0014407F" w:rsidRDefault="00CC2C61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B0" w:rsidRDefault="00CC2C61" w:rsidP="00565CB7">
    <w:pPr>
      <w:pStyle w:val="ac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0D31B0" w:rsidRDefault="00CC2C61" w:rsidP="00565CB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B0" w:rsidRDefault="00CC2C61" w:rsidP="00565CB7">
    <w:pPr>
      <w:pStyle w:val="ac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B0" w:rsidRDefault="00CC2C61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0D31B0" w:rsidRDefault="00CC2C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B0" w:rsidRPr="006E27C6" w:rsidRDefault="00CC2C61" w:rsidP="006E27C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25"/>
  </w:num>
  <w:num w:numId="28">
    <w:abstractNumId w:val="4"/>
  </w:num>
  <w:num w:numId="29">
    <w:abstractNumId w:val="15"/>
  </w:num>
  <w:num w:numId="30">
    <w:abstractNumId w:val="12"/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E"/>
    <w:rsid w:val="000D2633"/>
    <w:rsid w:val="00784A4E"/>
    <w:rsid w:val="008426CA"/>
    <w:rsid w:val="00C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30894-AED8-48BA-837A-7AA6088F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C61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C2C61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C2C61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C2C61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C2C6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C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2C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2C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2C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2C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iPriority w:val="99"/>
    <w:rsid w:val="00CC2C61"/>
    <w:rPr>
      <w:color w:val="0000FF"/>
      <w:u w:val="single"/>
    </w:rPr>
  </w:style>
  <w:style w:type="paragraph" w:customStyle="1" w:styleId="FR1">
    <w:name w:val="FR1"/>
    <w:rsid w:val="00CC2C61"/>
    <w:pPr>
      <w:widowControl w:val="0"/>
      <w:spacing w:before="180"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4">
    <w:name w:val="Знак Знак Знак"/>
    <w:basedOn w:val="a"/>
    <w:rsid w:val="00CC2C6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CC2C61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CC2C6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2C61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CC2C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2C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CC2C61"/>
  </w:style>
  <w:style w:type="table" w:styleId="ab">
    <w:name w:val="Table Grid"/>
    <w:basedOn w:val="a1"/>
    <w:uiPriority w:val="59"/>
    <w:rsid w:val="00CC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CC2C61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CC2C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CC2C61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CC2C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C2C61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CC2C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CC2C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CC2C61"/>
    <w:rPr>
      <w:rFonts w:ascii="Times New Roman" w:hAnsi="Times New Roman" w:cs="Times New Roman"/>
      <w:b/>
      <w:bCs/>
      <w:sz w:val="38"/>
      <w:szCs w:val="38"/>
    </w:rPr>
  </w:style>
  <w:style w:type="paragraph" w:customStyle="1" w:styleId="ConsPlusTitle">
    <w:name w:val="ConsPlusTitle"/>
    <w:rsid w:val="00CC2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CC2C61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CC2C61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CC2C61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11"/>
    <w:uiPriority w:val="99"/>
    <w:rsid w:val="00CC2C61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Нижний колонтитул Знак"/>
    <w:basedOn w:val="a0"/>
    <w:uiPriority w:val="99"/>
    <w:rsid w:val="00CC2C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CC2C61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CC2C61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CC2C61"/>
  </w:style>
  <w:style w:type="paragraph" w:customStyle="1" w:styleId="Style1">
    <w:name w:val="Style1"/>
    <w:basedOn w:val="a"/>
    <w:rsid w:val="00CC2C61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CC2C61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CC2C61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CC2C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CC2C61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CC2C61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CC2C61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CC2C61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CC2C6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CC2C6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CC2C61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CC2C61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CC2C61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CC2C61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CC2C61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CC2C61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CC2C61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CC2C6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CC2C61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CC2C61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CC2C61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CC2C61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CC2C61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CC2C61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CC2C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CC2C61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CC2C6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CC2C61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c"/>
    <w:uiPriority w:val="99"/>
    <w:locked/>
    <w:rsid w:val="00CC2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CC2C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">
    <w:name w:val="Основной текст с отступом 3 Знак1"/>
    <w:locked/>
    <w:rsid w:val="00CC2C61"/>
    <w:rPr>
      <w:rFonts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CC2C61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CC2C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C2C6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CC2C61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1">
    <w:name w:val="Normal (Web)"/>
    <w:basedOn w:val="a"/>
    <w:rsid w:val="00CC2C6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CC2C61"/>
    <w:rPr>
      <w:rFonts w:ascii="Times New Roman" w:hAnsi="Times New Roman" w:cs="Times New Roman"/>
      <w:sz w:val="22"/>
      <w:szCs w:val="22"/>
    </w:rPr>
  </w:style>
  <w:style w:type="paragraph" w:styleId="af2">
    <w:name w:val="Body Text Indent"/>
    <w:basedOn w:val="a"/>
    <w:link w:val="af3"/>
    <w:rsid w:val="00CC2C61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C2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2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CC2C61"/>
    <w:rPr>
      <w:sz w:val="20"/>
    </w:rPr>
  </w:style>
  <w:style w:type="character" w:customStyle="1" w:styleId="af5">
    <w:name w:val="Текст сноски Знак"/>
    <w:basedOn w:val="a0"/>
    <w:link w:val="af4"/>
    <w:rsid w:val="00CC2C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CC2C61"/>
    <w:rPr>
      <w:rFonts w:cs="Times New Roman"/>
      <w:vertAlign w:val="superscript"/>
    </w:rPr>
  </w:style>
  <w:style w:type="paragraph" w:customStyle="1" w:styleId="ConsPlusNonformat">
    <w:name w:val="ConsPlusNonformat"/>
    <w:rsid w:val="00CC2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писок простой"/>
    <w:basedOn w:val="a"/>
    <w:rsid w:val="00CC2C61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CC2C61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rsid w:val="00CC2C61"/>
    <w:rPr>
      <w:rFonts w:ascii="Courier New" w:hAnsi="Courier New"/>
      <w:sz w:val="20"/>
    </w:rPr>
  </w:style>
  <w:style w:type="character" w:customStyle="1" w:styleId="af9">
    <w:name w:val="Текст Знак"/>
    <w:basedOn w:val="a0"/>
    <w:link w:val="af8"/>
    <w:rsid w:val="00CC2C6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CC2C6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CC2C61"/>
  </w:style>
  <w:style w:type="table" w:customStyle="1" w:styleId="22">
    <w:name w:val="Сетка таблицы2"/>
    <w:basedOn w:val="a1"/>
    <w:next w:val="ab"/>
    <w:uiPriority w:val="59"/>
    <w:rsid w:val="00CC2C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itle"/>
    <w:basedOn w:val="a"/>
    <w:link w:val="afc"/>
    <w:qFormat/>
    <w:rsid w:val="00CC2C61"/>
    <w:pPr>
      <w:jc w:val="center"/>
    </w:pPr>
    <w:rPr>
      <w:rFonts w:eastAsia="Calibri"/>
      <w:b/>
      <w:bCs/>
      <w:kern w:val="32"/>
      <w:szCs w:val="28"/>
    </w:rPr>
  </w:style>
  <w:style w:type="character" w:customStyle="1" w:styleId="afc">
    <w:name w:val="Название Знак"/>
    <w:basedOn w:val="a0"/>
    <w:link w:val="afb"/>
    <w:rsid w:val="00CC2C61"/>
    <w:rPr>
      <w:rFonts w:ascii="Times New Roman" w:eastAsia="Calibri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ConsNormal">
    <w:name w:val="ConsNormal"/>
    <w:rsid w:val="00CC2C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23">
    <w:name w:val="Знак Знак2"/>
    <w:semiHidden/>
    <w:rsid w:val="00CC2C61"/>
    <w:rPr>
      <w:lang w:eastAsia="en-US"/>
    </w:rPr>
  </w:style>
  <w:style w:type="character" w:customStyle="1" w:styleId="afd">
    <w:name w:val="Основной текст_"/>
    <w:rsid w:val="00CC2C61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CC2C61"/>
  </w:style>
  <w:style w:type="character" w:customStyle="1" w:styleId="apple-converted-space">
    <w:name w:val="apple-converted-space"/>
    <w:rsid w:val="00CC2C61"/>
  </w:style>
  <w:style w:type="character" w:styleId="afe">
    <w:name w:val="Strong"/>
    <w:qFormat/>
    <w:rsid w:val="00CC2C61"/>
    <w:rPr>
      <w:b/>
      <w:bCs/>
    </w:rPr>
  </w:style>
  <w:style w:type="paragraph" w:customStyle="1" w:styleId="rvps698610">
    <w:name w:val="rvps698610"/>
    <w:basedOn w:val="a"/>
    <w:rsid w:val="00CC2C61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CC2C61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CC2C61"/>
  </w:style>
  <w:style w:type="character" w:customStyle="1" w:styleId="WW8Num1z0">
    <w:name w:val="WW8Num1z0"/>
    <w:rsid w:val="00CC2C61"/>
    <w:rPr>
      <w:rFonts w:ascii="Symbol" w:hAnsi="Symbol"/>
      <w:color w:val="auto"/>
    </w:rPr>
  </w:style>
  <w:style w:type="character" w:customStyle="1" w:styleId="WW8Num1z1">
    <w:name w:val="WW8Num1z1"/>
    <w:rsid w:val="00CC2C61"/>
    <w:rPr>
      <w:rFonts w:ascii="Courier New" w:hAnsi="Courier New" w:cs="Courier New"/>
    </w:rPr>
  </w:style>
  <w:style w:type="character" w:customStyle="1" w:styleId="WW8Num1z2">
    <w:name w:val="WW8Num1z2"/>
    <w:rsid w:val="00CC2C61"/>
    <w:rPr>
      <w:rFonts w:ascii="Wingdings" w:hAnsi="Wingdings"/>
    </w:rPr>
  </w:style>
  <w:style w:type="character" w:customStyle="1" w:styleId="WW8Num1z3">
    <w:name w:val="WW8Num1z3"/>
    <w:rsid w:val="00CC2C61"/>
    <w:rPr>
      <w:rFonts w:ascii="Symbol" w:hAnsi="Symbol"/>
    </w:rPr>
  </w:style>
  <w:style w:type="character" w:customStyle="1" w:styleId="WW8Num2z0">
    <w:name w:val="WW8Num2z0"/>
    <w:rsid w:val="00CC2C61"/>
    <w:rPr>
      <w:rFonts w:ascii="Symbol" w:hAnsi="Symbol"/>
      <w:color w:val="auto"/>
    </w:rPr>
  </w:style>
  <w:style w:type="character" w:customStyle="1" w:styleId="WW8Num2z1">
    <w:name w:val="WW8Num2z1"/>
    <w:rsid w:val="00CC2C61"/>
    <w:rPr>
      <w:rFonts w:ascii="Courier New" w:hAnsi="Courier New" w:cs="Courier New"/>
    </w:rPr>
  </w:style>
  <w:style w:type="character" w:customStyle="1" w:styleId="WW8Num2z2">
    <w:name w:val="WW8Num2z2"/>
    <w:rsid w:val="00CC2C61"/>
    <w:rPr>
      <w:rFonts w:ascii="Wingdings" w:hAnsi="Wingdings"/>
    </w:rPr>
  </w:style>
  <w:style w:type="character" w:customStyle="1" w:styleId="WW8Num2z3">
    <w:name w:val="WW8Num2z3"/>
    <w:rsid w:val="00CC2C61"/>
    <w:rPr>
      <w:rFonts w:ascii="Symbol" w:hAnsi="Symbol"/>
    </w:rPr>
  </w:style>
  <w:style w:type="character" w:customStyle="1" w:styleId="15">
    <w:name w:val="Основной шрифт абзаца1"/>
    <w:rsid w:val="00CC2C61"/>
  </w:style>
  <w:style w:type="character" w:customStyle="1" w:styleId="16">
    <w:name w:val="Знак Знак1"/>
    <w:rsid w:val="00CC2C61"/>
    <w:rPr>
      <w:sz w:val="24"/>
      <w:szCs w:val="24"/>
    </w:rPr>
  </w:style>
  <w:style w:type="character" w:customStyle="1" w:styleId="aff">
    <w:name w:val="Знак Знак"/>
    <w:rsid w:val="00CC2C61"/>
  </w:style>
  <w:style w:type="character" w:customStyle="1" w:styleId="aff0">
    <w:name w:val="Символ сноски"/>
    <w:rsid w:val="00CC2C61"/>
    <w:rPr>
      <w:vertAlign w:val="superscript"/>
    </w:rPr>
  </w:style>
  <w:style w:type="character" w:customStyle="1" w:styleId="aff1">
    <w:name w:val="Маркеры списка"/>
    <w:rsid w:val="00CC2C61"/>
    <w:rPr>
      <w:rFonts w:ascii="StarSymbol" w:eastAsia="StarSymbol" w:hAnsi="StarSymbol" w:cs="StarSymbol"/>
      <w:sz w:val="18"/>
      <w:szCs w:val="18"/>
    </w:rPr>
  </w:style>
  <w:style w:type="character" w:styleId="aff2">
    <w:name w:val="endnote reference"/>
    <w:rsid w:val="00CC2C61"/>
    <w:rPr>
      <w:vertAlign w:val="superscript"/>
    </w:rPr>
  </w:style>
  <w:style w:type="character" w:customStyle="1" w:styleId="aff3">
    <w:name w:val="Символы концевой сноски"/>
    <w:rsid w:val="00CC2C61"/>
  </w:style>
  <w:style w:type="paragraph" w:customStyle="1" w:styleId="aff4">
    <w:name w:val="Заголовок"/>
    <w:basedOn w:val="a"/>
    <w:next w:val="af"/>
    <w:rsid w:val="00CC2C61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5">
    <w:name w:val="List"/>
    <w:basedOn w:val="af"/>
    <w:rsid w:val="00CC2C61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CC2C61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C2C61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CC2C61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6">
    <w:name w:val="Содержимое таблицы"/>
    <w:basedOn w:val="a"/>
    <w:rsid w:val="00CC2C61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CC2C61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CC2C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CC2C61"/>
  </w:style>
  <w:style w:type="table" w:customStyle="1" w:styleId="112">
    <w:name w:val="Сетка таблицы11"/>
    <w:basedOn w:val="a1"/>
    <w:next w:val="ab"/>
    <w:uiPriority w:val="59"/>
    <w:rsid w:val="00CC2C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CC2C61"/>
  </w:style>
  <w:style w:type="table" w:customStyle="1" w:styleId="42">
    <w:name w:val="Сетка таблицы4"/>
    <w:basedOn w:val="a1"/>
    <w:next w:val="ab"/>
    <w:uiPriority w:val="59"/>
    <w:rsid w:val="00CC2C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CC2C61"/>
  </w:style>
  <w:style w:type="table" w:customStyle="1" w:styleId="121">
    <w:name w:val="Сетка таблицы12"/>
    <w:basedOn w:val="a1"/>
    <w:next w:val="ab"/>
    <w:uiPriority w:val="59"/>
    <w:rsid w:val="00CC2C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CC2C61"/>
  </w:style>
  <w:style w:type="table" w:customStyle="1" w:styleId="52">
    <w:name w:val="Сетка таблицы5"/>
    <w:basedOn w:val="a1"/>
    <w:next w:val="ab"/>
    <w:uiPriority w:val="59"/>
    <w:rsid w:val="00CC2C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CC2C61"/>
  </w:style>
  <w:style w:type="table" w:customStyle="1" w:styleId="131">
    <w:name w:val="Сетка таблицы13"/>
    <w:basedOn w:val="a1"/>
    <w:next w:val="ab"/>
    <w:uiPriority w:val="59"/>
    <w:rsid w:val="00CC2C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C2C61"/>
  </w:style>
  <w:style w:type="table" w:customStyle="1" w:styleId="60">
    <w:name w:val="Сетка таблицы6"/>
    <w:basedOn w:val="a1"/>
    <w:next w:val="ab"/>
    <w:uiPriority w:val="59"/>
    <w:rsid w:val="00CC2C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C2C61"/>
  </w:style>
  <w:style w:type="table" w:customStyle="1" w:styleId="141">
    <w:name w:val="Сетка таблицы14"/>
    <w:basedOn w:val="a1"/>
    <w:next w:val="ab"/>
    <w:uiPriority w:val="59"/>
    <w:rsid w:val="00CC2C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CC2C61"/>
  </w:style>
  <w:style w:type="table" w:customStyle="1" w:styleId="70">
    <w:name w:val="Сетка таблицы7"/>
    <w:basedOn w:val="a1"/>
    <w:next w:val="ab"/>
    <w:uiPriority w:val="59"/>
    <w:rsid w:val="00CC2C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CC2C61"/>
  </w:style>
  <w:style w:type="table" w:customStyle="1" w:styleId="151">
    <w:name w:val="Сетка таблицы15"/>
    <w:basedOn w:val="a1"/>
    <w:next w:val="ab"/>
    <w:uiPriority w:val="59"/>
    <w:rsid w:val="00CC2C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FollowedHyperlink"/>
    <w:uiPriority w:val="99"/>
    <w:unhideWhenUsed/>
    <w:rsid w:val="00CC2C61"/>
    <w:rPr>
      <w:color w:val="800080"/>
      <w:u w:val="single"/>
    </w:rPr>
  </w:style>
  <w:style w:type="paragraph" w:customStyle="1" w:styleId="font5">
    <w:name w:val="font5"/>
    <w:basedOn w:val="a"/>
    <w:rsid w:val="00CC2C6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CC2C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CC2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CC2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CC2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C2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C2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C2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C2C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C2C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CC2C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C2C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C2C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C2C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C2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C2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C2C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C2C6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C2C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C2C6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2C6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C2C6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C2C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C2C6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CC2C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C2C61"/>
  </w:style>
  <w:style w:type="table" w:customStyle="1" w:styleId="80">
    <w:name w:val="Сетка таблицы8"/>
    <w:basedOn w:val="a1"/>
    <w:next w:val="ab"/>
    <w:uiPriority w:val="59"/>
    <w:rsid w:val="00CC2C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Emphasis"/>
    <w:qFormat/>
    <w:rsid w:val="00CC2C61"/>
    <w:rPr>
      <w:i/>
      <w:iCs/>
    </w:rPr>
  </w:style>
  <w:style w:type="paragraph" w:customStyle="1" w:styleId="xl76">
    <w:name w:val="xl76"/>
    <w:basedOn w:val="a"/>
    <w:rsid w:val="00CC2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CC2C6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CC2C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24">
    <w:name w:val="Абзац списка2"/>
    <w:basedOn w:val="a"/>
    <w:rsid w:val="00CC2C61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xl89">
    <w:name w:val="xl89"/>
    <w:basedOn w:val="a"/>
    <w:rsid w:val="00CC2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CC2C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5">
    <w:name w:val="Знак2"/>
    <w:basedOn w:val="a"/>
    <w:rsid w:val="00CC2C6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CC2C61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CC2C61"/>
    <w:rPr>
      <w:lang w:eastAsia="en-US"/>
    </w:rPr>
  </w:style>
  <w:style w:type="paragraph" w:customStyle="1" w:styleId="19">
    <w:name w:val="Знак1"/>
    <w:basedOn w:val="a"/>
    <w:rsid w:val="00CC2C6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CC2C61"/>
    <w:rPr>
      <w:lang w:eastAsia="en-US"/>
    </w:rPr>
  </w:style>
  <w:style w:type="character" w:customStyle="1" w:styleId="114">
    <w:name w:val="Знак Знак11"/>
    <w:rsid w:val="00CC2C61"/>
    <w:rPr>
      <w:sz w:val="24"/>
      <w:szCs w:val="24"/>
    </w:rPr>
  </w:style>
  <w:style w:type="character" w:customStyle="1" w:styleId="35">
    <w:name w:val="Знак Знак3"/>
    <w:rsid w:val="00CC2C61"/>
  </w:style>
  <w:style w:type="character" w:styleId="affa">
    <w:name w:val="line number"/>
    <w:basedOn w:val="a0"/>
    <w:rsid w:val="00CC2C61"/>
  </w:style>
  <w:style w:type="paragraph" w:customStyle="1" w:styleId="1a">
    <w:name w:val="Заголовок1"/>
    <w:basedOn w:val="a"/>
    <w:next w:val="af"/>
    <w:rsid w:val="00CC2C61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CC2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CC2C6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CC2C6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CC2C6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CC2C6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CC2C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CC2C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CC2C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CC2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C2C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C2C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C2C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C2C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C2C61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CC2C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CC2C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CC2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CC2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CC2C61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CC2C61"/>
  </w:style>
  <w:style w:type="numbering" w:customStyle="1" w:styleId="100">
    <w:name w:val="Нет списка10"/>
    <w:next w:val="a2"/>
    <w:uiPriority w:val="99"/>
    <w:semiHidden/>
    <w:unhideWhenUsed/>
    <w:rsid w:val="00CC2C61"/>
  </w:style>
  <w:style w:type="numbering" w:customStyle="1" w:styleId="160">
    <w:name w:val="Нет списка16"/>
    <w:next w:val="a2"/>
    <w:uiPriority w:val="99"/>
    <w:semiHidden/>
    <w:unhideWhenUsed/>
    <w:rsid w:val="00CC2C61"/>
  </w:style>
  <w:style w:type="numbering" w:customStyle="1" w:styleId="170">
    <w:name w:val="Нет списка17"/>
    <w:next w:val="a2"/>
    <w:uiPriority w:val="99"/>
    <w:semiHidden/>
    <w:unhideWhenUsed/>
    <w:rsid w:val="00CC2C61"/>
  </w:style>
  <w:style w:type="paragraph" w:customStyle="1" w:styleId="xl110">
    <w:name w:val="xl110"/>
    <w:basedOn w:val="a"/>
    <w:rsid w:val="00CC2C61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CC2C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CC2C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CC2C61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CC2C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CC2C61"/>
  </w:style>
  <w:style w:type="paragraph" w:customStyle="1" w:styleId="xl115">
    <w:name w:val="xl115"/>
    <w:basedOn w:val="a"/>
    <w:rsid w:val="00CC2C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CC2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CC2C6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CC2C61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CC2C61"/>
    <w:rPr>
      <w:lang w:eastAsia="en-US"/>
    </w:rPr>
  </w:style>
  <w:style w:type="character" w:customStyle="1" w:styleId="123">
    <w:name w:val="Знак Знак12"/>
    <w:rsid w:val="00CC2C61"/>
    <w:rPr>
      <w:sz w:val="24"/>
      <w:szCs w:val="24"/>
    </w:rPr>
  </w:style>
  <w:style w:type="character" w:customStyle="1" w:styleId="43">
    <w:name w:val="Знак Знак4"/>
    <w:rsid w:val="00CC2C61"/>
  </w:style>
  <w:style w:type="paragraph" w:styleId="affb">
    <w:name w:val="endnote text"/>
    <w:basedOn w:val="a"/>
    <w:link w:val="affc"/>
    <w:rsid w:val="00CC2C61"/>
    <w:rPr>
      <w:sz w:val="20"/>
    </w:rPr>
  </w:style>
  <w:style w:type="character" w:customStyle="1" w:styleId="affc">
    <w:name w:val="Текст концевой сноски Знак"/>
    <w:basedOn w:val="a0"/>
    <w:link w:val="affb"/>
    <w:rsid w:val="00CC2C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4747</Words>
  <Characters>27060</Characters>
  <Application>Microsoft Office Word</Application>
  <DocSecurity>0</DocSecurity>
  <Lines>225</Lines>
  <Paragraphs>63</Paragraphs>
  <ScaleCrop>false</ScaleCrop>
  <Company/>
  <LinksUpToDate>false</LinksUpToDate>
  <CharactersWithSpaces>31744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2021-08-03T13:28:00Z</dcterms:created>
  <dcterms:modified xsi:type="dcterms:W3CDTF">2021-08-03T13:28:00Z</dcterms:modified>
</cp:coreProperties>
</file>