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FB0CEE" w:rsidP="00476DDC">
      <w:pPr>
        <w:spacing w:after="0" w:line="240" w:lineRule="auto"/>
        <w:jc w:val="both"/>
        <w:rPr>
          <w:rFonts w:eastAsia="Times New Roman"/>
          <w:szCs w:val="20"/>
          <w:lang w:eastAsia="ru-RU"/>
        </w:rPr>
      </w:pPr>
      <w:r>
        <w:rPr>
          <w:rFonts w:eastAsia="Times New Roman"/>
          <w:szCs w:val="20"/>
          <w:lang w:eastAsia="ru-RU"/>
        </w:rPr>
        <w:t>13</w:t>
      </w:r>
      <w:r w:rsidRPr="009F279F">
        <w:rPr>
          <w:rFonts w:eastAsia="Times New Roman"/>
          <w:szCs w:val="20"/>
          <w:lang w:eastAsia="ru-RU"/>
        </w:rPr>
        <w:t>.</w:t>
      </w:r>
      <w:r>
        <w:rPr>
          <w:rFonts w:eastAsia="Times New Roman"/>
          <w:szCs w:val="20"/>
          <w:lang w:eastAsia="ru-RU"/>
        </w:rPr>
        <w:t>11</w:t>
      </w:r>
      <w:r w:rsidRPr="009F279F">
        <w:rPr>
          <w:rFonts w:eastAsia="Times New Roman"/>
          <w:szCs w:val="20"/>
          <w:lang w:eastAsia="ru-RU"/>
        </w:rPr>
        <w:t>.</w:t>
      </w:r>
      <w:r>
        <w:rPr>
          <w:rFonts w:eastAsia="Times New Roman"/>
          <w:szCs w:val="20"/>
          <w:lang w:eastAsia="ru-RU"/>
        </w:rPr>
        <w:t>2020</w:t>
      </w:r>
      <w:r w:rsidR="00476DDC" w:rsidRPr="00451559">
        <w:rPr>
          <w:rFonts w:eastAsia="Times New Roman"/>
          <w:szCs w:val="20"/>
          <w:lang w:eastAsia="ru-RU"/>
        </w:rPr>
        <w:t xml:space="preserve">                                                                                             </w:t>
      </w:r>
      <w:r w:rsidR="00476DDC">
        <w:rPr>
          <w:rFonts w:eastAsia="Times New Roman"/>
          <w:szCs w:val="20"/>
          <w:lang w:eastAsia="ru-RU"/>
        </w:rPr>
        <w:t xml:space="preserve"> </w:t>
      </w:r>
      <w:r>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2632</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rFonts w:ascii="Calibri" w:eastAsia="Times New Roman" w:hAnsi="Calibri" w:cs="Calibri"/>
          <w:sz w:val="22"/>
          <w:szCs w:val="20"/>
          <w:lang w:eastAsia="ru-RU"/>
        </w:rPr>
      </w:sdtEndPr>
      <w:sdtContent>
        <w:p w:rsidR="00476DDC" w:rsidRPr="00C469E6" w:rsidRDefault="0067679B" w:rsidP="0067679B">
          <w:pPr>
            <w:pStyle w:val="ConsPlusTitle"/>
            <w:jc w:val="center"/>
            <w:rPr>
              <w:b w:val="0"/>
              <w:szCs w:val="28"/>
            </w:rPr>
          </w:pPr>
          <w:r>
            <w:rPr>
              <w:rFonts w:ascii="Times New Roman" w:hAnsi="Times New Roman" w:cs="Times New Roman"/>
              <w:sz w:val="28"/>
              <w:szCs w:val="28"/>
            </w:rPr>
            <w:t>О прогнозе социально-экономического развития муниципального образования город Мурманск на среднесрочный период 202</w:t>
          </w:r>
          <w:r w:rsidR="00CF0AD5">
            <w:rPr>
              <w:rFonts w:ascii="Times New Roman" w:hAnsi="Times New Roman" w:cs="Times New Roman"/>
              <w:sz w:val="28"/>
              <w:szCs w:val="28"/>
            </w:rPr>
            <w:t>1</w:t>
          </w:r>
          <w:r>
            <w:rPr>
              <w:rFonts w:ascii="Times New Roman" w:hAnsi="Times New Roman" w:cs="Times New Roman"/>
              <w:sz w:val="28"/>
              <w:szCs w:val="28"/>
            </w:rPr>
            <w:t>-2025 годов</w:t>
          </w:r>
        </w:p>
      </w:sdtContent>
    </w:sdt>
    <w:p w:rsidR="00476DDC" w:rsidRDefault="00476DDC" w:rsidP="00476DDC">
      <w:pPr>
        <w:spacing w:after="0" w:line="240" w:lineRule="auto"/>
        <w:jc w:val="center"/>
        <w:rPr>
          <w:rFonts w:eastAsia="Times New Roman"/>
          <w:szCs w:val="28"/>
          <w:lang w:eastAsia="ru-RU"/>
        </w:rPr>
      </w:pPr>
    </w:p>
    <w:p w:rsidR="00F55830" w:rsidRDefault="00F55830" w:rsidP="00476DDC">
      <w:pPr>
        <w:spacing w:after="0" w:line="240" w:lineRule="auto"/>
        <w:jc w:val="center"/>
        <w:rPr>
          <w:rFonts w:eastAsia="Times New Roman"/>
          <w:szCs w:val="28"/>
          <w:lang w:eastAsia="ru-RU"/>
        </w:rPr>
      </w:pPr>
    </w:p>
    <w:p w:rsidR="00B5456A" w:rsidRDefault="00A512D5" w:rsidP="00B5456A">
      <w:pPr>
        <w:widowControl w:val="0"/>
        <w:autoSpaceDE w:val="0"/>
        <w:autoSpaceDN w:val="0"/>
        <w:adjustRightInd w:val="0"/>
        <w:spacing w:after="0" w:line="240" w:lineRule="auto"/>
        <w:ind w:firstLine="709"/>
        <w:jc w:val="both"/>
        <w:rPr>
          <w:rFonts w:eastAsia="Times New Roman"/>
          <w:szCs w:val="28"/>
          <w:lang w:eastAsia="ru-RU"/>
        </w:rPr>
      </w:pPr>
      <w:r w:rsidRPr="0089746F">
        <w:rPr>
          <w:spacing w:val="4"/>
          <w:szCs w:val="28"/>
        </w:rPr>
        <w:t>В соответствии со статьей 173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Федеральным законом от 28.06.2014 № 172-ФЗ</w:t>
      </w:r>
      <w:r w:rsidR="00741BD8">
        <w:rPr>
          <w:spacing w:val="4"/>
          <w:szCs w:val="28"/>
        </w:rPr>
        <w:t xml:space="preserve">                         </w:t>
      </w:r>
      <w:r w:rsidRPr="0089746F">
        <w:rPr>
          <w:spacing w:val="4"/>
          <w:szCs w:val="28"/>
        </w:rPr>
        <w:t xml:space="preserve"> «О стратегическом планировании в Российской Федерации», статьей 46 Устава муниципального образования город Мурманск, решениями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9" w:history="1">
        <w:r w:rsidRPr="0089746F">
          <w:rPr>
            <w:spacing w:val="4"/>
            <w:szCs w:val="28"/>
          </w:rPr>
          <w:t>от 27.03.2015 № 10-135</w:t>
        </w:r>
        <w:r w:rsidR="00741BD8">
          <w:rPr>
            <w:spacing w:val="4"/>
            <w:szCs w:val="28"/>
          </w:rPr>
          <w:t xml:space="preserve">             </w:t>
        </w:r>
        <w:r w:rsidRPr="0089746F">
          <w:rPr>
            <w:spacing w:val="4"/>
            <w:szCs w:val="28"/>
          </w:rPr>
          <w:t xml:space="preserve"> «Об утверждении положения о стратегическом планировании в городе Мурманске</w:t>
        </w:r>
      </w:hyperlink>
      <w:r w:rsidRPr="0089746F">
        <w:rPr>
          <w:spacing w:val="4"/>
          <w:szCs w:val="28"/>
        </w:rPr>
        <w:t>», постановлением администрации города Мурманска</w:t>
      </w:r>
      <w:r w:rsidR="00741BD8">
        <w:rPr>
          <w:spacing w:val="4"/>
          <w:szCs w:val="28"/>
        </w:rPr>
        <w:t xml:space="preserve">                          </w:t>
      </w:r>
      <w:r w:rsidRPr="0089746F">
        <w:rPr>
          <w:spacing w:val="4"/>
          <w:szCs w:val="28"/>
        </w:rPr>
        <w:t xml:space="preserve"> от 10.06.2015 № 1524 «Об утверждении Порядка разработки прогноза социально-экономического развития муниципального образования город Мурманск на среднесрочный и долгосрочный периоды», в целях осуществления бюджетного процесса в муниципальном образовании город Мурманск </w:t>
      </w:r>
      <w:r w:rsidR="00E86816" w:rsidRPr="006E1296">
        <w:rPr>
          <w:b/>
          <w:szCs w:val="28"/>
        </w:rPr>
        <w:t>п о с т а н о в л я ю</w:t>
      </w:r>
      <w:r w:rsidRPr="0089746F">
        <w:rPr>
          <w:b/>
          <w:spacing w:val="20"/>
          <w:szCs w:val="28"/>
        </w:rPr>
        <w:t>:</w:t>
      </w:r>
      <w:r w:rsidR="00A919EC" w:rsidRPr="00A919EC">
        <w:rPr>
          <w:szCs w:val="28"/>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376FCE">
        <w:rPr>
          <w:szCs w:val="28"/>
        </w:rPr>
        <w:t>Одобрить</w:t>
      </w:r>
      <w:r w:rsidR="006111C0">
        <w:rPr>
          <w:szCs w:val="28"/>
        </w:rPr>
        <w:t xml:space="preserve"> </w:t>
      </w:r>
      <w:r w:rsidR="00376FCE">
        <w:rPr>
          <w:szCs w:val="28"/>
        </w:rPr>
        <w:t xml:space="preserve">прогноз социально-экономического развития муниципального образования город Мурманск на среднесрочный период </w:t>
      </w:r>
      <w:r w:rsidR="007125AF">
        <w:rPr>
          <w:szCs w:val="28"/>
        </w:rPr>
        <w:br/>
      </w:r>
      <w:r w:rsidR="00376FCE">
        <w:rPr>
          <w:szCs w:val="28"/>
        </w:rPr>
        <w:t>202</w:t>
      </w:r>
      <w:r w:rsidR="00CF0AD5">
        <w:rPr>
          <w:szCs w:val="28"/>
        </w:rPr>
        <w:t>1</w:t>
      </w:r>
      <w:r w:rsidR="00376FCE">
        <w:rPr>
          <w:szCs w:val="28"/>
        </w:rPr>
        <w:t xml:space="preserve">-2025 годов </w:t>
      </w:r>
      <w:r w:rsidR="00A919EC" w:rsidRPr="00A919EC">
        <w:rPr>
          <w:szCs w:val="28"/>
        </w:rPr>
        <w:t>согласно приложению к настоящему постановлению</w:t>
      </w:r>
      <w:r>
        <w:rPr>
          <w:szCs w:val="28"/>
        </w:rPr>
        <w:t>.</w:t>
      </w:r>
    </w:p>
    <w:p w:rsidR="00B5456A" w:rsidRDefault="0067679B" w:rsidP="00451028">
      <w:pPr>
        <w:spacing w:after="120" w:line="240" w:lineRule="auto"/>
        <w:ind w:firstLine="709"/>
        <w:jc w:val="both"/>
        <w:rPr>
          <w:szCs w:val="28"/>
        </w:rPr>
      </w:pPr>
      <w:r>
        <w:rPr>
          <w:szCs w:val="28"/>
        </w:rPr>
        <w:t>2</w:t>
      </w:r>
      <w:r w:rsidR="00B5456A" w:rsidRPr="00B86392">
        <w:rPr>
          <w:szCs w:val="28"/>
        </w:rPr>
        <w:t>.</w:t>
      </w:r>
      <w:r w:rsidR="00071DDC">
        <w:rPr>
          <w:szCs w:val="28"/>
        </w:rPr>
        <w:t> </w:t>
      </w:r>
      <w:r w:rsidR="00B5456A" w:rsidRPr="00B86392">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3</w:t>
      </w:r>
      <w:r w:rsidR="00B5456A" w:rsidRPr="00B86392">
        <w:rPr>
          <w:szCs w:val="28"/>
        </w:rPr>
        <w:t>.</w:t>
      </w:r>
      <w:r w:rsidR="00071DDC">
        <w:rPr>
          <w:szCs w:val="28"/>
        </w:rPr>
        <w:t> </w:t>
      </w:r>
      <w:r w:rsidR="00B5456A" w:rsidRPr="00B86392">
        <w:rPr>
          <w:szCs w:val="28"/>
        </w:rPr>
        <w:t>Редакции газеты «Вечерний Мурманск» (Хабаров В.А.) опубликовать настоящее постановление</w:t>
      </w:r>
      <w:r w:rsidR="00B5456A">
        <w:rPr>
          <w:szCs w:val="28"/>
        </w:rPr>
        <w:t xml:space="preserve"> с приложением</w:t>
      </w:r>
      <w:r w:rsidR="00B5456A" w:rsidRPr="00B86392">
        <w:rPr>
          <w:szCs w:val="28"/>
        </w:rPr>
        <w:t>.</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4</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rsidR="00B5456A" w:rsidRDefault="00376FCE"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lastRenderedPageBreak/>
        <w:t>5</w:t>
      </w:r>
      <w:r w:rsidR="00B5456A">
        <w:rPr>
          <w:szCs w:val="28"/>
        </w:rPr>
        <w:t>.</w:t>
      </w:r>
      <w:r w:rsidR="00071DDC">
        <w:rPr>
          <w:szCs w:val="28"/>
        </w:rPr>
        <w:t> </w:t>
      </w:r>
      <w:r w:rsidR="00B5456A" w:rsidRPr="00B86392">
        <w:rPr>
          <w:szCs w:val="28"/>
        </w:rPr>
        <w:t>Контроль за выполнением настоящего постановления</w:t>
      </w:r>
      <w:r w:rsidR="00B5456A">
        <w:rPr>
          <w:szCs w:val="28"/>
        </w:rPr>
        <w:t xml:space="preserve"> </w:t>
      </w:r>
      <w:r>
        <w:rPr>
          <w:szCs w:val="28"/>
        </w:rPr>
        <w:t>оставляю за собой</w:t>
      </w:r>
      <w:r w:rsidR="00B5456A">
        <w:rPr>
          <w:szCs w:val="28"/>
        </w:rPr>
        <w:t>.</w:t>
      </w:r>
    </w:p>
    <w:p w:rsidR="00B5456A" w:rsidRDefault="00B5456A" w:rsidP="00B5456A">
      <w:pPr>
        <w:spacing w:after="0" w:line="240" w:lineRule="auto"/>
        <w:jc w:val="both"/>
        <w:rPr>
          <w:rFonts w:eastAsia="Times New Roman"/>
          <w:szCs w:val="28"/>
          <w:lang w:eastAsia="ru-RU"/>
        </w:rPr>
      </w:pPr>
    </w:p>
    <w:p w:rsidR="00451028" w:rsidRDefault="00451028" w:rsidP="00B5456A">
      <w:pPr>
        <w:spacing w:after="0" w:line="240" w:lineRule="auto"/>
        <w:jc w:val="both"/>
        <w:rPr>
          <w:rFonts w:eastAsia="Times New Roman"/>
          <w:szCs w:val="28"/>
          <w:lang w:eastAsia="ru-RU"/>
        </w:rPr>
      </w:pPr>
    </w:p>
    <w:p w:rsidR="00376FCE" w:rsidRPr="00FD3B16" w:rsidRDefault="00376FCE"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CF0AD5" w:rsidRDefault="00CF0AD5" w:rsidP="00163B66">
            <w:pPr>
              <w:spacing w:after="0" w:line="240" w:lineRule="auto"/>
              <w:jc w:val="both"/>
              <w:rPr>
                <w:b/>
                <w:szCs w:val="28"/>
              </w:rPr>
            </w:pPr>
            <w:r>
              <w:rPr>
                <w:b/>
                <w:szCs w:val="28"/>
              </w:rPr>
              <w:t>Г</w:t>
            </w:r>
            <w:r w:rsidR="00B5456A">
              <w:rPr>
                <w:b/>
                <w:szCs w:val="28"/>
              </w:rPr>
              <w:t>лав</w:t>
            </w:r>
            <w:r>
              <w:rPr>
                <w:b/>
                <w:szCs w:val="28"/>
              </w:rPr>
              <w:t>а</w:t>
            </w:r>
            <w:r w:rsidR="00B5456A">
              <w:rPr>
                <w:b/>
                <w:szCs w:val="28"/>
              </w:rPr>
              <w:t xml:space="preserve"> администрации</w:t>
            </w:r>
          </w:p>
          <w:p w:rsidR="00B5456A" w:rsidRPr="006C0762" w:rsidRDefault="00B5456A" w:rsidP="00163B66">
            <w:pPr>
              <w:spacing w:after="0" w:line="240" w:lineRule="auto"/>
              <w:jc w:val="both"/>
              <w:rPr>
                <w:b/>
                <w:szCs w:val="28"/>
              </w:rPr>
            </w:pPr>
            <w:r>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D8009D" w:rsidP="00163B66">
            <w:pPr>
              <w:spacing w:after="0" w:line="240" w:lineRule="auto"/>
              <w:ind w:right="-108"/>
              <w:rPr>
                <w:b/>
                <w:szCs w:val="28"/>
              </w:rPr>
            </w:pPr>
            <w:r>
              <w:rPr>
                <w:b/>
                <w:szCs w:val="28"/>
              </w:rPr>
              <w:t xml:space="preserve">  </w:t>
            </w:r>
            <w:r w:rsidR="00CF0AD5">
              <w:rPr>
                <w:b/>
                <w:szCs w:val="28"/>
              </w:rPr>
              <w:t xml:space="preserve">      Е.В. Никора</w:t>
            </w:r>
          </w:p>
        </w:tc>
      </w:tr>
    </w:tbl>
    <w:p w:rsidR="002D2654" w:rsidRDefault="002D2654" w:rsidP="00E86816">
      <w:pPr>
        <w:widowControl w:val="0"/>
        <w:autoSpaceDE w:val="0"/>
        <w:autoSpaceDN w:val="0"/>
        <w:spacing w:after="0" w:line="240" w:lineRule="auto"/>
        <w:rPr>
          <w:rFonts w:eastAsia="Times New Roman"/>
          <w:szCs w:val="28"/>
          <w:lang w:eastAsia="ru-RU"/>
        </w:rPr>
        <w:sectPr w:rsidR="002D2654" w:rsidSect="00FB0CEE">
          <w:headerReference w:type="default" r:id="rId10"/>
          <w:headerReference w:type="first" r:id="rId11"/>
          <w:footnotePr>
            <w:numRestart w:val="eachSect"/>
          </w:footnotePr>
          <w:pgSz w:w="11906" w:h="16838"/>
          <w:pgMar w:top="1134" w:right="567" w:bottom="1134" w:left="1701" w:header="709" w:footer="709" w:gutter="0"/>
          <w:cols w:space="708"/>
          <w:titlePg/>
          <w:docGrid w:linePitch="360"/>
        </w:sectPr>
      </w:pPr>
    </w:p>
    <w:p w:rsidR="00FB0CEE" w:rsidRDefault="00FB0CEE" w:rsidP="00FB0CEE">
      <w:pPr>
        <w:spacing w:after="0" w:line="240" w:lineRule="auto"/>
        <w:jc w:val="center"/>
        <w:rPr>
          <w:szCs w:val="28"/>
        </w:rPr>
      </w:pPr>
      <w:r>
        <w:rPr>
          <w:szCs w:val="28"/>
        </w:rPr>
        <w:lastRenderedPageBreak/>
        <w:t xml:space="preserve">                                                                                                                                                     Приложение</w:t>
      </w:r>
    </w:p>
    <w:p w:rsidR="00FB0CEE" w:rsidRDefault="00FB0CEE" w:rsidP="00FB0CEE">
      <w:pPr>
        <w:spacing w:after="0" w:line="240" w:lineRule="auto"/>
        <w:ind w:left="4956" w:firstLine="573"/>
        <w:jc w:val="center"/>
        <w:rPr>
          <w:szCs w:val="28"/>
        </w:rPr>
      </w:pPr>
      <w:r>
        <w:rPr>
          <w:szCs w:val="28"/>
        </w:rPr>
        <w:t xml:space="preserve">                                                                        к постановлению администрации</w:t>
      </w:r>
    </w:p>
    <w:p w:rsidR="00FB0CEE" w:rsidRDefault="00FB0CEE" w:rsidP="00FB0CEE">
      <w:pPr>
        <w:spacing w:after="0" w:line="240" w:lineRule="auto"/>
        <w:ind w:left="4956" w:firstLine="573"/>
        <w:jc w:val="center"/>
        <w:rPr>
          <w:szCs w:val="28"/>
        </w:rPr>
      </w:pPr>
      <w:r>
        <w:rPr>
          <w:szCs w:val="28"/>
        </w:rPr>
        <w:t xml:space="preserve">                                                                      города Мурманска</w:t>
      </w:r>
    </w:p>
    <w:p w:rsidR="00FB0CEE" w:rsidRDefault="00FB0CEE" w:rsidP="00FB0CEE">
      <w:pPr>
        <w:spacing w:after="0" w:line="240" w:lineRule="auto"/>
        <w:ind w:left="4956" w:firstLine="573"/>
        <w:jc w:val="center"/>
        <w:rPr>
          <w:szCs w:val="28"/>
        </w:rPr>
      </w:pPr>
      <w:r>
        <w:rPr>
          <w:szCs w:val="28"/>
        </w:rPr>
        <w:t xml:space="preserve">                                                                       от 13.11.2020 № 2632</w:t>
      </w:r>
    </w:p>
    <w:p w:rsidR="00FB0CEE" w:rsidRDefault="00FB0CEE" w:rsidP="00FB0CEE">
      <w:pPr>
        <w:overflowPunct w:val="0"/>
        <w:autoSpaceDE w:val="0"/>
        <w:autoSpaceDN w:val="0"/>
        <w:adjustRightInd w:val="0"/>
        <w:spacing w:after="0" w:line="240" w:lineRule="auto"/>
        <w:jc w:val="center"/>
        <w:rPr>
          <w:rFonts w:eastAsia="Times New Roman"/>
          <w:bCs/>
          <w:color w:val="000000"/>
          <w:szCs w:val="28"/>
          <w:lang w:eastAsia="ru-RU"/>
        </w:rPr>
      </w:pPr>
      <w:bookmarkStart w:id="0" w:name="_GoBack"/>
      <w:bookmarkEnd w:id="0"/>
    </w:p>
    <w:p w:rsidR="00FB0CEE" w:rsidRPr="00552145" w:rsidRDefault="00FB0CEE" w:rsidP="00FB0CEE">
      <w:pPr>
        <w:overflowPunct w:val="0"/>
        <w:autoSpaceDE w:val="0"/>
        <w:autoSpaceDN w:val="0"/>
        <w:adjustRightInd w:val="0"/>
        <w:spacing w:after="0" w:line="240" w:lineRule="auto"/>
        <w:jc w:val="center"/>
        <w:rPr>
          <w:rFonts w:eastAsia="Times New Roman"/>
          <w:bCs/>
          <w:color w:val="000000"/>
          <w:szCs w:val="28"/>
          <w:lang w:eastAsia="ru-RU"/>
        </w:rPr>
      </w:pPr>
      <w:r w:rsidRPr="00552145">
        <w:rPr>
          <w:rFonts w:eastAsia="Times New Roman"/>
          <w:bCs/>
          <w:color w:val="000000"/>
          <w:szCs w:val="28"/>
          <w:lang w:eastAsia="ru-RU"/>
        </w:rPr>
        <w:t xml:space="preserve">Прогноз социально-экономического развития муниципального образования город Мурманск </w:t>
      </w:r>
    </w:p>
    <w:p w:rsidR="00FB0CEE" w:rsidRPr="00552145" w:rsidRDefault="00FB0CEE" w:rsidP="00FB0CEE">
      <w:pPr>
        <w:overflowPunct w:val="0"/>
        <w:autoSpaceDE w:val="0"/>
        <w:autoSpaceDN w:val="0"/>
        <w:adjustRightInd w:val="0"/>
        <w:spacing w:after="0" w:line="240" w:lineRule="auto"/>
        <w:jc w:val="center"/>
        <w:rPr>
          <w:rFonts w:eastAsia="Times New Roman"/>
          <w:bCs/>
          <w:color w:val="000000"/>
          <w:szCs w:val="28"/>
          <w:lang w:eastAsia="ru-RU"/>
        </w:rPr>
      </w:pPr>
      <w:r w:rsidRPr="00552145">
        <w:rPr>
          <w:rFonts w:eastAsia="Times New Roman"/>
          <w:bCs/>
          <w:color w:val="000000"/>
          <w:szCs w:val="28"/>
          <w:lang w:eastAsia="ru-RU"/>
        </w:rPr>
        <w:t>на среднесрочный период 202</w:t>
      </w:r>
      <w:r w:rsidRPr="003242D4">
        <w:rPr>
          <w:rFonts w:eastAsia="Times New Roman"/>
          <w:bCs/>
          <w:color w:val="000000"/>
          <w:szCs w:val="28"/>
          <w:lang w:eastAsia="ru-RU"/>
        </w:rPr>
        <w:t>1</w:t>
      </w:r>
      <w:r w:rsidRPr="00552145">
        <w:rPr>
          <w:rFonts w:eastAsia="Times New Roman"/>
          <w:bCs/>
          <w:color w:val="000000"/>
          <w:szCs w:val="28"/>
          <w:lang w:eastAsia="ru-RU"/>
        </w:rPr>
        <w:t>-2025 годов</w:t>
      </w:r>
    </w:p>
    <w:p w:rsidR="00FB0CEE" w:rsidRPr="00552145" w:rsidRDefault="00FB0CEE" w:rsidP="00FB0CEE">
      <w:pPr>
        <w:overflowPunct w:val="0"/>
        <w:autoSpaceDE w:val="0"/>
        <w:autoSpaceDN w:val="0"/>
        <w:adjustRightInd w:val="0"/>
        <w:spacing w:after="0" w:line="240" w:lineRule="auto"/>
        <w:ind w:firstLine="600"/>
        <w:rPr>
          <w:rFonts w:eastAsia="Times New Roman"/>
          <w:szCs w:val="28"/>
          <w:lang w:eastAsia="ru-RU"/>
        </w:rPr>
      </w:pPr>
    </w:p>
    <w:tbl>
      <w:tblPr>
        <w:tblW w:w="16018" w:type="dxa"/>
        <w:jc w:val="center"/>
        <w:tblLayout w:type="fixed"/>
        <w:tblCellMar>
          <w:left w:w="0" w:type="dxa"/>
          <w:right w:w="0" w:type="dxa"/>
        </w:tblCellMar>
        <w:tblLook w:val="04A0" w:firstRow="1" w:lastRow="0" w:firstColumn="1" w:lastColumn="0" w:noHBand="0" w:noVBand="1"/>
      </w:tblPr>
      <w:tblGrid>
        <w:gridCol w:w="2000"/>
        <w:gridCol w:w="977"/>
        <w:gridCol w:w="992"/>
        <w:gridCol w:w="993"/>
        <w:gridCol w:w="992"/>
        <w:gridCol w:w="992"/>
        <w:gridCol w:w="851"/>
        <w:gridCol w:w="1007"/>
        <w:gridCol w:w="977"/>
        <w:gridCol w:w="1008"/>
        <w:gridCol w:w="1118"/>
        <w:gridCol w:w="1134"/>
        <w:gridCol w:w="1134"/>
        <w:gridCol w:w="993"/>
        <w:gridCol w:w="850"/>
      </w:tblGrid>
      <w:tr w:rsidR="00FB0CEE" w:rsidRPr="00552145" w:rsidTr="00FB0CEE">
        <w:trPr>
          <w:trHeight w:val="285"/>
          <w:tblHeader/>
          <w:jc w:val="center"/>
        </w:trPr>
        <w:tc>
          <w:tcPr>
            <w:tcW w:w="20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 xml:space="preserve">Отчет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Оценка</w:t>
            </w:r>
            <w:r w:rsidRPr="00552145">
              <w:rPr>
                <w:rFonts w:eastAsia="Times New Roman"/>
                <w:sz w:val="20"/>
                <w:szCs w:val="20"/>
                <w:vertAlign w:val="superscript"/>
                <w:lang w:eastAsia="ru-RU"/>
              </w:rPr>
              <w:footnoteReference w:id="1"/>
            </w:r>
            <w:r w:rsidRPr="00552145">
              <w:rPr>
                <w:rFonts w:eastAsia="Times New Roman"/>
                <w:sz w:val="20"/>
                <w:szCs w:val="20"/>
                <w:lang w:eastAsia="ru-RU"/>
              </w:rPr>
              <w:t> </w:t>
            </w:r>
          </w:p>
        </w:tc>
        <w:tc>
          <w:tcPr>
            <w:tcW w:w="10064" w:type="dxa"/>
            <w:gridSpan w:val="10"/>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Прогноз</w:t>
            </w:r>
          </w:p>
        </w:tc>
      </w:tr>
      <w:tr w:rsidR="00FB0CEE" w:rsidRPr="00552145" w:rsidTr="00FB0CEE">
        <w:trPr>
          <w:trHeight w:val="137"/>
          <w:tblHeader/>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Arial Unicode MS"/>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Arial Unicode MS"/>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2018 г.</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2019 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2020 г.</w:t>
            </w:r>
          </w:p>
        </w:tc>
        <w:tc>
          <w:tcPr>
            <w:tcW w:w="1843" w:type="dxa"/>
            <w:gridSpan w:val="2"/>
            <w:tcBorders>
              <w:top w:val="single" w:sz="4" w:space="0" w:color="auto"/>
              <w:left w:val="single" w:sz="4" w:space="0" w:color="auto"/>
              <w:bottom w:val="nil"/>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 2021 г.</w:t>
            </w:r>
          </w:p>
        </w:tc>
        <w:tc>
          <w:tcPr>
            <w:tcW w:w="1984" w:type="dxa"/>
            <w:gridSpan w:val="2"/>
            <w:tcBorders>
              <w:top w:val="single" w:sz="4" w:space="0" w:color="auto"/>
              <w:left w:val="single" w:sz="4" w:space="0" w:color="auto"/>
              <w:bottom w:val="nil"/>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 xml:space="preserve">2022 г. </w:t>
            </w:r>
          </w:p>
        </w:tc>
        <w:tc>
          <w:tcPr>
            <w:tcW w:w="2126" w:type="dxa"/>
            <w:gridSpan w:val="2"/>
            <w:tcBorders>
              <w:top w:val="single" w:sz="4" w:space="0" w:color="auto"/>
              <w:left w:val="single" w:sz="4" w:space="0" w:color="auto"/>
              <w:bottom w:val="nil"/>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2023 г.</w:t>
            </w:r>
          </w:p>
        </w:tc>
        <w:tc>
          <w:tcPr>
            <w:tcW w:w="2268" w:type="dxa"/>
            <w:gridSpan w:val="2"/>
            <w:tcBorders>
              <w:top w:val="single" w:sz="4" w:space="0" w:color="auto"/>
              <w:left w:val="single" w:sz="4" w:space="0" w:color="auto"/>
              <w:bottom w:val="nil"/>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2024 г.</w:t>
            </w:r>
          </w:p>
        </w:tc>
        <w:tc>
          <w:tcPr>
            <w:tcW w:w="1843" w:type="dxa"/>
            <w:gridSpan w:val="2"/>
            <w:tcBorders>
              <w:top w:val="single" w:sz="4" w:space="0" w:color="auto"/>
              <w:left w:val="single" w:sz="4" w:space="0" w:color="auto"/>
              <w:bottom w:val="nil"/>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2025 г.</w:t>
            </w:r>
          </w:p>
        </w:tc>
      </w:tr>
      <w:tr w:rsidR="00FB0CEE" w:rsidRPr="00552145" w:rsidTr="00FB0CEE">
        <w:trPr>
          <w:trHeight w:val="338"/>
          <w:tblHeader/>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Arial Unicode MS"/>
                <w:sz w:val="20"/>
                <w:szCs w:val="20"/>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0CEE" w:rsidRPr="00552145" w:rsidRDefault="00FB0CEE" w:rsidP="00FB0CEE">
            <w:pPr>
              <w:spacing w:after="0" w:line="240" w:lineRule="auto"/>
              <w:rPr>
                <w:rFonts w:eastAsia="Times New Roman"/>
                <w:sz w:val="20"/>
                <w:szCs w:val="20"/>
                <w:lang w:eastAsia="ru-RU"/>
              </w:rPr>
            </w:pPr>
          </w:p>
        </w:tc>
        <w:tc>
          <w:tcPr>
            <w:tcW w:w="992"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1-й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r w:rsidRPr="00552145">
              <w:rPr>
                <w:rFonts w:eastAsia="Times New Roman"/>
                <w:sz w:val="18"/>
                <w:szCs w:val="18"/>
                <w:vertAlign w:val="superscript"/>
                <w:lang w:eastAsia="ru-RU"/>
              </w:rPr>
              <w:footnoteReference w:id="2"/>
            </w:r>
          </w:p>
        </w:tc>
        <w:tc>
          <w:tcPr>
            <w:tcW w:w="851"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2-й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r w:rsidRPr="00552145">
              <w:rPr>
                <w:rFonts w:eastAsia="Times New Roman"/>
                <w:sz w:val="18"/>
                <w:szCs w:val="18"/>
                <w:vertAlign w:val="superscript"/>
                <w:lang w:eastAsia="ru-RU"/>
              </w:rPr>
              <w:footnoteReference w:id="3"/>
            </w:r>
          </w:p>
        </w:tc>
        <w:tc>
          <w:tcPr>
            <w:tcW w:w="1007"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 xml:space="preserve">1-й </w:t>
            </w:r>
            <w:r>
              <w:rPr>
                <w:rFonts w:eastAsia="Times New Roman"/>
                <w:sz w:val="18"/>
                <w:szCs w:val="18"/>
                <w:lang w:eastAsia="ru-RU"/>
              </w:rPr>
              <w:br/>
            </w:r>
            <w:r w:rsidRPr="00552145">
              <w:rPr>
                <w:rFonts w:eastAsia="Times New Roman"/>
                <w:sz w:val="18"/>
                <w:szCs w:val="18"/>
                <w:lang w:eastAsia="ru-RU"/>
              </w:rPr>
              <w:t>вариант</w:t>
            </w:r>
          </w:p>
        </w:tc>
        <w:tc>
          <w:tcPr>
            <w:tcW w:w="977"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2-й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c>
          <w:tcPr>
            <w:tcW w:w="1008"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1-й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c>
          <w:tcPr>
            <w:tcW w:w="1118"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 xml:space="preserve">2-й </w:t>
            </w:r>
            <w:r>
              <w:rPr>
                <w:rFonts w:eastAsia="Times New Roman"/>
                <w:sz w:val="18"/>
                <w:szCs w:val="18"/>
                <w:lang w:eastAsia="ru-RU"/>
              </w:rPr>
              <w:br/>
            </w:r>
            <w:r w:rsidRPr="00552145">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1-й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2-й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1-й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c>
          <w:tcPr>
            <w:tcW w:w="850"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2-й</w:t>
            </w:r>
          </w:p>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r w:rsidRPr="00552145">
              <w:rPr>
                <w:rFonts w:eastAsia="Times New Roman"/>
                <w:sz w:val="18"/>
                <w:szCs w:val="18"/>
                <w:lang w:eastAsia="ru-RU"/>
              </w:rPr>
              <w:t>вариант</w:t>
            </w:r>
          </w:p>
        </w:tc>
      </w:tr>
      <w:tr w:rsidR="00FB0CEE" w:rsidRPr="00552145" w:rsidTr="00FB0CEE">
        <w:trPr>
          <w:trHeight w:val="133"/>
          <w:tblHeader/>
          <w:jc w:val="center"/>
        </w:trPr>
        <w:tc>
          <w:tcPr>
            <w:tcW w:w="2000"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w:t>
            </w:r>
          </w:p>
        </w:tc>
        <w:tc>
          <w:tcPr>
            <w:tcW w:w="977"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2</w:t>
            </w:r>
          </w:p>
        </w:tc>
        <w:tc>
          <w:tcPr>
            <w:tcW w:w="992" w:type="dxa"/>
            <w:tcBorders>
              <w:top w:val="single" w:sz="4" w:space="0" w:color="auto"/>
              <w:left w:val="single" w:sz="4" w:space="0" w:color="auto"/>
              <w:bottom w:val="nil"/>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3</w:t>
            </w:r>
          </w:p>
        </w:tc>
        <w:tc>
          <w:tcPr>
            <w:tcW w:w="993" w:type="dxa"/>
            <w:tcBorders>
              <w:top w:val="single" w:sz="4" w:space="0" w:color="auto"/>
              <w:left w:val="single" w:sz="4" w:space="0" w:color="auto"/>
              <w:bottom w:val="nil"/>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4</w:t>
            </w:r>
          </w:p>
        </w:tc>
        <w:tc>
          <w:tcPr>
            <w:tcW w:w="992" w:type="dxa"/>
            <w:tcBorders>
              <w:top w:val="single" w:sz="4" w:space="0" w:color="auto"/>
              <w:left w:val="single" w:sz="4" w:space="0" w:color="auto"/>
              <w:bottom w:val="nil"/>
              <w:right w:val="single" w:sz="4" w:space="0" w:color="auto"/>
            </w:tcBorders>
            <w:vAlign w:val="center"/>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5</w:t>
            </w:r>
          </w:p>
        </w:tc>
        <w:tc>
          <w:tcPr>
            <w:tcW w:w="992"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6</w:t>
            </w:r>
          </w:p>
        </w:tc>
        <w:tc>
          <w:tcPr>
            <w:tcW w:w="851"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7</w:t>
            </w:r>
          </w:p>
        </w:tc>
        <w:tc>
          <w:tcPr>
            <w:tcW w:w="1007"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8</w:t>
            </w:r>
          </w:p>
        </w:tc>
        <w:tc>
          <w:tcPr>
            <w:tcW w:w="977"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9</w:t>
            </w:r>
          </w:p>
        </w:tc>
        <w:tc>
          <w:tcPr>
            <w:tcW w:w="1008"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10</w:t>
            </w:r>
          </w:p>
        </w:tc>
        <w:tc>
          <w:tcPr>
            <w:tcW w:w="1118"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11</w:t>
            </w:r>
          </w:p>
        </w:tc>
        <w:tc>
          <w:tcPr>
            <w:tcW w:w="1134"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12</w:t>
            </w:r>
          </w:p>
        </w:tc>
        <w:tc>
          <w:tcPr>
            <w:tcW w:w="1134"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13</w:t>
            </w:r>
          </w:p>
        </w:tc>
        <w:tc>
          <w:tcPr>
            <w:tcW w:w="993"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14</w:t>
            </w:r>
          </w:p>
        </w:tc>
        <w:tc>
          <w:tcPr>
            <w:tcW w:w="850" w:type="dxa"/>
            <w:tcBorders>
              <w:top w:val="single" w:sz="4" w:space="0" w:color="auto"/>
              <w:left w:val="single" w:sz="4" w:space="0" w:color="auto"/>
              <w:bottom w:val="nil"/>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16"/>
                <w:szCs w:val="16"/>
                <w:lang w:eastAsia="ru-RU"/>
              </w:rPr>
            </w:pPr>
            <w:r w:rsidRPr="00552145">
              <w:rPr>
                <w:rFonts w:eastAsia="Times New Roman"/>
                <w:sz w:val="16"/>
                <w:szCs w:val="16"/>
                <w:lang w:eastAsia="ru-RU"/>
              </w:rPr>
              <w:t>15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overflowPunct w:val="0"/>
              <w:autoSpaceDE w:val="0"/>
              <w:autoSpaceDN w:val="0"/>
              <w:adjustRightInd w:val="0"/>
              <w:spacing w:after="0" w:line="240" w:lineRule="auto"/>
              <w:rPr>
                <w:rFonts w:eastAsia="Arial Unicode MS"/>
                <w:bCs/>
                <w:sz w:val="20"/>
                <w:szCs w:val="20"/>
                <w:lang w:eastAsia="ru-RU"/>
              </w:rPr>
            </w:pPr>
            <w:r w:rsidRPr="001F18AC">
              <w:rPr>
                <w:rFonts w:eastAsia="Times New Roman"/>
                <w:bCs/>
                <w:sz w:val="20"/>
                <w:szCs w:val="20"/>
                <w:lang w:eastAsia="ru-RU"/>
              </w:rPr>
              <w:t>1. Демографические показатели</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Arial Unicode MS"/>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p>
        </w:tc>
      </w:tr>
      <w:tr w:rsidR="00FB0CEE" w:rsidRPr="00221AB1" w:rsidTr="00FB0CEE">
        <w:trPr>
          <w:trHeight w:val="881"/>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overflowPunct w:val="0"/>
              <w:autoSpaceDE w:val="0"/>
              <w:autoSpaceDN w:val="0"/>
              <w:adjustRightInd w:val="0"/>
              <w:spacing w:after="0" w:line="240" w:lineRule="auto"/>
              <w:rPr>
                <w:rFonts w:eastAsia="Arial Unicode MS"/>
                <w:sz w:val="20"/>
                <w:szCs w:val="20"/>
                <w:lang w:eastAsia="ru-RU"/>
              </w:rPr>
            </w:pPr>
            <w:r w:rsidRPr="001F18AC">
              <w:rPr>
                <w:rFonts w:eastAsia="Times New Roman"/>
                <w:bCs/>
                <w:sz w:val="20"/>
                <w:szCs w:val="20"/>
                <w:lang w:eastAsia="ru-RU"/>
              </w:rPr>
              <w:t>Численность населения (среднегодовая) - всего</w:t>
            </w:r>
            <w:r w:rsidRPr="001F18AC">
              <w:rPr>
                <w:rFonts w:eastAsia="Times New Roman"/>
                <w:b/>
                <w:bCs/>
                <w:sz w:val="20"/>
                <w:szCs w:val="20"/>
                <w:lang w:eastAsia="ru-RU"/>
              </w:rPr>
              <w:t> </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bCs/>
                <w:sz w:val="18"/>
                <w:szCs w:val="18"/>
                <w:lang w:eastAsia="ru-RU"/>
              </w:rPr>
            </w:pPr>
            <w:r w:rsidRPr="00552145">
              <w:rPr>
                <w:rFonts w:eastAsia="Times New Roman"/>
                <w:bCs/>
                <w:sz w:val="18"/>
                <w:szCs w:val="18"/>
                <w:lang w:eastAsia="ru-RU"/>
              </w:rPr>
              <w:t>тыс.</w:t>
            </w:r>
          </w:p>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bCs/>
                <w:sz w:val="18"/>
                <w:szCs w:val="18"/>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293,92</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290,16</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285,79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281,78</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281,93</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277,95</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278,09</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274,28</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274,43</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270,86</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271,00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267,87</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spacing w:after="0"/>
              <w:jc w:val="center"/>
              <w:rPr>
                <w:color w:val="000000"/>
                <w:sz w:val="22"/>
              </w:rPr>
            </w:pPr>
            <w:r w:rsidRPr="00174DE5">
              <w:rPr>
                <w:color w:val="000000"/>
                <w:sz w:val="22"/>
              </w:rPr>
              <w:t>268,00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B0CEE" w:rsidRPr="001F18AC" w:rsidRDefault="00FB0CEE" w:rsidP="00FB0CEE">
            <w:pPr>
              <w:overflowPunct w:val="0"/>
              <w:autoSpaceDE w:val="0"/>
              <w:autoSpaceDN w:val="0"/>
              <w:adjustRightInd w:val="0"/>
              <w:spacing w:after="0" w:line="240" w:lineRule="auto"/>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bCs/>
                <w:sz w:val="18"/>
                <w:szCs w:val="18"/>
                <w:lang w:eastAsia="ru-RU"/>
              </w:rPr>
              <w:t>в % к предыду-щему году</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99,05</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98,72</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98,49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98,60</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98,65</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98,64</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98,69</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98,68</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98,73</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98,75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98,80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98,90</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98,95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overflowPunct w:val="0"/>
              <w:autoSpaceDE w:val="0"/>
              <w:autoSpaceDN w:val="0"/>
              <w:adjustRightInd w:val="0"/>
              <w:spacing w:after="0" w:line="240" w:lineRule="auto"/>
              <w:rPr>
                <w:rFonts w:eastAsia="Times New Roman"/>
                <w:sz w:val="20"/>
                <w:szCs w:val="20"/>
                <w:lang w:eastAsia="ru-RU"/>
              </w:rPr>
            </w:pPr>
            <w:r w:rsidRPr="001F18AC">
              <w:rPr>
                <w:rFonts w:eastAsia="Times New Roman"/>
                <w:sz w:val="20"/>
                <w:szCs w:val="20"/>
                <w:lang w:eastAsia="ru-RU"/>
              </w:rPr>
              <w:t>Общий коэффициент рождаемости</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18"/>
                <w:szCs w:val="18"/>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9,87</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8,89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9,12</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9,27</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9,35</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9,41</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9,50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9,56</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9,65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9,70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9,79</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9,84</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9,93</w:t>
            </w:r>
          </w:p>
        </w:tc>
      </w:tr>
      <w:tr w:rsidR="00FB0CEE" w:rsidRPr="00552145" w:rsidTr="00FB0CEE">
        <w:trPr>
          <w:trHeight w:val="440"/>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keepNext/>
              <w:overflowPunct w:val="0"/>
              <w:autoSpaceDE w:val="0"/>
              <w:autoSpaceDN w:val="0"/>
              <w:adjustRightInd w:val="0"/>
              <w:spacing w:after="0" w:line="240" w:lineRule="auto"/>
              <w:outlineLvl w:val="4"/>
              <w:rPr>
                <w:rFonts w:eastAsia="Arial Unicode MS"/>
                <w:bCs/>
                <w:sz w:val="20"/>
                <w:szCs w:val="20"/>
                <w:lang w:eastAsia="ru-RU"/>
              </w:rPr>
            </w:pPr>
            <w:r w:rsidRPr="001F18AC">
              <w:rPr>
                <w:rFonts w:eastAsia="Times New Roman"/>
                <w:sz w:val="20"/>
                <w:szCs w:val="20"/>
                <w:lang w:eastAsia="ru-RU"/>
              </w:rPr>
              <w:t>Общий коэффициент смертности</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18"/>
                <w:szCs w:val="18"/>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11,67</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11,82</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12,60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12,78</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12,64</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12,96</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12,82</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13,12</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12,98</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13,27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13,13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13,28</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13,14</w:t>
            </w:r>
          </w:p>
        </w:tc>
      </w:tr>
      <w:tr w:rsidR="00FB0CEE" w:rsidRPr="00552145" w:rsidTr="00FB0CEE">
        <w:trPr>
          <w:trHeight w:val="648"/>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overflowPunct w:val="0"/>
              <w:autoSpaceDE w:val="0"/>
              <w:autoSpaceDN w:val="0"/>
              <w:adjustRightInd w:val="0"/>
              <w:spacing w:after="0" w:line="240" w:lineRule="auto"/>
              <w:rPr>
                <w:rFonts w:eastAsia="Arial Unicode MS"/>
                <w:sz w:val="20"/>
                <w:szCs w:val="20"/>
                <w:lang w:eastAsia="ru-RU"/>
              </w:rPr>
            </w:pPr>
            <w:r w:rsidRPr="001F18AC">
              <w:rPr>
                <w:rFonts w:eastAsia="Times New Roman"/>
                <w:sz w:val="20"/>
                <w:szCs w:val="20"/>
                <w:lang w:eastAsia="ru-RU"/>
              </w:rPr>
              <w:t>Коэффициент естественного прироста (убыли)</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18"/>
                <w:szCs w:val="18"/>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-2,93</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-3,48</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-3,51</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-3,29</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-3,54</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-3,32</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-3,56</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-3,33</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-3,57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-3,34</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-3,45</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-3,21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overflowPunct w:val="0"/>
              <w:autoSpaceDE w:val="0"/>
              <w:autoSpaceDN w:val="0"/>
              <w:adjustRightInd w:val="0"/>
              <w:spacing w:after="0" w:line="240" w:lineRule="auto"/>
              <w:rPr>
                <w:rFonts w:eastAsia="Times New Roman"/>
                <w:sz w:val="20"/>
                <w:szCs w:val="20"/>
                <w:lang w:eastAsia="ru-RU"/>
              </w:rPr>
            </w:pPr>
            <w:r w:rsidRPr="001F18AC">
              <w:rPr>
                <w:rFonts w:eastAsia="Times New Roman"/>
                <w:sz w:val="20"/>
                <w:szCs w:val="20"/>
                <w:lang w:eastAsia="ru-RU"/>
              </w:rPr>
              <w:t>Коэффициент миграционного прироста (убыли)</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18"/>
                <w:szCs w:val="18"/>
                <w:lang w:eastAsia="ru-RU"/>
              </w:rPr>
              <w:t>человек на 1000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-8,10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-12,99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-10,94</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-10,28</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-9,48</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-10,07</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-9,26</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-9,36</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-8,55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-8,64</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-7,83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-6,55</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r w:rsidRPr="00174DE5">
              <w:rPr>
                <w:color w:val="000000"/>
                <w:sz w:val="22"/>
              </w:rPr>
              <w:t>-5,75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overflowPunct w:val="0"/>
              <w:autoSpaceDE w:val="0"/>
              <w:autoSpaceDN w:val="0"/>
              <w:adjustRightInd w:val="0"/>
              <w:spacing w:after="0" w:line="240" w:lineRule="auto"/>
              <w:rPr>
                <w:rFonts w:eastAsia="Times New Roman"/>
                <w:sz w:val="20"/>
                <w:szCs w:val="20"/>
                <w:lang w:eastAsia="ru-RU"/>
              </w:rPr>
            </w:pPr>
            <w:r w:rsidRPr="001F18AC">
              <w:rPr>
                <w:rFonts w:eastAsia="Arial Unicode MS"/>
                <w:bCs/>
                <w:sz w:val="20"/>
                <w:szCs w:val="20"/>
                <w:lang w:eastAsia="ru-RU"/>
              </w:rPr>
              <w:lastRenderedPageBreak/>
              <w:t>2. Производство товаров и услуг</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174DE5"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E24C50" w:rsidRDefault="00FB0CEE" w:rsidP="00FB0CEE">
            <w:pPr>
              <w:overflowPunct w:val="0"/>
              <w:autoSpaceDE w:val="0"/>
              <w:autoSpaceDN w:val="0"/>
              <w:adjustRightInd w:val="0"/>
              <w:spacing w:after="0" w:line="240" w:lineRule="auto"/>
              <w:rPr>
                <w:rFonts w:eastAsia="Arial Unicode MS"/>
                <w:bCs/>
                <w:sz w:val="20"/>
                <w:szCs w:val="20"/>
                <w:lang w:eastAsia="ru-RU"/>
              </w:rPr>
            </w:pPr>
            <w:r w:rsidRPr="00E24C50">
              <w:rPr>
                <w:sz w:val="20"/>
                <w:szCs w:val="20"/>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77" w:type="dxa"/>
            <w:tcBorders>
              <w:top w:val="single" w:sz="4" w:space="0" w:color="auto"/>
              <w:left w:val="single" w:sz="4" w:space="0" w:color="auto"/>
              <w:bottom w:val="single" w:sz="4" w:space="0" w:color="auto"/>
              <w:right w:val="single" w:sz="4" w:space="0" w:color="auto"/>
            </w:tcBorders>
          </w:tcPr>
          <w:p w:rsidR="00FB0CEE" w:rsidRPr="00E24C50"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E24C50">
              <w:rPr>
                <w:sz w:val="20"/>
                <w:szCs w:val="20"/>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FB0CEE" w:rsidRPr="00174DE5" w:rsidRDefault="00FB0CEE" w:rsidP="00FB0CEE">
            <w:pPr>
              <w:jc w:val="center"/>
              <w:rPr>
                <w:color w:val="000000"/>
                <w:sz w:val="22"/>
              </w:rPr>
            </w:pPr>
            <w:r w:rsidRPr="00174DE5">
              <w:rPr>
                <w:color w:val="000000"/>
                <w:sz w:val="22"/>
              </w:rPr>
              <w:t>102 807,5</w:t>
            </w:r>
          </w:p>
        </w:tc>
        <w:tc>
          <w:tcPr>
            <w:tcW w:w="993" w:type="dxa"/>
            <w:tcBorders>
              <w:top w:val="single" w:sz="4" w:space="0" w:color="auto"/>
              <w:left w:val="nil"/>
              <w:bottom w:val="single" w:sz="4" w:space="0" w:color="auto"/>
              <w:right w:val="single" w:sz="4" w:space="0" w:color="auto"/>
            </w:tcBorders>
            <w:shd w:val="clear" w:color="000000" w:fill="FFFFFF" w:themeFill="background1"/>
            <w:vAlign w:val="center"/>
          </w:tcPr>
          <w:p w:rsidR="00FB0CEE" w:rsidRPr="00174DE5" w:rsidRDefault="00FB0CEE" w:rsidP="00FB0CEE">
            <w:pPr>
              <w:jc w:val="center"/>
              <w:rPr>
                <w:color w:val="000000"/>
                <w:sz w:val="22"/>
              </w:rPr>
            </w:pPr>
            <w:r w:rsidRPr="00174DE5">
              <w:rPr>
                <w:color w:val="000000"/>
                <w:sz w:val="22"/>
                <w:lang w:val="en-US"/>
              </w:rPr>
              <w:t>116 09</w:t>
            </w:r>
            <w:r w:rsidRPr="00174DE5">
              <w:rPr>
                <w:color w:val="000000"/>
                <w:sz w:val="22"/>
              </w:rPr>
              <w:t>5,3</w:t>
            </w:r>
          </w:p>
        </w:tc>
        <w:tc>
          <w:tcPr>
            <w:tcW w:w="992"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105 839,8</w:t>
            </w:r>
          </w:p>
        </w:tc>
        <w:tc>
          <w:tcPr>
            <w:tcW w:w="992"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108 740,6</w:t>
            </w:r>
          </w:p>
        </w:tc>
        <w:tc>
          <w:tcPr>
            <w:tcW w:w="851"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0"/>
                <w:szCs w:val="20"/>
              </w:rPr>
            </w:pPr>
            <w:r w:rsidRPr="00174DE5">
              <w:rPr>
                <w:color w:val="000000"/>
                <w:sz w:val="20"/>
                <w:szCs w:val="20"/>
              </w:rPr>
              <w:t>115 089,4</w:t>
            </w:r>
          </w:p>
        </w:tc>
        <w:tc>
          <w:tcPr>
            <w:tcW w:w="1007"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115 260,0</w:t>
            </w:r>
          </w:p>
        </w:tc>
        <w:tc>
          <w:tcPr>
            <w:tcW w:w="977"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127 097,7</w:t>
            </w:r>
          </w:p>
        </w:tc>
        <w:tc>
          <w:tcPr>
            <w:tcW w:w="1008"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121 439,0</w:t>
            </w:r>
          </w:p>
        </w:tc>
        <w:tc>
          <w:tcPr>
            <w:tcW w:w="1118"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139 097,2</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130 580,6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151 708,9</w:t>
            </w:r>
          </w:p>
        </w:tc>
        <w:tc>
          <w:tcPr>
            <w:tcW w:w="993" w:type="dxa"/>
            <w:tcBorders>
              <w:top w:val="single" w:sz="4" w:space="0" w:color="auto"/>
              <w:left w:val="nil"/>
              <w:bottom w:val="single" w:sz="4" w:space="0" w:color="auto"/>
              <w:right w:val="single" w:sz="4" w:space="0" w:color="auto"/>
            </w:tcBorders>
            <w:shd w:val="clear" w:color="auto" w:fill="auto"/>
            <w:vAlign w:val="center"/>
          </w:tcPr>
          <w:p w:rsidR="00FB0CEE" w:rsidRPr="00174DE5" w:rsidRDefault="00FB0CEE" w:rsidP="00FB0CEE">
            <w:pPr>
              <w:jc w:val="center"/>
              <w:rPr>
                <w:color w:val="000000"/>
                <w:sz w:val="22"/>
              </w:rPr>
            </w:pPr>
            <w:r w:rsidRPr="00174DE5">
              <w:rPr>
                <w:color w:val="000000"/>
                <w:sz w:val="22"/>
              </w:rPr>
              <w:t>140 123,4</w:t>
            </w:r>
          </w:p>
        </w:tc>
        <w:tc>
          <w:tcPr>
            <w:tcW w:w="850" w:type="dxa"/>
            <w:tcBorders>
              <w:top w:val="single" w:sz="4" w:space="0" w:color="auto"/>
              <w:left w:val="nil"/>
              <w:bottom w:val="single" w:sz="4" w:space="0" w:color="auto"/>
              <w:right w:val="single" w:sz="4" w:space="0" w:color="auto"/>
            </w:tcBorders>
            <w:shd w:val="clear" w:color="auto" w:fill="auto"/>
            <w:vAlign w:val="center"/>
          </w:tcPr>
          <w:p w:rsidR="00FB0CEE" w:rsidRPr="00EE5CB3" w:rsidRDefault="00FB0CEE" w:rsidP="00FB0CEE">
            <w:pPr>
              <w:jc w:val="center"/>
              <w:rPr>
                <w:color w:val="000000"/>
                <w:sz w:val="20"/>
                <w:szCs w:val="20"/>
              </w:rPr>
            </w:pPr>
            <w:r w:rsidRPr="00EE5CB3">
              <w:rPr>
                <w:color w:val="000000"/>
                <w:sz w:val="20"/>
                <w:szCs w:val="20"/>
              </w:rPr>
              <w:t>164 005,5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E24C50" w:rsidRDefault="00FB0CEE" w:rsidP="00FB0CEE">
            <w:pPr>
              <w:overflowPunct w:val="0"/>
              <w:autoSpaceDE w:val="0"/>
              <w:autoSpaceDN w:val="0"/>
              <w:adjustRightInd w:val="0"/>
              <w:spacing w:after="0" w:line="240" w:lineRule="auto"/>
              <w:rPr>
                <w:rFonts w:eastAsia="Arial Unicode MS"/>
                <w:bCs/>
                <w:sz w:val="20"/>
                <w:szCs w:val="20"/>
                <w:lang w:eastAsia="ru-RU"/>
              </w:rPr>
            </w:pPr>
            <w:r w:rsidRPr="00E24C50">
              <w:rPr>
                <w:sz w:val="20"/>
                <w:szCs w:val="20"/>
              </w:rPr>
              <w:t>Темп роста промышленного производства</w:t>
            </w:r>
          </w:p>
        </w:tc>
        <w:tc>
          <w:tcPr>
            <w:tcW w:w="977" w:type="dxa"/>
            <w:tcBorders>
              <w:top w:val="single" w:sz="4" w:space="0" w:color="auto"/>
              <w:left w:val="single" w:sz="4" w:space="0" w:color="auto"/>
              <w:bottom w:val="single" w:sz="4" w:space="0" w:color="auto"/>
              <w:right w:val="single" w:sz="4" w:space="0" w:color="auto"/>
            </w:tcBorders>
          </w:tcPr>
          <w:p w:rsidR="00FB0CEE" w:rsidRPr="00E24C50"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E24C50">
              <w:rPr>
                <w:sz w:val="20"/>
                <w:szCs w:val="20"/>
              </w:rPr>
              <w:t>в % к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115,4</w:t>
            </w:r>
          </w:p>
        </w:tc>
        <w:tc>
          <w:tcPr>
            <w:tcW w:w="993" w:type="dxa"/>
            <w:tcBorders>
              <w:top w:val="single" w:sz="4" w:space="0" w:color="auto"/>
              <w:left w:val="nil"/>
              <w:bottom w:val="single" w:sz="4" w:space="0" w:color="auto"/>
              <w:right w:val="single" w:sz="4" w:space="0" w:color="auto"/>
            </w:tcBorders>
            <w:shd w:val="clear" w:color="auto" w:fill="auto"/>
            <w:vAlign w:val="center"/>
          </w:tcPr>
          <w:p w:rsidR="00FB0CEE" w:rsidRPr="00C20991" w:rsidRDefault="00FB0CEE" w:rsidP="00FB0CEE">
            <w:pPr>
              <w:jc w:val="center"/>
              <w:rPr>
                <w:color w:val="000000"/>
                <w:sz w:val="22"/>
              </w:rPr>
            </w:pPr>
            <w:r w:rsidRPr="00045E98">
              <w:rPr>
                <w:color w:val="000000"/>
                <w:sz w:val="22"/>
              </w:rPr>
              <w:t>11</w:t>
            </w:r>
            <w:r w:rsidRPr="00045E98">
              <w:rPr>
                <w:color w:val="000000"/>
                <w:sz w:val="22"/>
                <w:lang w:val="en-US"/>
              </w:rPr>
              <w:t>2</w:t>
            </w:r>
            <w:r w:rsidRPr="00045E98">
              <w:rPr>
                <w:color w:val="000000"/>
                <w:sz w:val="2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91,2</w:t>
            </w:r>
          </w:p>
        </w:tc>
        <w:tc>
          <w:tcPr>
            <w:tcW w:w="992"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102,7</w:t>
            </w:r>
          </w:p>
        </w:tc>
        <w:tc>
          <w:tcPr>
            <w:tcW w:w="851"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108,7</w:t>
            </w:r>
          </w:p>
        </w:tc>
        <w:tc>
          <w:tcPr>
            <w:tcW w:w="1007"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106,0</w:t>
            </w:r>
          </w:p>
        </w:tc>
        <w:tc>
          <w:tcPr>
            <w:tcW w:w="977"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110,4</w:t>
            </w:r>
          </w:p>
        </w:tc>
        <w:tc>
          <w:tcPr>
            <w:tcW w:w="1008"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105,4</w:t>
            </w:r>
          </w:p>
        </w:tc>
        <w:tc>
          <w:tcPr>
            <w:tcW w:w="1118"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109,4</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107,5</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109,1</w:t>
            </w:r>
          </w:p>
        </w:tc>
        <w:tc>
          <w:tcPr>
            <w:tcW w:w="993"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107,3</w:t>
            </w:r>
          </w:p>
        </w:tc>
        <w:tc>
          <w:tcPr>
            <w:tcW w:w="850" w:type="dxa"/>
            <w:tcBorders>
              <w:top w:val="single" w:sz="4" w:space="0" w:color="auto"/>
              <w:left w:val="nil"/>
              <w:bottom w:val="single" w:sz="4" w:space="0" w:color="auto"/>
              <w:right w:val="single" w:sz="4" w:space="0" w:color="auto"/>
            </w:tcBorders>
            <w:shd w:val="clear" w:color="auto" w:fill="auto"/>
            <w:vAlign w:val="center"/>
          </w:tcPr>
          <w:p w:rsidR="00FB0CEE" w:rsidRPr="00F32A3D" w:rsidRDefault="00FB0CEE" w:rsidP="00FB0CEE">
            <w:pPr>
              <w:jc w:val="center"/>
              <w:rPr>
                <w:color w:val="000000"/>
                <w:sz w:val="22"/>
              </w:rPr>
            </w:pPr>
            <w:r>
              <w:rPr>
                <w:color w:val="000000"/>
                <w:sz w:val="22"/>
              </w:rPr>
              <w:t>108,1</w:t>
            </w:r>
          </w:p>
        </w:tc>
      </w:tr>
      <w:tr w:rsidR="00FB0CEE" w:rsidRPr="00552145" w:rsidTr="00FB0CEE">
        <w:trPr>
          <w:trHeight w:val="249"/>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E24C50" w:rsidRDefault="00FB0CEE" w:rsidP="00FB0CEE">
            <w:pPr>
              <w:overflowPunct w:val="0"/>
              <w:autoSpaceDE w:val="0"/>
              <w:autoSpaceDN w:val="0"/>
              <w:adjustRightInd w:val="0"/>
              <w:spacing w:after="0" w:line="240" w:lineRule="auto"/>
              <w:rPr>
                <w:rFonts w:eastAsia="Arial Unicode MS"/>
                <w:bCs/>
                <w:sz w:val="20"/>
                <w:szCs w:val="20"/>
                <w:lang w:eastAsia="ru-RU"/>
              </w:rPr>
            </w:pPr>
            <w:r w:rsidRPr="00E24C50">
              <w:rPr>
                <w:sz w:val="20"/>
                <w:szCs w:val="20"/>
              </w:rPr>
              <w:t>в том числе:</w:t>
            </w:r>
          </w:p>
        </w:tc>
        <w:tc>
          <w:tcPr>
            <w:tcW w:w="977" w:type="dxa"/>
            <w:tcBorders>
              <w:top w:val="single" w:sz="4" w:space="0" w:color="auto"/>
              <w:left w:val="single" w:sz="4" w:space="0" w:color="auto"/>
              <w:bottom w:val="single" w:sz="4" w:space="0" w:color="auto"/>
              <w:right w:val="single" w:sz="4" w:space="0" w:color="auto"/>
            </w:tcBorders>
          </w:tcPr>
          <w:p w:rsidR="00FB0CEE" w:rsidRPr="00E24C50" w:rsidRDefault="00FB0CEE" w:rsidP="00FB0CEE">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E24C50" w:rsidRDefault="00FB0CEE" w:rsidP="00FB0CEE">
            <w:pPr>
              <w:overflowPunct w:val="0"/>
              <w:autoSpaceDE w:val="0"/>
              <w:autoSpaceDN w:val="0"/>
              <w:adjustRightInd w:val="0"/>
              <w:spacing w:after="0" w:line="240" w:lineRule="auto"/>
              <w:rPr>
                <w:rFonts w:eastAsia="Arial Unicode MS"/>
                <w:bCs/>
                <w:sz w:val="20"/>
                <w:szCs w:val="20"/>
                <w:lang w:eastAsia="ru-RU"/>
              </w:rPr>
            </w:pPr>
            <w:r w:rsidRPr="00E24C50">
              <w:rPr>
                <w:sz w:val="20"/>
                <w:szCs w:val="20"/>
              </w:rPr>
              <w:t>Раздел C: Обрабатывающие производства</w:t>
            </w:r>
          </w:p>
        </w:tc>
        <w:tc>
          <w:tcPr>
            <w:tcW w:w="977" w:type="dxa"/>
            <w:tcBorders>
              <w:top w:val="single" w:sz="4" w:space="0" w:color="auto"/>
              <w:left w:val="single" w:sz="4" w:space="0" w:color="auto"/>
              <w:bottom w:val="single" w:sz="4" w:space="0" w:color="auto"/>
              <w:right w:val="single" w:sz="4" w:space="0" w:color="auto"/>
            </w:tcBorders>
          </w:tcPr>
          <w:p w:rsidR="00FB0CEE" w:rsidRPr="00E24C50"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E24C50">
              <w:rPr>
                <w:sz w:val="20"/>
                <w:szCs w:val="20"/>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83 083,2</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94 399,0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90 228,0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92 577,4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98 723,8</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98 375,5</w:t>
            </w:r>
          </w:p>
        </w:tc>
        <w:tc>
          <w:tcPr>
            <w:tcW w:w="977"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109 872,6</w:t>
            </w:r>
          </w:p>
        </w:tc>
        <w:tc>
          <w:tcPr>
            <w:tcW w:w="1008"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103 798,2</w:t>
            </w:r>
          </w:p>
        </w:tc>
        <w:tc>
          <w:tcPr>
            <w:tcW w:w="1118"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120 961,6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112 039,0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132 551,3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120 689,6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EE5CB3" w:rsidRDefault="00FB0CEE" w:rsidP="00FB0CEE">
            <w:pPr>
              <w:jc w:val="center"/>
              <w:rPr>
                <w:color w:val="000000"/>
                <w:sz w:val="20"/>
                <w:szCs w:val="20"/>
              </w:rPr>
            </w:pPr>
            <w:r w:rsidRPr="00EE5CB3">
              <w:rPr>
                <w:color w:val="000000"/>
                <w:sz w:val="20"/>
                <w:szCs w:val="20"/>
              </w:rPr>
              <w:t>143 808,1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E24C50" w:rsidRDefault="00FB0CEE" w:rsidP="00FB0CEE">
            <w:pPr>
              <w:overflowPunct w:val="0"/>
              <w:autoSpaceDE w:val="0"/>
              <w:autoSpaceDN w:val="0"/>
              <w:adjustRightInd w:val="0"/>
              <w:spacing w:after="0" w:line="240" w:lineRule="auto"/>
              <w:rPr>
                <w:rFonts w:eastAsia="Arial Unicode MS"/>
                <w:bCs/>
                <w:sz w:val="20"/>
                <w:szCs w:val="20"/>
                <w:lang w:eastAsia="ru-RU"/>
              </w:rPr>
            </w:pPr>
            <w:r w:rsidRPr="00E24C50">
              <w:rPr>
                <w:sz w:val="20"/>
                <w:szCs w:val="20"/>
              </w:rPr>
              <w:t>Темп роста – Раздел C: Обрабатывающие производства</w:t>
            </w:r>
          </w:p>
        </w:tc>
        <w:tc>
          <w:tcPr>
            <w:tcW w:w="977" w:type="dxa"/>
            <w:tcBorders>
              <w:top w:val="single" w:sz="4" w:space="0" w:color="auto"/>
              <w:left w:val="single" w:sz="4" w:space="0" w:color="auto"/>
              <w:bottom w:val="single" w:sz="4" w:space="0" w:color="auto"/>
              <w:right w:val="single" w:sz="4" w:space="0" w:color="auto"/>
            </w:tcBorders>
          </w:tcPr>
          <w:p w:rsidR="00FB0CEE" w:rsidRPr="00E24C50"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E24C50">
              <w:rPr>
                <w:sz w:val="20"/>
                <w:szCs w:val="20"/>
              </w:rPr>
              <w:t>в % к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117,3</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113,6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95,6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102,6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109,4</w:t>
            </w:r>
          </w:p>
        </w:tc>
        <w:tc>
          <w:tcPr>
            <w:tcW w:w="1007"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106,3</w:t>
            </w:r>
          </w:p>
        </w:tc>
        <w:tc>
          <w:tcPr>
            <w:tcW w:w="977"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111,3</w:t>
            </w:r>
          </w:p>
        </w:tc>
        <w:tc>
          <w:tcPr>
            <w:tcW w:w="1008"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105,5</w:t>
            </w:r>
          </w:p>
        </w:tc>
        <w:tc>
          <w:tcPr>
            <w:tcW w:w="1118"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110,1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107,9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109,6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107,7</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FB0CEE" w:rsidRPr="00F32A3D" w:rsidRDefault="00FB0CEE" w:rsidP="00FB0CEE">
            <w:pPr>
              <w:jc w:val="center"/>
              <w:rPr>
                <w:color w:val="000000"/>
                <w:sz w:val="22"/>
              </w:rPr>
            </w:pPr>
            <w:r>
              <w:rPr>
                <w:color w:val="000000"/>
                <w:sz w:val="22"/>
              </w:rPr>
              <w:t>108,5</w:t>
            </w:r>
          </w:p>
        </w:tc>
      </w:tr>
      <w:tr w:rsidR="00FB0CEE" w:rsidRPr="00320F06"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overflowPunct w:val="0"/>
              <w:autoSpaceDE w:val="0"/>
              <w:autoSpaceDN w:val="0"/>
              <w:adjustRightInd w:val="0"/>
              <w:spacing w:after="0" w:line="240" w:lineRule="auto"/>
              <w:rPr>
                <w:rFonts w:eastAsia="Times New Roman"/>
                <w:sz w:val="20"/>
                <w:szCs w:val="20"/>
                <w:vertAlign w:val="superscript"/>
                <w:lang w:eastAsia="ru-RU"/>
              </w:rPr>
            </w:pPr>
            <w:r w:rsidRPr="001F18AC">
              <w:rPr>
                <w:rFonts w:eastAsia="Arial Unicode MS"/>
                <w:sz w:val="20"/>
                <w:szCs w:val="20"/>
                <w:lang w:eastAsia="ru-RU"/>
              </w:rPr>
              <w:t xml:space="preserve">Раздел </w:t>
            </w:r>
            <w:r w:rsidRPr="001F18AC">
              <w:rPr>
                <w:rFonts w:eastAsia="Arial Unicode MS"/>
                <w:sz w:val="20"/>
                <w:szCs w:val="20"/>
                <w:lang w:val="en-US" w:eastAsia="ru-RU"/>
              </w:rPr>
              <w:t>D</w:t>
            </w:r>
            <w:r w:rsidRPr="001F18AC">
              <w:rPr>
                <w:rFonts w:eastAsia="Arial Unicode MS"/>
                <w:sz w:val="20"/>
                <w:szCs w:val="20"/>
                <w:lang w:eastAsia="ru-RU"/>
              </w:rPr>
              <w:t>: Обеспечение электрической энергией, газом и паром; кондиционирование воздуха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11</w:t>
            </w:r>
            <w:r>
              <w:rPr>
                <w:color w:val="000000"/>
                <w:sz w:val="22"/>
              </w:rPr>
              <w:t xml:space="preserve"> </w:t>
            </w:r>
            <w:r w:rsidRPr="00F32A3D">
              <w:rPr>
                <w:color w:val="000000"/>
                <w:sz w:val="22"/>
              </w:rPr>
              <w:t>137,5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11 272,5</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11 037,0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11 409,6</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11 580,2</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11 937,2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12 223,5</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12 489,2</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12 902,4</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13 170,6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13 659,4</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13 834,4</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Pr>
                <w:color w:val="000000"/>
                <w:sz w:val="22"/>
              </w:rPr>
              <w:t>14 418,2</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lastRenderedPageBreak/>
              <w:t xml:space="preserve">Темп роста производства - </w:t>
            </w:r>
            <w:r w:rsidRPr="00552145">
              <w:rPr>
                <w:rFonts w:eastAsia="Arial Unicode MS"/>
                <w:sz w:val="20"/>
                <w:szCs w:val="20"/>
                <w:lang w:eastAsia="ru-RU"/>
              </w:rPr>
              <w:t xml:space="preserve">Раздел </w:t>
            </w:r>
            <w:r w:rsidRPr="00552145">
              <w:rPr>
                <w:rFonts w:eastAsia="Arial Unicode MS"/>
                <w:sz w:val="20"/>
                <w:szCs w:val="20"/>
                <w:lang w:val="en-US" w:eastAsia="ru-RU"/>
              </w:rPr>
              <w:t>D</w:t>
            </w:r>
            <w:r w:rsidRPr="00552145">
              <w:rPr>
                <w:rFonts w:eastAsia="Arial Unicode MS"/>
                <w:sz w:val="20"/>
                <w:szCs w:val="20"/>
                <w:lang w:eastAsia="ru-RU"/>
              </w:rPr>
              <w:t>: Обеспечение электрической энергией, газом и паром; кондиционирование воздуха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в % к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96,</w:t>
            </w:r>
            <w:r>
              <w:rPr>
                <w:color w:val="000000"/>
                <w:sz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w:t>
            </w:r>
            <w:r>
              <w:rPr>
                <w:color w:val="000000"/>
                <w:sz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97,9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103,4</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104,9</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104,6</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104,6</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105,0</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105,6</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Arial Unicode MS"/>
                <w:sz w:val="20"/>
                <w:szCs w:val="20"/>
                <w:lang w:eastAsia="ru-RU"/>
              </w:rPr>
              <w:t xml:space="preserve">Раздел </w:t>
            </w:r>
            <w:r w:rsidRPr="00552145">
              <w:rPr>
                <w:rFonts w:eastAsia="Arial Unicode MS"/>
                <w:sz w:val="20"/>
                <w:szCs w:val="20"/>
                <w:lang w:val="en-US" w:eastAsia="ru-RU"/>
              </w:rPr>
              <w:t>E</w:t>
            </w:r>
            <w:r w:rsidRPr="00552145">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3 983,9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4 366,4</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4 194,9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4 362,7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4 388,2</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4 537,2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4 581,7</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4 718,7</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4 783,7</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4 917,3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5 024,3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5 124,2</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5 282,1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 xml:space="preserve">Темп роста производства – </w:t>
            </w:r>
            <w:r w:rsidRPr="00552145">
              <w:rPr>
                <w:rFonts w:eastAsia="Arial Unicode MS"/>
                <w:sz w:val="20"/>
                <w:szCs w:val="20"/>
                <w:lang w:eastAsia="ru-RU"/>
              </w:rPr>
              <w:t xml:space="preserve">Раздел </w:t>
            </w:r>
            <w:r w:rsidRPr="00552145">
              <w:rPr>
                <w:rFonts w:eastAsia="Arial Unicode MS"/>
                <w:sz w:val="20"/>
                <w:szCs w:val="20"/>
                <w:lang w:val="en-US" w:eastAsia="ru-RU"/>
              </w:rPr>
              <w:t>E</w:t>
            </w:r>
            <w:r w:rsidRPr="00552145">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в % к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105,2</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109,6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96,1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104,0</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104,0</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104,4</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104,0</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104,4</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105,0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104,2</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105,1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3. Рынок товаров и услуг</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overflowPunct w:val="0"/>
              <w:autoSpaceDE w:val="0"/>
              <w:autoSpaceDN w:val="0"/>
              <w:adjustRightInd w:val="0"/>
              <w:spacing w:after="0" w:line="240" w:lineRule="auto"/>
              <w:jc w:val="center"/>
              <w:rPr>
                <w:rFonts w:eastAsia="Times New Roman"/>
                <w:sz w:val="22"/>
                <w:lang w:eastAsia="ru-RU"/>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 xml:space="preserve">Оборот розничной торговли </w:t>
            </w:r>
            <w:r>
              <w:rPr>
                <w:rStyle w:val="af6"/>
                <w:rFonts w:eastAsia="Times New Roman"/>
                <w:sz w:val="20"/>
                <w:szCs w:val="20"/>
                <w:lang w:eastAsia="ru-RU"/>
              </w:rPr>
              <w:footnoteReference w:id="4"/>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 xml:space="preserve">млн. рублей в ценах соответст-вующих </w:t>
            </w:r>
            <w:r w:rsidRPr="00552145">
              <w:rPr>
                <w:rFonts w:eastAsia="Times New Roman"/>
                <w:sz w:val="20"/>
                <w:szCs w:val="20"/>
                <w:lang w:eastAsia="ru-RU"/>
              </w:rPr>
              <w:lastRenderedPageBreak/>
              <w:t>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lastRenderedPageBreak/>
              <w:t>40 241,5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41 547,6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41 870,0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44 109,7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44 893,2</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46 323,3</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47 615,7</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48 696,5</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50 553,1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51 089,3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53 618,8</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53 760,1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56 926,6</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 xml:space="preserve">Индекс физического объема оборота розничной торговли </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в % к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109,5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97,9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96,9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101,2</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102,8</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100,4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101,4</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100,5</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101,4</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100,6</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045E98" w:rsidRDefault="00FB0CEE" w:rsidP="00FB0CEE">
            <w:pPr>
              <w:overflowPunct w:val="0"/>
              <w:autoSpaceDE w:val="0"/>
              <w:autoSpaceDN w:val="0"/>
              <w:adjustRightInd w:val="0"/>
              <w:spacing w:after="0" w:line="240" w:lineRule="auto"/>
              <w:rPr>
                <w:rFonts w:eastAsia="Times New Roman"/>
                <w:sz w:val="20"/>
                <w:szCs w:val="20"/>
                <w:lang w:eastAsia="ru-RU"/>
              </w:rPr>
            </w:pPr>
            <w:r w:rsidRPr="00045E98">
              <w:rPr>
                <w:rFonts w:eastAsia="Times New Roman"/>
                <w:sz w:val="20"/>
                <w:szCs w:val="20"/>
                <w:lang w:eastAsia="ru-RU"/>
              </w:rPr>
              <w:t>Объем платных услуг населению</w:t>
            </w:r>
            <w:r w:rsidRPr="00045E98">
              <w:rPr>
                <w:rFonts w:eastAsia="Times New Roman"/>
                <w:sz w:val="20"/>
                <w:szCs w:val="20"/>
                <w:vertAlign w:val="superscript"/>
                <w:lang w:eastAsia="ru-RU"/>
              </w:rPr>
              <w:t>4</w:t>
            </w:r>
            <w:r w:rsidRPr="00045E98">
              <w:rPr>
                <w:rFonts w:eastAsia="Times New Roman"/>
                <w:sz w:val="20"/>
                <w:szCs w:val="20"/>
                <w:lang w:eastAsia="ru-RU"/>
              </w:rPr>
              <w:t xml:space="preserve"> </w:t>
            </w:r>
          </w:p>
        </w:tc>
        <w:tc>
          <w:tcPr>
            <w:tcW w:w="977" w:type="dxa"/>
            <w:tcBorders>
              <w:top w:val="single" w:sz="4" w:space="0" w:color="auto"/>
              <w:left w:val="single" w:sz="4" w:space="0" w:color="auto"/>
              <w:bottom w:val="single" w:sz="4" w:space="0" w:color="auto"/>
              <w:right w:val="single" w:sz="4" w:space="0" w:color="auto"/>
            </w:tcBorders>
            <w:hideMark/>
          </w:tcPr>
          <w:p w:rsidR="00FB0CEE" w:rsidRPr="00045E98"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045E98">
              <w:rPr>
                <w:rFonts w:eastAsia="Times New Roman"/>
                <w:bCs/>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23</w:t>
            </w:r>
            <w:r>
              <w:rPr>
                <w:color w:val="000000"/>
                <w:sz w:val="22"/>
              </w:rPr>
              <w:t xml:space="preserve"> </w:t>
            </w:r>
            <w:r w:rsidRPr="00045E98">
              <w:rPr>
                <w:color w:val="000000"/>
                <w:sz w:val="22"/>
              </w:rPr>
              <w:t>647,5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22</w:t>
            </w:r>
            <w:r>
              <w:rPr>
                <w:color w:val="000000"/>
                <w:sz w:val="22"/>
              </w:rPr>
              <w:t xml:space="preserve"> </w:t>
            </w:r>
            <w:r w:rsidRPr="00045E98">
              <w:rPr>
                <w:color w:val="000000"/>
                <w:sz w:val="22"/>
              </w:rPr>
              <w:t>476,7</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22</w:t>
            </w:r>
            <w:r>
              <w:rPr>
                <w:color w:val="000000"/>
                <w:sz w:val="22"/>
              </w:rPr>
              <w:t xml:space="preserve"> </w:t>
            </w:r>
            <w:r w:rsidRPr="00045E98">
              <w:rPr>
                <w:color w:val="000000"/>
                <w:sz w:val="22"/>
              </w:rPr>
              <w:t>372,8</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23</w:t>
            </w:r>
            <w:r>
              <w:rPr>
                <w:color w:val="000000"/>
                <w:sz w:val="22"/>
              </w:rPr>
              <w:t xml:space="preserve"> </w:t>
            </w:r>
            <w:r w:rsidRPr="00045E98">
              <w:rPr>
                <w:color w:val="000000"/>
                <w:sz w:val="22"/>
              </w:rPr>
              <w:t>389,3</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23</w:t>
            </w:r>
            <w:r>
              <w:rPr>
                <w:color w:val="000000"/>
                <w:sz w:val="22"/>
              </w:rPr>
              <w:t xml:space="preserve"> </w:t>
            </w:r>
            <w:r w:rsidRPr="00045E98">
              <w:rPr>
                <w:color w:val="000000"/>
                <w:sz w:val="22"/>
              </w:rPr>
              <w:t>827,6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24</w:t>
            </w:r>
            <w:r>
              <w:rPr>
                <w:color w:val="000000"/>
                <w:sz w:val="22"/>
              </w:rPr>
              <w:t xml:space="preserve"> </w:t>
            </w:r>
            <w:r w:rsidRPr="00045E98">
              <w:rPr>
                <w:color w:val="000000"/>
                <w:sz w:val="22"/>
              </w:rPr>
              <w:t>066,9</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25</w:t>
            </w:r>
            <w:r>
              <w:rPr>
                <w:color w:val="000000"/>
                <w:sz w:val="22"/>
              </w:rPr>
              <w:t xml:space="preserve"> </w:t>
            </w:r>
            <w:r w:rsidRPr="00045E98">
              <w:rPr>
                <w:color w:val="000000"/>
                <w:sz w:val="22"/>
              </w:rPr>
              <w:t>180,5</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24</w:t>
            </w:r>
            <w:r>
              <w:rPr>
                <w:color w:val="000000"/>
                <w:sz w:val="22"/>
              </w:rPr>
              <w:t xml:space="preserve"> </w:t>
            </w:r>
            <w:r w:rsidRPr="00045E98">
              <w:rPr>
                <w:color w:val="000000"/>
                <w:sz w:val="22"/>
              </w:rPr>
              <w:t>788,9</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26</w:t>
            </w:r>
            <w:r>
              <w:rPr>
                <w:color w:val="000000"/>
                <w:sz w:val="22"/>
              </w:rPr>
              <w:t xml:space="preserve"> </w:t>
            </w:r>
            <w:r w:rsidRPr="00045E98">
              <w:rPr>
                <w:color w:val="000000"/>
                <w:sz w:val="22"/>
              </w:rPr>
              <w:t>610,3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25</w:t>
            </w:r>
            <w:r>
              <w:rPr>
                <w:color w:val="000000"/>
                <w:sz w:val="22"/>
              </w:rPr>
              <w:t xml:space="preserve"> </w:t>
            </w:r>
            <w:r w:rsidRPr="00045E98">
              <w:rPr>
                <w:color w:val="000000"/>
                <w:sz w:val="22"/>
              </w:rPr>
              <w:t>839,0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27</w:t>
            </w:r>
            <w:r>
              <w:rPr>
                <w:color w:val="000000"/>
                <w:sz w:val="22"/>
              </w:rPr>
              <w:t xml:space="preserve"> </w:t>
            </w:r>
            <w:r w:rsidRPr="00045E98">
              <w:rPr>
                <w:color w:val="000000"/>
                <w:sz w:val="22"/>
              </w:rPr>
              <w:t>956,8</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26</w:t>
            </w:r>
            <w:r>
              <w:rPr>
                <w:color w:val="000000"/>
                <w:sz w:val="22"/>
              </w:rPr>
              <w:t xml:space="preserve"> </w:t>
            </w:r>
            <w:r w:rsidRPr="00045E98">
              <w:rPr>
                <w:color w:val="000000"/>
                <w:sz w:val="22"/>
              </w:rPr>
              <w:t>960,1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29</w:t>
            </w:r>
            <w:r>
              <w:rPr>
                <w:color w:val="000000"/>
                <w:sz w:val="22"/>
              </w:rPr>
              <w:t xml:space="preserve"> </w:t>
            </w:r>
            <w:r w:rsidRPr="00045E98">
              <w:rPr>
                <w:color w:val="000000"/>
                <w:sz w:val="22"/>
              </w:rPr>
              <w:t>400,2</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045E98" w:rsidRDefault="00FB0CEE" w:rsidP="00FB0CEE">
            <w:pPr>
              <w:overflowPunct w:val="0"/>
              <w:autoSpaceDE w:val="0"/>
              <w:autoSpaceDN w:val="0"/>
              <w:adjustRightInd w:val="0"/>
              <w:spacing w:after="0" w:line="240" w:lineRule="auto"/>
              <w:rPr>
                <w:rFonts w:eastAsia="Times New Roman"/>
                <w:sz w:val="20"/>
                <w:szCs w:val="20"/>
                <w:lang w:eastAsia="ru-RU"/>
              </w:rPr>
            </w:pPr>
            <w:r w:rsidRPr="00045E98">
              <w:rPr>
                <w:rFonts w:eastAsia="Times New Roman"/>
                <w:sz w:val="20"/>
                <w:szCs w:val="20"/>
                <w:lang w:eastAsia="ru-RU"/>
              </w:rPr>
              <w:t xml:space="preserve">Индекс физического объема платных услуг населению </w:t>
            </w:r>
          </w:p>
        </w:tc>
        <w:tc>
          <w:tcPr>
            <w:tcW w:w="977" w:type="dxa"/>
            <w:tcBorders>
              <w:top w:val="single" w:sz="4" w:space="0" w:color="auto"/>
              <w:left w:val="single" w:sz="4" w:space="0" w:color="auto"/>
              <w:bottom w:val="single" w:sz="4" w:space="0" w:color="auto"/>
              <w:right w:val="single" w:sz="4" w:space="0" w:color="auto"/>
            </w:tcBorders>
            <w:hideMark/>
          </w:tcPr>
          <w:p w:rsidR="00FB0CEE" w:rsidRPr="00045E98"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045E98">
              <w:rPr>
                <w:rFonts w:eastAsia="Times New Roman"/>
                <w:sz w:val="20"/>
                <w:szCs w:val="20"/>
                <w:lang w:eastAsia="ru-RU"/>
              </w:rPr>
              <w:t>в % к предыду-щему году</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109,8</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90,9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97,3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101,4</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103,2</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99,9</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102,6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100,0</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102,6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102,0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101,3</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045E98" w:rsidRDefault="00FB0CEE" w:rsidP="00FB0CEE">
            <w:pPr>
              <w:jc w:val="center"/>
              <w:rPr>
                <w:color w:val="000000"/>
                <w:sz w:val="22"/>
              </w:rPr>
            </w:pPr>
            <w:r w:rsidRPr="00045E98">
              <w:rPr>
                <w:color w:val="000000"/>
                <w:sz w:val="22"/>
              </w:rPr>
              <w:t>102,1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Обеспеченность населения торговыми площадями</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кв.м на тыс.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006,0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073,9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080,0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126,7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137,7</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141,2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152,3</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155,9</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167,1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170,6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179,6</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183,1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191,9</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b/>
                <w:bCs/>
                <w:sz w:val="20"/>
                <w:szCs w:val="20"/>
                <w:lang w:eastAsia="ru-RU"/>
              </w:rPr>
            </w:pPr>
            <w:r w:rsidRPr="00552145">
              <w:rPr>
                <w:rFonts w:eastAsia="Times New Roman"/>
                <w:bCs/>
                <w:sz w:val="20"/>
                <w:szCs w:val="20"/>
                <w:lang w:eastAsia="ru-RU"/>
              </w:rPr>
              <w:t>4. Малое и среднее предпринимательство</w:t>
            </w:r>
            <w:r w:rsidRPr="003242D4">
              <w:rPr>
                <w:rFonts w:eastAsia="Times New Roman"/>
                <w:bCs/>
                <w:sz w:val="20"/>
                <w:szCs w:val="20"/>
                <w:vertAlign w:val="superscript"/>
                <w:lang w:eastAsia="ru-RU"/>
              </w:rPr>
              <w:footnoteReference w:id="5"/>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Количество малых предприятий – всего по состоянию на конец года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583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032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821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835</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869</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862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896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ind w:firstLineChars="100" w:firstLine="220"/>
              <w:jc w:val="center"/>
              <w:rPr>
                <w:color w:val="000000"/>
                <w:sz w:val="22"/>
              </w:rPr>
            </w:pPr>
            <w:r w:rsidRPr="00F32A3D">
              <w:rPr>
                <w:color w:val="000000"/>
                <w:sz w:val="22"/>
              </w:rPr>
              <w:t>6</w:t>
            </w:r>
            <w:r>
              <w:rPr>
                <w:color w:val="000000"/>
                <w:sz w:val="22"/>
              </w:rPr>
              <w:t xml:space="preserve"> </w:t>
            </w:r>
            <w:r w:rsidRPr="00F32A3D">
              <w:rPr>
                <w:color w:val="000000"/>
                <w:sz w:val="22"/>
              </w:rPr>
              <w:t>903</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986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993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091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098</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197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w:t>
            </w:r>
            <w:r>
              <w:rPr>
                <w:color w:val="000000"/>
                <w:sz w:val="22"/>
              </w:rPr>
              <w:t> </w:t>
            </w:r>
            <w:r w:rsidRPr="00F32A3D">
              <w:rPr>
                <w:color w:val="000000"/>
                <w:sz w:val="22"/>
              </w:rPr>
              <w:t>780</w:t>
            </w:r>
            <w:r>
              <w:rPr>
                <w:rStyle w:val="af6"/>
                <w:color w:val="000000"/>
                <w:sz w:val="22"/>
              </w:rPr>
              <w:footnoteReference w:id="6"/>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w:t>
            </w:r>
            <w:r w:rsidRPr="00F32A3D">
              <w:rPr>
                <w:color w:val="000000"/>
                <w:sz w:val="22"/>
              </w:rPr>
              <w:t>893</w:t>
            </w:r>
            <w:r w:rsidRPr="00DC6BE8">
              <w:rPr>
                <w:color w:val="000000"/>
                <w:sz w:val="22"/>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w:t>
            </w:r>
            <w:r>
              <w:rPr>
                <w:color w:val="000000"/>
                <w:sz w:val="22"/>
              </w:rPr>
              <w:t xml:space="preserve"> </w:t>
            </w:r>
            <w:r w:rsidRPr="00F32A3D">
              <w:rPr>
                <w:color w:val="000000"/>
                <w:sz w:val="22"/>
              </w:rPr>
              <w:t>658</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w:t>
            </w:r>
            <w:r>
              <w:rPr>
                <w:color w:val="000000"/>
                <w:sz w:val="22"/>
              </w:rPr>
              <w:t xml:space="preserve"> </w:t>
            </w:r>
            <w:r w:rsidRPr="00F32A3D">
              <w:rPr>
                <w:color w:val="000000"/>
                <w:sz w:val="22"/>
              </w:rPr>
              <w:t>667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376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583</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592</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266</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663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891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296</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33</w:t>
            </w:r>
            <w:r>
              <w:rPr>
                <w:color w:val="000000"/>
                <w:sz w:val="22"/>
              </w:rPr>
              <w:t xml:space="preserve"> </w:t>
            </w:r>
            <w:r w:rsidRPr="00F32A3D">
              <w:rPr>
                <w:color w:val="000000"/>
                <w:sz w:val="22"/>
              </w:rPr>
              <w:t>167</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33</w:t>
            </w:r>
            <w:r>
              <w:rPr>
                <w:color w:val="000000"/>
                <w:sz w:val="22"/>
              </w:rPr>
              <w:t xml:space="preserve"> </w:t>
            </w:r>
            <w:r w:rsidRPr="00F32A3D">
              <w:rPr>
                <w:color w:val="000000"/>
                <w:sz w:val="22"/>
              </w:rPr>
              <w:t>588</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lastRenderedPageBreak/>
              <w:t>Численность индивидуальных предпринимателей - по состоянию на конец года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w:t>
            </w:r>
            <w:r>
              <w:rPr>
                <w:color w:val="000000"/>
                <w:sz w:val="22"/>
              </w:rPr>
              <w:t xml:space="preserve"> </w:t>
            </w:r>
            <w:r w:rsidRPr="00F32A3D">
              <w:rPr>
                <w:color w:val="000000"/>
                <w:sz w:val="22"/>
              </w:rPr>
              <w:t>496</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958</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819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955</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094</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234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378</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668</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w:t>
            </w:r>
            <w:r>
              <w:rPr>
                <w:color w:val="000000"/>
                <w:sz w:val="22"/>
              </w:rPr>
              <w:t xml:space="preserve"> </w:t>
            </w:r>
            <w:r w:rsidRPr="00F32A3D">
              <w:rPr>
                <w:color w:val="000000"/>
                <w:sz w:val="22"/>
              </w:rPr>
              <w:t>821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w:t>
            </w:r>
            <w:r>
              <w:rPr>
                <w:color w:val="000000"/>
                <w:sz w:val="22"/>
              </w:rPr>
              <w:t xml:space="preserve"> </w:t>
            </w:r>
            <w:r w:rsidRPr="00F32A3D">
              <w:rPr>
                <w:color w:val="000000"/>
                <w:sz w:val="22"/>
              </w:rPr>
              <w:t>281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w:t>
            </w:r>
            <w:r>
              <w:rPr>
                <w:color w:val="000000"/>
                <w:sz w:val="22"/>
              </w:rPr>
              <w:t xml:space="preserve"> </w:t>
            </w:r>
            <w:r w:rsidRPr="00F32A3D">
              <w:rPr>
                <w:color w:val="000000"/>
                <w:sz w:val="22"/>
              </w:rPr>
              <w:t>447</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w:t>
            </w:r>
            <w:r>
              <w:rPr>
                <w:color w:val="000000"/>
                <w:sz w:val="22"/>
              </w:rPr>
              <w:t xml:space="preserve"> </w:t>
            </w:r>
            <w:r w:rsidRPr="00F32A3D">
              <w:rPr>
                <w:color w:val="000000"/>
                <w:sz w:val="22"/>
              </w:rPr>
              <w:t>778</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w:t>
            </w:r>
            <w:r>
              <w:rPr>
                <w:color w:val="000000"/>
                <w:sz w:val="22"/>
              </w:rPr>
              <w:t xml:space="preserve"> </w:t>
            </w:r>
            <w:r w:rsidRPr="00F32A3D">
              <w:rPr>
                <w:color w:val="000000"/>
                <w:sz w:val="22"/>
              </w:rPr>
              <w:t>953</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Среднесписочная численность работников индивидуальных предпринимателей</w:t>
            </w:r>
            <w:r w:rsidRPr="00552145">
              <w:rPr>
                <w:rStyle w:val="af6"/>
                <w:rFonts w:eastAsia="Times New Roman"/>
                <w:sz w:val="20"/>
                <w:szCs w:val="20"/>
                <w:lang w:eastAsia="ru-RU"/>
              </w:rPr>
              <w:footnoteReference w:id="7"/>
            </w:r>
            <w:r w:rsidRPr="00552145">
              <w:rPr>
                <w:rFonts w:eastAsia="Times New Roman"/>
                <w:sz w:val="20"/>
                <w:szCs w:val="20"/>
                <w:lang w:eastAsia="ru-RU"/>
              </w:rPr>
              <w:t xml:space="preserve"> </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Количество средних предприятий – всего</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552145">
              <w:rPr>
                <w:rFonts w:eastAsia="Times New Roman"/>
                <w:sz w:val="20"/>
                <w:szCs w:val="20"/>
                <w:lang w:eastAsia="ru-RU"/>
              </w:rPr>
              <w:t>единиц</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652558" w:rsidRDefault="00FB0CEE" w:rsidP="00FB0CEE">
            <w:pPr>
              <w:jc w:val="center"/>
              <w:rPr>
                <w:color w:val="000000"/>
                <w:sz w:val="22"/>
                <w:lang w:val="en-US"/>
              </w:rPr>
            </w:pPr>
            <w:r>
              <w:rPr>
                <w:color w:val="000000"/>
                <w:sz w:val="22"/>
                <w:lang w:val="en-US"/>
              </w:rPr>
              <w:t>18</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22</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sidRPr="00F32A3D">
              <w:rPr>
                <w:sz w:val="22"/>
              </w:rPr>
              <w:t>23</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Среднесписочная численность работников (без внешних совместителей) по средним предприятиям - всего</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2 513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2 222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2 222</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2 116</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sz w:val="22"/>
              </w:rPr>
            </w:pPr>
            <w:r>
              <w:rPr>
                <w:sz w:val="22"/>
              </w:rPr>
              <w:t>2 222</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bCs/>
                <w:sz w:val="20"/>
                <w:szCs w:val="20"/>
                <w:lang w:eastAsia="ru-RU"/>
              </w:rPr>
            </w:pPr>
            <w:r w:rsidRPr="00552145">
              <w:rPr>
                <w:rFonts w:eastAsia="Times New Roman"/>
                <w:bCs/>
                <w:sz w:val="20"/>
                <w:szCs w:val="20"/>
                <w:lang w:eastAsia="ru-RU"/>
              </w:rPr>
              <w:t>5. Инвестиции и строительство</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bCs/>
                <w:sz w:val="20"/>
                <w:szCs w:val="20"/>
                <w:lang w:eastAsia="ru-RU"/>
              </w:rPr>
            </w:pPr>
            <w:r w:rsidRPr="00552145">
              <w:rPr>
                <w:rFonts w:eastAsia="Times New Roman"/>
                <w:bCs/>
                <w:sz w:val="20"/>
                <w:szCs w:val="20"/>
                <w:lang w:eastAsia="ru-RU"/>
              </w:rPr>
              <w:t xml:space="preserve">Объем инвестиций в основной капитал (за исключением бюджетных средств) </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552145">
              <w:rPr>
                <w:rFonts w:eastAsia="Times New Roman"/>
                <w:bCs/>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37 720,7</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25 137,3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39 490,2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43 814,4</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44 923,3</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55 064,0</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56 834,3</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58 438,3</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62 656,1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32 410,8</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33 755,7</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33 728,6</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36 592,9</w:t>
            </w:r>
          </w:p>
        </w:tc>
      </w:tr>
      <w:tr w:rsidR="00FB0CEE" w:rsidRPr="00552145" w:rsidTr="00FB0CEE">
        <w:trPr>
          <w:trHeight w:val="1344"/>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bCs/>
                <w:sz w:val="20"/>
                <w:szCs w:val="20"/>
                <w:lang w:eastAsia="ru-RU"/>
              </w:rPr>
            </w:pPr>
            <w:r w:rsidRPr="00552145">
              <w:rPr>
                <w:rFonts w:eastAsia="Times New Roman"/>
                <w:bCs/>
                <w:sz w:val="20"/>
                <w:szCs w:val="20"/>
                <w:lang w:eastAsia="ru-RU"/>
              </w:rPr>
              <w:lastRenderedPageBreak/>
              <w:t>Объем инвестиций (в основной капитал) за счет всех источников финансирования - всего</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bCs/>
                <w:sz w:val="20"/>
                <w:szCs w:val="20"/>
                <w:lang w:eastAsia="ru-RU"/>
              </w:rPr>
            </w:pPr>
            <w:r w:rsidRPr="00552145">
              <w:rPr>
                <w:rFonts w:eastAsia="Times New Roman"/>
                <w:bCs/>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74 618,3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67 304,3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85 373,3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90 724,2</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94 171,8</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96 423,4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102 651,5</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101 734,8</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108 978,1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64 253,1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76 578,1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64 592,3</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80 723,8</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bCs/>
                <w:sz w:val="20"/>
                <w:szCs w:val="20"/>
                <w:lang w:eastAsia="ru-RU"/>
              </w:rPr>
            </w:pPr>
            <w:r w:rsidRPr="00552145">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552145">
              <w:rPr>
                <w:rFonts w:eastAsia="Times New Roman"/>
                <w:bCs/>
                <w:sz w:val="20"/>
                <w:szCs w:val="20"/>
                <w:vertAlign w:val="superscript"/>
                <w:lang w:eastAsia="ru-RU"/>
              </w:rPr>
              <w:footnoteReference w:id="8"/>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552145">
              <w:rPr>
                <w:rFonts w:eastAsia="Times New Roman"/>
                <w:bCs/>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bCs/>
                <w:sz w:val="22"/>
                <w:lang w:eastAsia="ru-RU"/>
              </w:rPr>
            </w:pPr>
            <w:r w:rsidRPr="00F32A3D">
              <w:rPr>
                <w:rFonts w:eastAsia="Times New Roman"/>
                <w:bCs/>
                <w:sz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r w:rsidRPr="00F32A3D">
              <w:rPr>
                <w:rFonts w:eastAsia="Times New Roman"/>
                <w:sz w:val="22"/>
                <w:lang w:eastAsia="ru-RU"/>
              </w:rPr>
              <w:t>-</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 xml:space="preserve">Индекс физического объема </w:t>
            </w:r>
            <w:r w:rsidRPr="00552145">
              <w:rPr>
                <w:rFonts w:eastAsia="Times New Roman"/>
                <w:bCs/>
                <w:sz w:val="20"/>
                <w:szCs w:val="20"/>
                <w:lang w:eastAsia="ru-RU"/>
              </w:rPr>
              <w:t>за счет всех источников финансирования - всего</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в % к предыду-щему году в сопоста-вимых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128,60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85,66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118,77</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100,54</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104,56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100,74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103,52</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100,20</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101,11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60,55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67,31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96,38</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101,07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Индекс-дефлятор</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105,3</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106,8</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105,5</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105,5</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105,3</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105,3</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105</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104,4</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104,3</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104,3</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Инвестиции в основной капитал  по источникам финансирования:</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собственные средства предприятий</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16 151,2</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18 071,4</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21 033,3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22 837,5</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23 201,0</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24 575,0</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25 222,5</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26</w:t>
            </w:r>
            <w:r>
              <w:rPr>
                <w:color w:val="000000"/>
                <w:sz w:val="22"/>
              </w:rPr>
              <w:t> </w:t>
            </w:r>
            <w:r w:rsidRPr="00F32A3D">
              <w:rPr>
                <w:color w:val="000000"/>
                <w:sz w:val="22"/>
              </w:rPr>
              <w:t>650</w:t>
            </w:r>
            <w:r>
              <w:rPr>
                <w:color w:val="000000"/>
                <w:sz w:val="22"/>
              </w:rPr>
              <w:t>,0</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27</w:t>
            </w:r>
            <w:r>
              <w:rPr>
                <w:color w:val="000000"/>
                <w:sz w:val="22"/>
              </w:rPr>
              <w:t> </w:t>
            </w:r>
            <w:r w:rsidRPr="00F32A3D">
              <w:rPr>
                <w:color w:val="000000"/>
                <w:sz w:val="22"/>
              </w:rPr>
              <w:t>550</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22</w:t>
            </w:r>
            <w:r>
              <w:rPr>
                <w:color w:val="000000"/>
                <w:sz w:val="22"/>
              </w:rPr>
              <w:t xml:space="preserve"> </w:t>
            </w:r>
            <w:r w:rsidRPr="00F32A3D">
              <w:rPr>
                <w:color w:val="000000"/>
                <w:sz w:val="22"/>
              </w:rPr>
              <w:t>743,5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23</w:t>
            </w:r>
            <w:r>
              <w:rPr>
                <w:color w:val="000000"/>
                <w:sz w:val="22"/>
              </w:rPr>
              <w:t xml:space="preserve"> </w:t>
            </w:r>
            <w:r w:rsidRPr="00F32A3D">
              <w:rPr>
                <w:color w:val="000000"/>
                <w:sz w:val="22"/>
              </w:rPr>
              <w:t>912,1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23</w:t>
            </w:r>
            <w:r>
              <w:rPr>
                <w:color w:val="000000"/>
                <w:sz w:val="22"/>
              </w:rPr>
              <w:t xml:space="preserve"> </w:t>
            </w:r>
            <w:r w:rsidRPr="00F32A3D">
              <w:rPr>
                <w:color w:val="000000"/>
                <w:sz w:val="22"/>
              </w:rPr>
              <w:t>574,1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26</w:t>
            </w:r>
            <w:r>
              <w:rPr>
                <w:color w:val="000000"/>
                <w:sz w:val="22"/>
              </w:rPr>
              <w:t xml:space="preserve"> </w:t>
            </w:r>
            <w:r w:rsidRPr="00F32A3D">
              <w:rPr>
                <w:color w:val="000000"/>
                <w:sz w:val="22"/>
              </w:rPr>
              <w:t>219,8</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привлеченные средства: из них:</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 xml:space="preserve">млн. рублей в </w:t>
            </w:r>
            <w:r w:rsidRPr="00552145">
              <w:rPr>
                <w:rFonts w:eastAsia="Times New Roman"/>
                <w:sz w:val="20"/>
                <w:szCs w:val="20"/>
                <w:lang w:eastAsia="ru-RU"/>
              </w:rPr>
              <w:lastRenderedPageBreak/>
              <w:t>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lastRenderedPageBreak/>
              <w:t>58 467,1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49 232,9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64 340,0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67 886,7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70 970,8</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71 848,4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77 429,0</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75 084,8</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81 428,0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41 509,6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52 666,0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41 018,2</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54 504,0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бюджетные средства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36 897,6</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42 167,0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45 883,1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46 909,8</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49 248,5</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41 359,4</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45 817,2</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43 296,5</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46 322,0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31 842,3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42 822,4</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30 863,7</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44 130,9</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индекс физического объема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в % к предыду-щему году в сопоста-вимых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166,1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108,5</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101,9</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96,7</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101,7</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83,6</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88,4</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99,4</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96,3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70,5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88,5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92,9</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98,8</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Times New Roman"/>
                <w:sz w:val="20"/>
                <w:szCs w:val="20"/>
                <w:lang w:eastAsia="ru-RU"/>
              </w:rPr>
            </w:pPr>
            <w:r w:rsidRPr="00552145">
              <w:rPr>
                <w:rFonts w:eastAsia="Times New Roman"/>
                <w:sz w:val="20"/>
                <w:szCs w:val="20"/>
                <w:lang w:eastAsia="ru-RU"/>
              </w:rPr>
              <w:t>из них:</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overflowPunct w:val="0"/>
              <w:autoSpaceDE w:val="0"/>
              <w:autoSpaceDN w:val="0"/>
              <w:adjustRightInd w:val="0"/>
              <w:spacing w:after="0" w:line="240" w:lineRule="auto"/>
              <w:jc w:val="center"/>
              <w:rPr>
                <w:rFonts w:eastAsia="Times New Roman"/>
                <w:sz w:val="22"/>
                <w:lang w:eastAsia="ru-RU"/>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средства федерального бюджета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35 420,9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39 651,6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42 965,3</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44 467,5</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46 487,6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39 343,2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43 154,6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41 977,3</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44 518,3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30 604,1</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41 162,0</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29 854,7</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42 691,1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 xml:space="preserve">средства бюджета субъекта </w:t>
            </w:r>
            <w:r>
              <w:rPr>
                <w:rFonts w:eastAsia="Times New Roman"/>
                <w:sz w:val="20"/>
                <w:szCs w:val="20"/>
                <w:lang w:eastAsia="ru-RU"/>
              </w:rPr>
              <w:t xml:space="preserve">Российской </w:t>
            </w:r>
            <w:r w:rsidRPr="00552145">
              <w:rPr>
                <w:rFonts w:eastAsia="Times New Roman"/>
                <w:sz w:val="20"/>
                <w:szCs w:val="20"/>
                <w:lang w:eastAsia="ru-RU"/>
              </w:rPr>
              <w:t>Федерации</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млн.</w:t>
            </w:r>
            <w:r>
              <w:rPr>
                <w:rFonts w:eastAsia="Times New Roman"/>
                <w:sz w:val="20"/>
                <w:szCs w:val="20"/>
                <w:lang w:eastAsia="ru-RU"/>
              </w:rPr>
              <w:t xml:space="preserve"> </w:t>
            </w:r>
            <w:r w:rsidRPr="00552145">
              <w:rPr>
                <w:rFonts w:eastAsia="Times New Roman"/>
                <w:sz w:val="20"/>
                <w:szCs w:val="20"/>
                <w:lang w:eastAsia="ru-RU"/>
              </w:rPr>
              <w:t>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865,9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1 683,2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895,6</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193,70</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430,3</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133,6</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w:t>
            </w:r>
            <w:r w:rsidRPr="00F32A3D">
              <w:rPr>
                <w:color w:val="000000"/>
                <w:sz w:val="22"/>
              </w:rPr>
              <w:t>723</w:t>
            </w:r>
            <w:r>
              <w:rPr>
                <w:color w:val="000000"/>
                <w:sz w:val="22"/>
              </w:rPr>
              <w:t>,0</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866,5</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322,2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727,2</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140,9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715,1</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145,1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552145" w:rsidRDefault="00FB0CEE" w:rsidP="00FB0CEE">
            <w:pPr>
              <w:overflowPunct w:val="0"/>
              <w:autoSpaceDE w:val="0"/>
              <w:autoSpaceDN w:val="0"/>
              <w:adjustRightInd w:val="0"/>
              <w:spacing w:after="0" w:line="240" w:lineRule="auto"/>
              <w:rPr>
                <w:rFonts w:eastAsia="Arial Unicode MS"/>
                <w:sz w:val="20"/>
                <w:szCs w:val="20"/>
                <w:lang w:eastAsia="ru-RU"/>
              </w:rPr>
            </w:pPr>
            <w:r w:rsidRPr="00552145">
              <w:rPr>
                <w:rFonts w:eastAsia="Times New Roman"/>
                <w:sz w:val="20"/>
                <w:szCs w:val="20"/>
                <w:lang w:eastAsia="ru-RU"/>
              </w:rPr>
              <w:t>средства муниципального бюджета</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Arial Unicode MS"/>
                <w:sz w:val="20"/>
                <w:szCs w:val="20"/>
                <w:lang w:eastAsia="ru-RU"/>
              </w:rPr>
            </w:pPr>
            <w:r w:rsidRPr="00552145">
              <w:rPr>
                <w:rFonts w:eastAsia="Times New Roman"/>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610,9</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832,2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022,2</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248,6</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1</w:t>
            </w:r>
            <w:r>
              <w:rPr>
                <w:color w:val="000000"/>
                <w:sz w:val="22"/>
              </w:rPr>
              <w:t xml:space="preserve"> </w:t>
            </w:r>
            <w:r w:rsidRPr="00F32A3D">
              <w:rPr>
                <w:color w:val="000000"/>
                <w:sz w:val="22"/>
              </w:rPr>
              <w:t>330,6</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882,6</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939,6</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452,7</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481,5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511</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519,5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293,9</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294,7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lastRenderedPageBreak/>
              <w:t>6. Сальдированный финансовый результат (прибыль, убыток) деятельности крупных и средних предприятий</w:t>
            </w:r>
          </w:p>
        </w:tc>
        <w:tc>
          <w:tcPr>
            <w:tcW w:w="977" w:type="dxa"/>
            <w:tcBorders>
              <w:top w:val="single" w:sz="4" w:space="0" w:color="auto"/>
              <w:left w:val="single" w:sz="4" w:space="0" w:color="auto"/>
              <w:bottom w:val="single" w:sz="4" w:space="0" w:color="auto"/>
              <w:right w:val="single" w:sz="4" w:space="0" w:color="auto"/>
            </w:tcBorders>
            <w:hideMark/>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552145">
              <w:rPr>
                <w:rFonts w:eastAsia="Times New Roman"/>
                <w:bCs/>
                <w:sz w:val="20"/>
                <w:szCs w:val="20"/>
                <w:lang w:eastAsia="ru-RU"/>
              </w:rPr>
              <w:t>млн. рублей в ценах соответст-вующих лет</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39 493,8</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61 011,0</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56 130,1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58 375,3</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60 620,5</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60 710,3</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65 470,1</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63 138,7</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70 707,8</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65 664,3</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76 364,4</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68 290,8</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82 473,5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7. Труд и занятость</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t>Численность населения в трудоспособном возрасте  (среднегодовая)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bCs/>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170,72</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166,28</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162,12</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158,07</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158,86</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154,91</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155,68</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152,58</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153,35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151,06</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151,81</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149,55</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150,30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t>Численность безработных, зарегистрированных в службах занятости, в среднем за год</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bCs/>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1,52</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1,57</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3,3</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1,85</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1,8</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1,75</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1,65</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1,6</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 xml:space="preserve">Уровень зарегистрированной безработицы (к трудоспособному населению) </w:t>
            </w:r>
            <w:r w:rsidRPr="007476EC">
              <w:rPr>
                <w:rFonts w:eastAsia="Times New Roman"/>
                <w:sz w:val="20"/>
                <w:szCs w:val="20"/>
                <w:lang w:val="en-US" w:eastAsia="ru-RU"/>
              </w:rPr>
              <w:t>(</w:t>
            </w:r>
            <w:r w:rsidRPr="007476EC">
              <w:rPr>
                <w:rFonts w:eastAsia="Times New Roman"/>
                <w:sz w:val="20"/>
                <w:szCs w:val="20"/>
                <w:lang w:eastAsia="ru-RU"/>
              </w:rPr>
              <w:t>среднегодовой)</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lang w:val="en-US"/>
              </w:rPr>
            </w:pPr>
            <w:r w:rsidRPr="007476EC">
              <w:rPr>
                <w:color w:val="000000"/>
                <w:sz w:val="22"/>
              </w:rPr>
              <w:t>0,</w:t>
            </w:r>
            <w:r w:rsidRPr="007476EC">
              <w:rPr>
                <w:color w:val="000000"/>
                <w:sz w:val="22"/>
                <w:lang w:val="en-US"/>
              </w:rPr>
              <w:t>8</w:t>
            </w:r>
            <w:r w:rsidRPr="007476EC">
              <w:rPr>
                <w:color w:val="000000"/>
                <w:sz w:val="22"/>
              </w:rPr>
              <w:t>9</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0,94</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2,04</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1,17</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1,13</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1,14</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1,13</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1,09</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1,11</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1,08</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1,14</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Среднесписочная численность работников организаций  (без субъектов малого предпринимательства)</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89,80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87,</w:t>
            </w:r>
            <w:r w:rsidRPr="007476EC">
              <w:rPr>
                <w:color w:val="000000"/>
                <w:sz w:val="22"/>
                <w:lang w:val="en-US"/>
              </w:rPr>
              <w:t>6</w:t>
            </w:r>
            <w:r w:rsidRPr="007476EC">
              <w:rPr>
                <w:color w:val="000000"/>
                <w:sz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83,60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81,76</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82,01</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80,13</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80,37</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78,52</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78,76</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76,95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77,18</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75,49</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75,72</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 xml:space="preserve">Среднемесячная начисленная заработная плата работников организаций (без субъектов малого </w:t>
            </w:r>
            <w:r w:rsidRPr="007476EC">
              <w:rPr>
                <w:rFonts w:eastAsia="Times New Roman"/>
                <w:sz w:val="20"/>
                <w:szCs w:val="20"/>
                <w:lang w:eastAsia="ru-RU"/>
              </w:rPr>
              <w:lastRenderedPageBreak/>
              <w:t>предпринимательства)</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lastRenderedPageBreak/>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68 497</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74 334</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77 977</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82 655</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0"/>
                <w:szCs w:val="20"/>
              </w:rPr>
            </w:pPr>
            <w:r w:rsidRPr="007476EC">
              <w:rPr>
                <w:sz w:val="20"/>
                <w:szCs w:val="20"/>
              </w:rPr>
              <w:t>83 069</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87 615</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88 053</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93 748</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94 216</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100 310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100 812</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101 393</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7476EC" w:rsidRDefault="00FB0CEE" w:rsidP="00FB0CEE">
            <w:pPr>
              <w:jc w:val="center"/>
              <w:rPr>
                <w:color w:val="000000"/>
                <w:sz w:val="22"/>
              </w:rPr>
            </w:pPr>
            <w:r w:rsidRPr="007476EC">
              <w:rPr>
                <w:sz w:val="22"/>
              </w:rPr>
              <w:t>101 900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Arial Unicode MS"/>
                <w:bCs/>
                <w:sz w:val="20"/>
                <w:szCs w:val="20"/>
                <w:lang w:eastAsia="ru-RU"/>
              </w:rPr>
              <w:t>8. Развитие социальной сферы</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t>Численность детей в дошкольных</w:t>
            </w:r>
            <w:r w:rsidRPr="001F18AC">
              <w:rPr>
                <w:rFonts w:eastAsia="Times New Roman"/>
                <w:sz w:val="20"/>
                <w:szCs w:val="20"/>
                <w:lang w:eastAsia="ru-RU"/>
              </w:rPr>
              <w:t xml:space="preserve"> </w:t>
            </w:r>
            <w:r w:rsidRPr="001F18AC">
              <w:rPr>
                <w:rFonts w:eastAsia="Times New Roman"/>
                <w:bCs/>
                <w:sz w:val="20"/>
                <w:szCs w:val="20"/>
                <w:lang w:eastAsia="ru-RU"/>
              </w:rPr>
              <w:t>образовательных учреждениях</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760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358</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490</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560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635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635</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214</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w:t>
            </w:r>
            <w:r>
              <w:rPr>
                <w:color w:val="000000"/>
                <w:sz w:val="22"/>
              </w:rPr>
              <w:t xml:space="preserve"> </w:t>
            </w:r>
            <w:r w:rsidRPr="00F32A3D">
              <w:rPr>
                <w:color w:val="000000"/>
                <w:sz w:val="22"/>
              </w:rPr>
              <w:t>635</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t xml:space="preserve">Численность </w:t>
            </w:r>
            <w:r>
              <w:rPr>
                <w:rFonts w:eastAsia="Times New Roman"/>
                <w:bCs/>
                <w:sz w:val="20"/>
                <w:szCs w:val="20"/>
                <w:lang w:eastAsia="ru-RU"/>
              </w:rPr>
              <w:t>обучающихся</w:t>
            </w:r>
            <w:r w:rsidRPr="001F18AC">
              <w:rPr>
                <w:rFonts w:eastAsia="Times New Roman"/>
                <w:bCs/>
                <w:sz w:val="20"/>
                <w:szCs w:val="20"/>
                <w:lang w:eastAsia="ru-RU"/>
              </w:rPr>
              <w:t xml:space="preserve"> в учреждениях:</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общеобразовательных</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331</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631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30</w:t>
            </w:r>
            <w:r>
              <w:rPr>
                <w:color w:val="000000"/>
                <w:sz w:val="22"/>
              </w:rPr>
              <w:t xml:space="preserve"> </w:t>
            </w:r>
            <w:r w:rsidRPr="00F32A3D">
              <w:rPr>
                <w:color w:val="000000"/>
                <w:sz w:val="22"/>
              </w:rPr>
              <w:t>851</w:t>
            </w:r>
          </w:p>
        </w:tc>
        <w:tc>
          <w:tcPr>
            <w:tcW w:w="992"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188</w:t>
            </w:r>
          </w:p>
        </w:tc>
        <w:tc>
          <w:tcPr>
            <w:tcW w:w="851"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208</w:t>
            </w:r>
          </w:p>
        </w:tc>
        <w:tc>
          <w:tcPr>
            <w:tcW w:w="100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482</w:t>
            </w:r>
          </w:p>
        </w:tc>
        <w:tc>
          <w:tcPr>
            <w:tcW w:w="977"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31</w:t>
            </w:r>
            <w:r>
              <w:rPr>
                <w:color w:val="000000"/>
                <w:sz w:val="22"/>
              </w:rPr>
              <w:t xml:space="preserve"> </w:t>
            </w:r>
            <w:r w:rsidRPr="00F32A3D">
              <w:rPr>
                <w:color w:val="000000"/>
                <w:sz w:val="22"/>
              </w:rPr>
              <w:t>502</w:t>
            </w:r>
          </w:p>
        </w:tc>
        <w:tc>
          <w:tcPr>
            <w:tcW w:w="100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130</w:t>
            </w:r>
          </w:p>
        </w:tc>
        <w:tc>
          <w:tcPr>
            <w:tcW w:w="1118"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695</w:t>
            </w:r>
          </w:p>
        </w:tc>
        <w:tc>
          <w:tcPr>
            <w:tcW w:w="1134"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715</w:t>
            </w:r>
          </w:p>
        </w:tc>
        <w:tc>
          <w:tcPr>
            <w:tcW w:w="993"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867</w:t>
            </w:r>
          </w:p>
        </w:tc>
        <w:tc>
          <w:tcPr>
            <w:tcW w:w="850" w:type="dxa"/>
            <w:tcBorders>
              <w:top w:val="single" w:sz="4" w:space="0" w:color="auto"/>
              <w:left w:val="single" w:sz="4" w:space="0" w:color="auto"/>
              <w:bottom w:val="single" w:sz="4" w:space="0" w:color="auto"/>
              <w:right w:val="single" w:sz="4" w:space="0" w:color="auto"/>
            </w:tcBorders>
            <w:vAlign w:val="center"/>
          </w:tcPr>
          <w:p w:rsidR="00FB0CEE" w:rsidRPr="00F32A3D" w:rsidRDefault="00FB0CEE" w:rsidP="00FB0CEE">
            <w:pPr>
              <w:jc w:val="center"/>
              <w:rPr>
                <w:color w:val="000000"/>
                <w:sz w:val="22"/>
              </w:rPr>
            </w:pPr>
            <w:r w:rsidRPr="00F32A3D">
              <w:rPr>
                <w:color w:val="000000"/>
                <w:sz w:val="22"/>
              </w:rPr>
              <w:t>32</w:t>
            </w:r>
            <w:r>
              <w:rPr>
                <w:color w:val="000000"/>
                <w:sz w:val="22"/>
              </w:rPr>
              <w:t xml:space="preserve"> </w:t>
            </w:r>
            <w:r w:rsidRPr="00F32A3D">
              <w:rPr>
                <w:color w:val="000000"/>
                <w:sz w:val="22"/>
              </w:rPr>
              <w:t>887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среднего профессионального образования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w:t>
            </w:r>
            <w:r>
              <w:rPr>
                <w:color w:val="000000"/>
                <w:sz w:val="22"/>
              </w:rPr>
              <w:t xml:space="preserve"> </w:t>
            </w:r>
            <w:r w:rsidRPr="00F32A3D">
              <w:rPr>
                <w:color w:val="000000"/>
                <w:sz w:val="22"/>
              </w:rPr>
              <w:t>890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050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500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520</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11</w:t>
            </w:r>
            <w:r>
              <w:rPr>
                <w:color w:val="000000"/>
                <w:sz w:val="22"/>
              </w:rPr>
              <w:t xml:space="preserve"> </w:t>
            </w:r>
            <w:r w:rsidRPr="00F32A3D">
              <w:rPr>
                <w:color w:val="000000"/>
                <w:sz w:val="22"/>
              </w:rPr>
              <w:t>290</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430</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11</w:t>
            </w:r>
            <w:r>
              <w:rPr>
                <w:color w:val="000000"/>
                <w:sz w:val="22"/>
              </w:rPr>
              <w:t xml:space="preserve"> </w:t>
            </w:r>
            <w:r w:rsidRPr="00F32A3D">
              <w:rPr>
                <w:color w:val="000000"/>
                <w:sz w:val="22"/>
              </w:rPr>
              <w:t>740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530</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12</w:t>
            </w:r>
            <w:r>
              <w:rPr>
                <w:color w:val="000000"/>
                <w:sz w:val="22"/>
              </w:rPr>
              <w:t xml:space="preserve"> </w:t>
            </w:r>
            <w:r w:rsidRPr="00F32A3D">
              <w:rPr>
                <w:color w:val="000000"/>
                <w:sz w:val="22"/>
              </w:rPr>
              <w:t>210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700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12</w:t>
            </w:r>
            <w:r>
              <w:rPr>
                <w:color w:val="000000"/>
                <w:sz w:val="22"/>
              </w:rPr>
              <w:t xml:space="preserve"> </w:t>
            </w:r>
            <w:r w:rsidRPr="00F32A3D">
              <w:rPr>
                <w:color w:val="000000"/>
                <w:sz w:val="22"/>
              </w:rPr>
              <w:t>700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10</w:t>
            </w:r>
            <w:r>
              <w:rPr>
                <w:color w:val="000000"/>
                <w:sz w:val="22"/>
              </w:rPr>
              <w:t xml:space="preserve"> </w:t>
            </w:r>
            <w:r w:rsidRPr="00F32A3D">
              <w:rPr>
                <w:color w:val="000000"/>
                <w:sz w:val="22"/>
              </w:rPr>
              <w:t>810</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13</w:t>
            </w:r>
            <w:r>
              <w:rPr>
                <w:color w:val="000000"/>
                <w:sz w:val="22"/>
              </w:rPr>
              <w:t xml:space="preserve"> </w:t>
            </w:r>
            <w:r w:rsidRPr="00F32A3D">
              <w:rPr>
                <w:color w:val="000000"/>
                <w:sz w:val="22"/>
              </w:rPr>
              <w:t>210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высшего профессионального образования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Arial Unicode MS"/>
                <w:sz w:val="20"/>
                <w:szCs w:val="20"/>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750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w:t>
            </w:r>
            <w:r>
              <w:rPr>
                <w:color w:val="000000"/>
                <w:sz w:val="22"/>
              </w:rPr>
              <w:t xml:space="preserve"> </w:t>
            </w:r>
            <w:r w:rsidRPr="00F32A3D">
              <w:rPr>
                <w:color w:val="000000"/>
                <w:sz w:val="22"/>
              </w:rPr>
              <w:t>870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w:t>
            </w:r>
            <w:r>
              <w:rPr>
                <w:color w:val="000000"/>
                <w:sz w:val="22"/>
              </w:rPr>
              <w:t xml:space="preserve"> </w:t>
            </w:r>
            <w:r w:rsidRPr="00F32A3D">
              <w:rPr>
                <w:color w:val="000000"/>
                <w:sz w:val="22"/>
              </w:rPr>
              <w:t>710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w:t>
            </w:r>
            <w:r>
              <w:rPr>
                <w:color w:val="000000"/>
                <w:sz w:val="22"/>
              </w:rPr>
              <w:t xml:space="preserve"> </w:t>
            </w:r>
            <w:r w:rsidRPr="00F32A3D">
              <w:rPr>
                <w:color w:val="000000"/>
                <w:sz w:val="22"/>
              </w:rPr>
              <w:t>170</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540</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4</w:t>
            </w:r>
            <w:r>
              <w:rPr>
                <w:color w:val="000000"/>
                <w:sz w:val="22"/>
              </w:rPr>
              <w:t xml:space="preserve"> </w:t>
            </w:r>
            <w:r w:rsidRPr="00F32A3D">
              <w:rPr>
                <w:color w:val="000000"/>
                <w:sz w:val="22"/>
              </w:rPr>
              <w:t>680</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410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4</w:t>
            </w:r>
            <w:r>
              <w:rPr>
                <w:color w:val="000000"/>
                <w:sz w:val="22"/>
              </w:rPr>
              <w:t xml:space="preserve"> </w:t>
            </w:r>
            <w:r w:rsidRPr="00F32A3D">
              <w:rPr>
                <w:color w:val="000000"/>
                <w:sz w:val="22"/>
              </w:rPr>
              <w:t>240</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510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3</w:t>
            </w:r>
            <w:r>
              <w:rPr>
                <w:color w:val="000000"/>
                <w:sz w:val="22"/>
              </w:rPr>
              <w:t xml:space="preserve"> </w:t>
            </w:r>
            <w:r w:rsidRPr="00F32A3D">
              <w:rPr>
                <w:color w:val="000000"/>
                <w:sz w:val="22"/>
              </w:rPr>
              <w:t>840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510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3</w:t>
            </w:r>
            <w:r>
              <w:rPr>
                <w:color w:val="000000"/>
                <w:sz w:val="22"/>
              </w:rPr>
              <w:t xml:space="preserve"> </w:t>
            </w:r>
            <w:r w:rsidRPr="00F32A3D">
              <w:rPr>
                <w:color w:val="000000"/>
                <w:sz w:val="22"/>
              </w:rPr>
              <w:t>480</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6</w:t>
            </w:r>
            <w:r>
              <w:rPr>
                <w:color w:val="000000"/>
                <w:sz w:val="22"/>
              </w:rPr>
              <w:t xml:space="preserve"> </w:t>
            </w:r>
            <w:r w:rsidRPr="00F32A3D">
              <w:rPr>
                <w:color w:val="000000"/>
                <w:sz w:val="22"/>
              </w:rPr>
              <w:t>600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Обеспеченность:</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общедоступными  библиотеками</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C03313">
              <w:rPr>
                <w:rFonts w:eastAsia="Times New Roman"/>
                <w:sz w:val="20"/>
                <w:szCs w:val="20"/>
                <w:lang w:eastAsia="ru-RU"/>
              </w:rPr>
              <w:t>учрежде-ний на</w:t>
            </w:r>
          </w:p>
          <w:p w:rsidR="00FB0CEE" w:rsidRPr="007476EC"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100 тыс.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11,23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11,37</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11,55</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11,71</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11,71</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11,87</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11,87</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12,03</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12,03</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12,18</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12,18</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12,32</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12,31</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учреждениями культурно-досугового типа</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sz w:val="20"/>
                <w:szCs w:val="20"/>
                <w:lang w:eastAsia="ru-RU"/>
              </w:rPr>
            </w:pPr>
            <w:r w:rsidRPr="00C03313">
              <w:rPr>
                <w:rFonts w:eastAsia="Times New Roman"/>
                <w:sz w:val="20"/>
                <w:szCs w:val="20"/>
                <w:lang w:eastAsia="ru-RU"/>
              </w:rPr>
              <w:t>учрежде-ний на</w:t>
            </w:r>
          </w:p>
          <w:p w:rsidR="00FB0CEE" w:rsidRPr="007476EC"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100 тыс. населения</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2,04</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2,07</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2,13</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2,13</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2,16</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2,16</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2,19</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2,19</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2,22</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2,21</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2,24</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2,24</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дошкольными образовательными учреждениями</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мест на 100 детей дошколь-ного возраста</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75,93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76,69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77,08</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79,58</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79,58</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79,98</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79,98</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80,38</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80,38</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80,63</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80,63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80,87</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80,87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 xml:space="preserve">Доля обучающихся в государственных </w:t>
            </w:r>
            <w:r w:rsidRPr="001F18AC">
              <w:rPr>
                <w:rFonts w:eastAsia="Times New Roman"/>
                <w:sz w:val="20"/>
                <w:szCs w:val="20"/>
                <w:lang w:eastAsia="ru-RU"/>
              </w:rPr>
              <w:lastRenderedPageBreak/>
              <w:t>(муниципальных)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98,5</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98,5</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97,9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98,7</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98,7</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99,7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44,1</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47,9</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48,7</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50</w:t>
            </w:r>
            <w:r>
              <w:rPr>
                <w:color w:val="000000"/>
                <w:sz w:val="22"/>
              </w:rPr>
              <w:t>,0</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51</w:t>
            </w:r>
            <w:r>
              <w:rPr>
                <w:color w:val="000000"/>
                <w:sz w:val="22"/>
              </w:rPr>
              <w:t>,0</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51</w:t>
            </w:r>
            <w:r>
              <w:rPr>
                <w:color w:val="000000"/>
                <w:sz w:val="22"/>
              </w:rPr>
              <w:t>,0</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52</w:t>
            </w:r>
            <w:r>
              <w:rPr>
                <w:color w:val="000000"/>
                <w:sz w:val="22"/>
              </w:rPr>
              <w:t>,0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53</w:t>
            </w:r>
            <w:r>
              <w:rPr>
                <w:color w:val="000000"/>
                <w:sz w:val="22"/>
              </w:rPr>
              <w:t>,0</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54</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56</w:t>
            </w:r>
            <w:r>
              <w:rPr>
                <w:color w:val="000000"/>
                <w:sz w:val="22"/>
              </w:rPr>
              <w:t>,0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57</w:t>
            </w:r>
            <w:r>
              <w:rPr>
                <w:color w:val="000000"/>
                <w:sz w:val="22"/>
              </w:rPr>
              <w:t>,0</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58</w:t>
            </w:r>
            <w:r>
              <w:rPr>
                <w:color w:val="000000"/>
                <w:sz w:val="22"/>
              </w:rPr>
              <w:t>,0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bCs/>
                <w:sz w:val="20"/>
                <w:szCs w:val="20"/>
                <w:lang w:eastAsia="ru-RU"/>
              </w:rPr>
              <w:t>Ввод в эксплуатацию жилых домов за счет всех источников финансирования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кв.м общей площади</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5F0ADA" w:rsidRDefault="00FB0CEE" w:rsidP="00FB0CEE">
            <w:pPr>
              <w:jc w:val="center"/>
              <w:rPr>
                <w:color w:val="000000"/>
                <w:sz w:val="22"/>
              </w:rPr>
            </w:pPr>
            <w:r w:rsidRPr="005F0ADA">
              <w:rPr>
                <w:color w:val="000000"/>
                <w:sz w:val="22"/>
              </w:rPr>
              <w:t>9,50</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5F0ADA" w:rsidRDefault="00FB0CEE" w:rsidP="00FB0CEE">
            <w:pPr>
              <w:jc w:val="center"/>
              <w:rPr>
                <w:color w:val="000000"/>
                <w:sz w:val="22"/>
              </w:rPr>
            </w:pPr>
            <w:r w:rsidRPr="005F0ADA">
              <w:rPr>
                <w:color w:val="000000"/>
                <w:sz w:val="22"/>
              </w:rPr>
              <w:t>4,80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3,30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5,51</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5,57</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5,53</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5,53</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5,54</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5,54</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5,55</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5,55</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5,56</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5,56</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7476EC" w:rsidRDefault="00FB0CEE" w:rsidP="00FB0CEE">
            <w:pPr>
              <w:tabs>
                <w:tab w:val="left" w:pos="708"/>
                <w:tab w:val="center" w:pos="4677"/>
                <w:tab w:val="right" w:pos="9355"/>
              </w:tabs>
              <w:spacing w:after="0" w:line="240" w:lineRule="auto"/>
              <w:rPr>
                <w:rFonts w:eastAsia="Times New Roman"/>
                <w:bCs/>
                <w:sz w:val="20"/>
                <w:szCs w:val="20"/>
                <w:lang w:eastAsia="ru-RU"/>
              </w:rPr>
            </w:pPr>
            <w:r w:rsidRPr="007476EC">
              <w:rPr>
                <w:rFonts w:eastAsia="Times New Roman"/>
                <w:sz w:val="20"/>
                <w:szCs w:val="20"/>
                <w:lang w:eastAsia="ru-RU"/>
              </w:rPr>
              <w:t>Средняя обеспеченность населения площадью жилых квартир</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кв.м на человека</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24,08</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24,46</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24,81</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25,16</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25,13</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25,51</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25,48</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25,84</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25,81</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26,16</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26,13</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26,43</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476EC" w:rsidRDefault="00FB0CEE" w:rsidP="00FB0CEE">
            <w:pPr>
              <w:jc w:val="center"/>
              <w:rPr>
                <w:color w:val="000000"/>
                <w:sz w:val="22"/>
              </w:rPr>
            </w:pPr>
            <w:r w:rsidRPr="007476EC">
              <w:rPr>
                <w:color w:val="000000"/>
                <w:sz w:val="22"/>
              </w:rPr>
              <w:t>26,40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Площадь аварийного фонда в % к общей площади жилого фонда</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1,71</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1,72</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F32A3D" w:rsidRDefault="00FB0CEE" w:rsidP="00FB0CEE">
            <w:pPr>
              <w:jc w:val="center"/>
              <w:rPr>
                <w:color w:val="000000"/>
                <w:sz w:val="22"/>
              </w:rPr>
            </w:pPr>
            <w:r w:rsidRPr="00F32A3D">
              <w:rPr>
                <w:color w:val="000000"/>
                <w:sz w:val="22"/>
              </w:rPr>
              <w:t>1,77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sz w:val="20"/>
                <w:szCs w:val="20"/>
                <w:lang w:eastAsia="ru-RU"/>
              </w:rPr>
              <w:t>Фактический уровень платежей населения за жилье и коммунальные услуги</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93</w:t>
            </w:r>
            <w:r>
              <w:rPr>
                <w:color w:val="000000"/>
                <w:sz w:val="22"/>
              </w:rPr>
              <w:t>,</w:t>
            </w:r>
            <w:r>
              <w:rPr>
                <w:color w:val="000000"/>
                <w:sz w:val="22"/>
                <w:lang w:val="en-US"/>
              </w:rPr>
              <w:t>5</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90</w:t>
            </w:r>
            <w:r>
              <w:rPr>
                <w:color w:val="000000"/>
                <w:sz w:val="22"/>
              </w:rPr>
              <w:t>,</w:t>
            </w:r>
            <w:r>
              <w:rPr>
                <w:color w:val="000000"/>
                <w:sz w:val="22"/>
                <w:lang w:val="en-US"/>
              </w:rPr>
              <w:t>8</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6</w:t>
            </w:r>
          </w:p>
        </w:tc>
        <w:tc>
          <w:tcPr>
            <w:tcW w:w="851"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9</w:t>
            </w:r>
          </w:p>
        </w:tc>
        <w:tc>
          <w:tcPr>
            <w:tcW w:w="1007"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8</w:t>
            </w:r>
          </w:p>
        </w:tc>
        <w:tc>
          <w:tcPr>
            <w:tcW w:w="977"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92</w:t>
            </w:r>
            <w:r>
              <w:rPr>
                <w:color w:val="000000"/>
                <w:sz w:val="22"/>
              </w:rPr>
              <w:t>,</w:t>
            </w:r>
            <w:r>
              <w:rPr>
                <w:color w:val="000000"/>
                <w:sz w:val="22"/>
                <w:lang w:val="en-US"/>
              </w:rPr>
              <w:t>0</w:t>
            </w:r>
          </w:p>
        </w:tc>
        <w:tc>
          <w:tcPr>
            <w:tcW w:w="1008"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,8</w:t>
            </w:r>
          </w:p>
        </w:tc>
        <w:tc>
          <w:tcPr>
            <w:tcW w:w="1118"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92</w:t>
            </w:r>
            <w:r>
              <w:rPr>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9</w:t>
            </w:r>
          </w:p>
        </w:tc>
        <w:tc>
          <w:tcPr>
            <w:tcW w:w="1134"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92</w:t>
            </w:r>
            <w:r>
              <w:rPr>
                <w:color w:val="000000"/>
                <w:sz w:val="22"/>
              </w:rPr>
              <w:t>,</w:t>
            </w:r>
            <w:r>
              <w:rPr>
                <w:color w:val="000000"/>
                <w:sz w:val="22"/>
                <w:lang w:val="en-US"/>
              </w:rPr>
              <w:t>1</w:t>
            </w:r>
          </w:p>
        </w:tc>
        <w:tc>
          <w:tcPr>
            <w:tcW w:w="993"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91</w:t>
            </w:r>
            <w:r>
              <w:rPr>
                <w:color w:val="000000"/>
                <w:sz w:val="22"/>
              </w:rPr>
              <w:t>,</w:t>
            </w:r>
            <w:r>
              <w:rPr>
                <w:color w:val="000000"/>
                <w:sz w:val="22"/>
                <w:lang w:val="en-US"/>
              </w:rPr>
              <w:t>9</w:t>
            </w:r>
          </w:p>
        </w:tc>
        <w:tc>
          <w:tcPr>
            <w:tcW w:w="850" w:type="dxa"/>
            <w:tcBorders>
              <w:top w:val="single" w:sz="4" w:space="0" w:color="auto"/>
              <w:left w:val="single" w:sz="4" w:space="0" w:color="auto"/>
              <w:bottom w:val="single" w:sz="4" w:space="0" w:color="auto"/>
              <w:right w:val="single" w:sz="4" w:space="0" w:color="auto"/>
            </w:tcBorders>
            <w:vAlign w:val="bottom"/>
          </w:tcPr>
          <w:p w:rsidR="00FB0CEE" w:rsidRPr="007F6FA4" w:rsidRDefault="00FB0CEE" w:rsidP="00FB0CEE">
            <w:pPr>
              <w:jc w:val="center"/>
              <w:rPr>
                <w:color w:val="000000"/>
                <w:sz w:val="22"/>
                <w:lang w:val="en-US"/>
              </w:rPr>
            </w:pPr>
            <w:r>
              <w:rPr>
                <w:color w:val="000000"/>
                <w:sz w:val="22"/>
                <w:lang w:val="en-US"/>
              </w:rPr>
              <w:t>92</w:t>
            </w:r>
            <w:r>
              <w:rPr>
                <w:color w:val="000000"/>
                <w:sz w:val="22"/>
              </w:rPr>
              <w:t>,</w:t>
            </w:r>
            <w:r>
              <w:rPr>
                <w:color w:val="000000"/>
                <w:sz w:val="22"/>
                <w:lang w:val="en-US"/>
              </w:rPr>
              <w:t>1</w:t>
            </w:r>
          </w:p>
        </w:tc>
      </w:tr>
      <w:tr w:rsidR="00FB0CEE" w:rsidRPr="00552145" w:rsidTr="00FB0CEE">
        <w:trPr>
          <w:trHeight w:val="309"/>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Arial Unicode MS"/>
                <w:bCs/>
                <w:sz w:val="20"/>
                <w:szCs w:val="20"/>
                <w:lang w:eastAsia="ru-RU"/>
              </w:rPr>
              <w:t>9. Доходы бюджета</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spacing w:after="0" w:line="240" w:lineRule="auto"/>
              <w:jc w:val="center"/>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Pr>
                <w:rFonts w:eastAsia="Times New Roman"/>
                <w:color w:val="000000"/>
                <w:sz w:val="20"/>
                <w:szCs w:val="20"/>
                <w:lang w:eastAsia="ru-RU"/>
              </w:rPr>
              <w:lastRenderedPageBreak/>
              <w:t>Объе</w:t>
            </w:r>
            <w:r w:rsidRPr="001F18AC">
              <w:rPr>
                <w:rFonts w:eastAsia="Times New Roman"/>
                <w:color w:val="000000"/>
                <w:sz w:val="20"/>
                <w:szCs w:val="20"/>
                <w:lang w:eastAsia="ru-RU"/>
              </w:rPr>
              <w:t xml:space="preserve">м собственных доходов бюджета муниципального образования от налоговых и неналоговых поступлений </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8 798 466,2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9 119 417,3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8 286 794,3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8 378 289,8</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8 442 279,9</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8 754 798,2</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8 819 689,9</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9 773 351,9</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9 867 813,4</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10 241 314,6</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10 354 810,5</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10 574 893,9</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10 692 319,4</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C03313" w:rsidRDefault="00FB0CEE" w:rsidP="00FB0CEE">
            <w:pPr>
              <w:tabs>
                <w:tab w:val="left" w:pos="708"/>
                <w:tab w:val="center" w:pos="4677"/>
                <w:tab w:val="right" w:pos="9355"/>
              </w:tabs>
              <w:spacing w:after="0" w:line="240" w:lineRule="auto"/>
              <w:rPr>
                <w:rFonts w:eastAsia="Times New Roman"/>
                <w:color w:val="000000"/>
                <w:sz w:val="20"/>
                <w:szCs w:val="20"/>
                <w:lang w:eastAsia="ru-RU"/>
              </w:rPr>
            </w:pPr>
            <w:r w:rsidRPr="001F18AC">
              <w:rPr>
                <w:rFonts w:eastAsia="Times New Roman"/>
                <w:color w:val="000000"/>
                <w:sz w:val="20"/>
                <w:szCs w:val="20"/>
                <w:lang w:eastAsia="ru-RU"/>
              </w:rPr>
              <w:t>в том числе:</w:t>
            </w:r>
          </w:p>
        </w:tc>
        <w:tc>
          <w:tcPr>
            <w:tcW w:w="977" w:type="dxa"/>
            <w:tcBorders>
              <w:top w:val="single" w:sz="4" w:space="0" w:color="auto"/>
              <w:left w:val="single" w:sz="4" w:space="0" w:color="auto"/>
              <w:bottom w:val="single" w:sz="4" w:space="0" w:color="auto"/>
              <w:right w:val="single" w:sz="4" w:space="0" w:color="auto"/>
            </w:tcBorders>
          </w:tcPr>
          <w:p w:rsidR="00FB0CEE" w:rsidRPr="00552145" w:rsidRDefault="00FB0CEE" w:rsidP="00FB0CEE">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налог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130 880,4</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76 877,8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87 390,7</w:t>
            </w:r>
          </w:p>
        </w:tc>
        <w:tc>
          <w:tcPr>
            <w:tcW w:w="992"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90 579,4</w:t>
            </w:r>
          </w:p>
        </w:tc>
        <w:tc>
          <w:tcPr>
            <w:tcW w:w="851"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130 834,4</w:t>
            </w:r>
          </w:p>
        </w:tc>
        <w:tc>
          <w:tcPr>
            <w:tcW w:w="1007"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94 202,6</w:t>
            </w:r>
          </w:p>
        </w:tc>
        <w:tc>
          <w:tcPr>
            <w:tcW w:w="977"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136 067,8</w:t>
            </w:r>
          </w:p>
        </w:tc>
        <w:tc>
          <w:tcPr>
            <w:tcW w:w="1008"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97 970,7</w:t>
            </w:r>
          </w:p>
        </w:tc>
        <w:tc>
          <w:tcPr>
            <w:tcW w:w="1118"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141 510,5</w:t>
            </w:r>
          </w:p>
        </w:tc>
        <w:tc>
          <w:tcPr>
            <w:tcW w:w="1134"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101 888,5</w:t>
            </w:r>
          </w:p>
        </w:tc>
        <w:tc>
          <w:tcPr>
            <w:tcW w:w="1134"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147 170,9</w:t>
            </w:r>
          </w:p>
        </w:tc>
        <w:tc>
          <w:tcPr>
            <w:tcW w:w="993"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105 965,1</w:t>
            </w:r>
          </w:p>
        </w:tc>
        <w:tc>
          <w:tcPr>
            <w:tcW w:w="850" w:type="dxa"/>
            <w:tcBorders>
              <w:top w:val="single" w:sz="4" w:space="0" w:color="auto"/>
              <w:left w:val="single" w:sz="4" w:space="0" w:color="auto"/>
              <w:bottom w:val="single" w:sz="4" w:space="0" w:color="auto"/>
              <w:right w:val="single" w:sz="4" w:space="0" w:color="auto"/>
            </w:tcBorders>
            <w:textDirection w:val="btLr"/>
          </w:tcPr>
          <w:p w:rsidR="00FB0CEE" w:rsidRPr="00F32A3D" w:rsidRDefault="00FB0CEE" w:rsidP="00FB0CEE">
            <w:pPr>
              <w:jc w:val="center"/>
              <w:rPr>
                <w:color w:val="000000"/>
                <w:sz w:val="22"/>
              </w:rPr>
            </w:pPr>
            <w:r w:rsidRPr="00F32A3D">
              <w:rPr>
                <w:bCs/>
                <w:sz w:val="22"/>
              </w:rPr>
              <w:t>153 057,7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446 513,4</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375 964,2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344 351,8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350 737,6</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350 737,6</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362 188,7</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362 188,7</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372 849,5</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372 849,5</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386 957,9</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386 957,9</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401 630,6</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401 630,6</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 xml:space="preserve">в том числе: </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851"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00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77"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00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18"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c>
          <w:tcPr>
            <w:tcW w:w="850" w:type="dxa"/>
            <w:tcBorders>
              <w:top w:val="single" w:sz="4" w:space="0" w:color="auto"/>
              <w:left w:val="single" w:sz="4" w:space="0" w:color="auto"/>
              <w:bottom w:val="single" w:sz="4" w:space="0" w:color="auto"/>
              <w:right w:val="single" w:sz="4" w:space="0" w:color="auto"/>
            </w:tcBorders>
          </w:tcPr>
          <w:p w:rsidR="00FB0CEE" w:rsidRPr="00F32A3D" w:rsidRDefault="00FB0CEE" w:rsidP="00FB0CEE">
            <w:pPr>
              <w:spacing w:after="0" w:line="240" w:lineRule="auto"/>
              <w:rPr>
                <w:color w:val="000000"/>
                <w:sz w:val="22"/>
              </w:rPr>
            </w:pP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410 947,7</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337 651,8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316 351,8</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328 437,6</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328 437,6</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340 988,7</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340 988,7</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352 709,5</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352 709,5</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366 817,9</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366 817,9</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381 490,6</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381 490,6</w:t>
            </w:r>
          </w:p>
        </w:tc>
      </w:tr>
      <w:tr w:rsidR="00FB0CEE" w:rsidRPr="00552145" w:rsidTr="00FB0CEE">
        <w:trPr>
          <w:trHeight w:val="1010"/>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lastRenderedPageBreak/>
              <w:t>от сдачи в аренду имущества</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35 565,7</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38 312,4</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28 000,0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22 300,0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22 300,0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21 200,0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21 200,0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20 140,0</w:t>
            </w:r>
          </w:p>
        </w:tc>
      </w:tr>
      <w:tr w:rsidR="00FB0CEE" w:rsidRPr="00552145" w:rsidTr="00FB0CEE">
        <w:trPr>
          <w:trHeight w:val="1109"/>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налоги на совокупный доход</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3 323 834,5</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3 481 043,7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2 649 104,9</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2 420 252,0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2 442 792,0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2 491 062,0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2 514 503,6</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3 306 507,8</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3 359 519,2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3 555 778,2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3 610 910,0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3 658 814,6</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3 716 151,7</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в том числе:</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p>
        </w:tc>
      </w:tr>
      <w:tr w:rsidR="00FB0CEE" w:rsidRPr="00552145" w:rsidTr="00FB0CEE">
        <w:trPr>
          <w:trHeight w:val="1129"/>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налог, взимаемый в связи с применением упрощенной системы налогообложения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1 208 720,5</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1 308 566,6</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740 000,0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535 500,0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556 920,0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556 920,0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579 196,8</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1 295 000,0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1 346 800,0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1 346 800,0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1 400 672,0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1 400 672,0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spacing w:after="0" w:line="240" w:lineRule="auto"/>
              <w:jc w:val="center"/>
              <w:rPr>
                <w:color w:val="000000"/>
                <w:sz w:val="22"/>
              </w:rPr>
            </w:pPr>
            <w:r w:rsidRPr="00F32A3D">
              <w:rPr>
                <w:bCs/>
                <w:sz w:val="22"/>
              </w:rPr>
              <w:t>1 456 698,9</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единый налог на вмененный доход для отдельных видов деятельности</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167 404,8</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162 305,2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101 469,0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25 000,0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25 000,0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0,0</w:t>
            </w:r>
          </w:p>
        </w:tc>
      </w:tr>
      <w:tr w:rsidR="00FB0CEE" w:rsidRPr="00552145" w:rsidTr="00FB0CEE">
        <w:trPr>
          <w:trHeight w:val="67"/>
          <w:jc w:val="center"/>
        </w:trPr>
        <w:tc>
          <w:tcPr>
            <w:tcW w:w="2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B0CEE" w:rsidRPr="001F18AC" w:rsidRDefault="00FB0CEE" w:rsidP="00FB0CEE">
            <w:pPr>
              <w:tabs>
                <w:tab w:val="left" w:pos="708"/>
                <w:tab w:val="center" w:pos="4677"/>
                <w:tab w:val="right" w:pos="9355"/>
              </w:tabs>
              <w:spacing w:after="0" w:line="240" w:lineRule="auto"/>
              <w:rPr>
                <w:rFonts w:eastAsia="Times New Roman"/>
                <w:bCs/>
                <w:sz w:val="20"/>
                <w:szCs w:val="20"/>
                <w:lang w:eastAsia="ru-RU"/>
              </w:rPr>
            </w:pPr>
            <w:r w:rsidRPr="001F18AC">
              <w:rPr>
                <w:rFonts w:eastAsia="Times New Roman"/>
                <w:color w:val="000000"/>
                <w:sz w:val="20"/>
                <w:szCs w:val="20"/>
                <w:lang w:eastAsia="ru-RU"/>
              </w:rPr>
              <w:t>налог, взимаемый в связи с применением патентной системы налогообложения</w:t>
            </w:r>
          </w:p>
        </w:tc>
        <w:tc>
          <w:tcPr>
            <w:tcW w:w="977" w:type="dxa"/>
            <w:tcBorders>
              <w:top w:val="single" w:sz="4" w:space="0" w:color="auto"/>
              <w:left w:val="single" w:sz="4" w:space="0" w:color="auto"/>
              <w:bottom w:val="single" w:sz="4" w:space="0" w:color="auto"/>
              <w:right w:val="single" w:sz="4" w:space="0" w:color="auto"/>
            </w:tcBorders>
          </w:tcPr>
          <w:p w:rsidR="00FB0CEE" w:rsidRPr="00C03313" w:rsidRDefault="00FB0CEE" w:rsidP="00FB0CEE">
            <w:pPr>
              <w:overflowPunct w:val="0"/>
              <w:autoSpaceDE w:val="0"/>
              <w:autoSpaceDN w:val="0"/>
              <w:adjustRightInd w:val="0"/>
              <w:spacing w:after="0" w:line="240" w:lineRule="auto"/>
              <w:jc w:val="center"/>
              <w:rPr>
                <w:rFonts w:eastAsia="Times New Roman"/>
                <w:bCs/>
                <w:sz w:val="20"/>
                <w:szCs w:val="20"/>
                <w:lang w:eastAsia="ru-RU"/>
              </w:rPr>
            </w:pPr>
            <w:r w:rsidRPr="00C03313">
              <w:rPr>
                <w:rFonts w:eastAsia="Times New Roman"/>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23 871,6</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28 501,4</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23 250,0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28 000,0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29 120,0</w:t>
            </w:r>
          </w:p>
        </w:tc>
        <w:tc>
          <w:tcPr>
            <w:tcW w:w="100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29 120,0</w:t>
            </w:r>
          </w:p>
        </w:tc>
        <w:tc>
          <w:tcPr>
            <w:tcW w:w="977"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30 284,8</w:t>
            </w:r>
          </w:p>
        </w:tc>
        <w:tc>
          <w:tcPr>
            <w:tcW w:w="100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30 284,8</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31 496,2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31 496,2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32 756,0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32 756,0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0CEE" w:rsidRPr="00F32A3D" w:rsidRDefault="00FB0CEE" w:rsidP="00FB0CEE">
            <w:pPr>
              <w:jc w:val="center"/>
              <w:rPr>
                <w:color w:val="000000"/>
                <w:sz w:val="22"/>
              </w:rPr>
            </w:pPr>
            <w:r w:rsidRPr="00F32A3D">
              <w:rPr>
                <w:bCs/>
                <w:sz w:val="22"/>
              </w:rPr>
              <w:t>34 066,2</w:t>
            </w:r>
          </w:p>
        </w:tc>
      </w:tr>
    </w:tbl>
    <w:p w:rsidR="00FB0CEE" w:rsidRPr="00552145" w:rsidRDefault="00FB0CEE" w:rsidP="00FB0CEE">
      <w:pPr>
        <w:spacing w:after="0" w:line="240" w:lineRule="auto"/>
        <w:jc w:val="both"/>
        <w:rPr>
          <w:rFonts w:eastAsia="Times New Roman"/>
          <w:sz w:val="26"/>
          <w:szCs w:val="26"/>
          <w:lang w:val="en-US" w:eastAsia="ru-RU"/>
        </w:rPr>
      </w:pPr>
    </w:p>
    <w:p w:rsidR="0018260A" w:rsidRPr="0018260A" w:rsidRDefault="00FB0CEE" w:rsidP="00FB0CEE">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52145">
        <w:rPr>
          <w:rFonts w:eastAsia="Times New Roman"/>
          <w:lang w:eastAsia="ru-RU"/>
        </w:rPr>
        <w:t>Пояснения к показателям прогноза социально-экономического развития муниципального образования город Мурманск на среднесрочный период 2021-2025 годов приведены в приложении № 1</w:t>
      </w:r>
      <w:r>
        <w:rPr>
          <w:rFonts w:eastAsia="Times New Roman"/>
          <w:lang w:eastAsia="ru-RU"/>
        </w:rPr>
        <w:t xml:space="preserve"> к прогнозу</w:t>
      </w:r>
      <w:r w:rsidRPr="00552145">
        <w:rPr>
          <w:rFonts w:eastAsia="Times New Roman"/>
          <w:lang w:eastAsia="ru-RU"/>
        </w:rPr>
        <w:t>. Оценка показателей за 2020 год на основании предварительных итогов социально-экономического развития муниципального образования город Мурманск за первое полугодие 2020 года и ожидаемых итогов социально-экономического развития за 2020 год представлена в приложении № 2</w:t>
      </w:r>
      <w:r>
        <w:rPr>
          <w:rFonts w:eastAsia="Times New Roman"/>
          <w:lang w:eastAsia="ru-RU"/>
        </w:rPr>
        <w:t xml:space="preserve"> к прогнозу</w:t>
      </w:r>
      <w:r w:rsidRPr="00552145">
        <w:rPr>
          <w:rFonts w:eastAsia="Times New Roman"/>
          <w:lang w:eastAsia="ru-RU"/>
        </w:rPr>
        <w:t>.</w:t>
      </w:r>
    </w:p>
    <w:p w:rsidR="00FB0CEE" w:rsidRDefault="00FB0CEE" w:rsidP="00FB0CEE">
      <w:pPr>
        <w:rPr>
          <w:rFonts w:eastAsia="Times New Roman"/>
          <w:szCs w:val="28"/>
          <w:lang w:eastAsia="ru-RU"/>
        </w:rPr>
        <w:sectPr w:rsidR="00FB0CEE" w:rsidSect="001B53F1">
          <w:headerReference w:type="first" r:id="rId12"/>
          <w:footnotePr>
            <w:numRestart w:val="eachSect"/>
          </w:footnotePr>
          <w:pgSz w:w="16838" w:h="11906" w:orient="landscape"/>
          <w:pgMar w:top="1701" w:right="1134" w:bottom="567" w:left="1134" w:header="709" w:footer="709" w:gutter="0"/>
          <w:pgNumType w:start="1"/>
          <w:cols w:space="708"/>
          <w:titlePg/>
          <w:docGrid w:linePitch="381"/>
        </w:sectPr>
      </w:pPr>
    </w:p>
    <w:tbl>
      <w:tblPr>
        <w:tblW w:w="0" w:type="auto"/>
        <w:tblLook w:val="04A0" w:firstRow="1" w:lastRow="0" w:firstColumn="1" w:lastColumn="0" w:noHBand="0" w:noVBand="1"/>
      </w:tblPr>
      <w:tblGrid>
        <w:gridCol w:w="6912"/>
        <w:gridCol w:w="2942"/>
      </w:tblGrid>
      <w:tr w:rsidR="00571BC1" w:rsidRPr="00571BC1" w:rsidTr="00B23B0B">
        <w:tc>
          <w:tcPr>
            <w:tcW w:w="6912" w:type="dxa"/>
            <w:shd w:val="clear" w:color="auto" w:fill="auto"/>
          </w:tcPr>
          <w:p w:rsidR="00571BC1" w:rsidRPr="00571BC1" w:rsidRDefault="00571BC1" w:rsidP="00571BC1">
            <w:pPr>
              <w:widowControl w:val="0"/>
              <w:overflowPunct w:val="0"/>
              <w:autoSpaceDE w:val="0"/>
              <w:autoSpaceDN w:val="0"/>
              <w:adjustRightInd w:val="0"/>
              <w:spacing w:after="0" w:line="240" w:lineRule="auto"/>
              <w:jc w:val="center"/>
              <w:textAlignment w:val="baseline"/>
              <w:rPr>
                <w:rFonts w:ascii="Calibri" w:hAnsi="Calibri"/>
                <w:szCs w:val="28"/>
                <w:lang w:eastAsia="ru-RU"/>
              </w:rPr>
            </w:pPr>
            <w:r w:rsidRPr="00571BC1">
              <w:rPr>
                <w:rFonts w:ascii="Calibri" w:hAnsi="Calibri"/>
                <w:szCs w:val="28"/>
                <w:lang w:eastAsia="ru-RU"/>
              </w:rPr>
              <w:lastRenderedPageBreak/>
              <w:t xml:space="preserve">                                                                                         </w:t>
            </w:r>
          </w:p>
        </w:tc>
        <w:tc>
          <w:tcPr>
            <w:tcW w:w="2942" w:type="dxa"/>
            <w:shd w:val="clear" w:color="auto" w:fill="auto"/>
          </w:tcPr>
          <w:p w:rsidR="00571BC1" w:rsidRPr="00571BC1" w:rsidRDefault="00571BC1" w:rsidP="00571BC1">
            <w:pPr>
              <w:widowControl w:val="0"/>
              <w:overflowPunct w:val="0"/>
              <w:autoSpaceDE w:val="0"/>
              <w:autoSpaceDN w:val="0"/>
              <w:adjustRightInd w:val="0"/>
              <w:spacing w:after="0" w:line="240" w:lineRule="auto"/>
              <w:jc w:val="center"/>
              <w:textAlignment w:val="baseline"/>
              <w:rPr>
                <w:szCs w:val="28"/>
                <w:lang w:eastAsia="ru-RU"/>
              </w:rPr>
            </w:pPr>
            <w:r w:rsidRPr="00571BC1">
              <w:rPr>
                <w:szCs w:val="28"/>
                <w:lang w:eastAsia="ru-RU"/>
              </w:rPr>
              <w:t>Приложение № 1</w:t>
            </w: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ascii="Calibri" w:hAnsi="Calibri"/>
                <w:szCs w:val="28"/>
                <w:lang w:eastAsia="ru-RU"/>
              </w:rPr>
            </w:pPr>
            <w:r w:rsidRPr="00571BC1">
              <w:rPr>
                <w:szCs w:val="28"/>
                <w:lang w:eastAsia="ru-RU"/>
              </w:rPr>
              <w:t>к прогнозу</w:t>
            </w:r>
          </w:p>
          <w:p w:rsidR="00571BC1" w:rsidRPr="00571BC1" w:rsidRDefault="00571BC1" w:rsidP="00571BC1">
            <w:pPr>
              <w:tabs>
                <w:tab w:val="left" w:pos="6900"/>
              </w:tabs>
              <w:overflowPunct w:val="0"/>
              <w:autoSpaceDE w:val="0"/>
              <w:autoSpaceDN w:val="0"/>
              <w:adjustRightInd w:val="0"/>
              <w:spacing w:after="0" w:line="240" w:lineRule="auto"/>
              <w:jc w:val="center"/>
              <w:textAlignment w:val="baseline"/>
              <w:rPr>
                <w:rFonts w:ascii="Calibri" w:hAnsi="Calibri"/>
                <w:szCs w:val="28"/>
                <w:lang w:eastAsia="ru-RU"/>
              </w:rPr>
            </w:pPr>
          </w:p>
        </w:tc>
      </w:tr>
    </w:tbl>
    <w:p w:rsidR="00571BC1" w:rsidRPr="00571BC1" w:rsidRDefault="00571BC1" w:rsidP="00571BC1">
      <w:pPr>
        <w:tabs>
          <w:tab w:val="left" w:pos="6900"/>
        </w:tabs>
        <w:overflowPunct w:val="0"/>
        <w:autoSpaceDE w:val="0"/>
        <w:autoSpaceDN w:val="0"/>
        <w:adjustRightInd w:val="0"/>
        <w:spacing w:after="0" w:line="240" w:lineRule="auto"/>
        <w:jc w:val="center"/>
        <w:textAlignment w:val="baseline"/>
        <w:rPr>
          <w:rFonts w:eastAsia="Times New Roman"/>
          <w:bCs/>
          <w:szCs w:val="28"/>
          <w:lang w:eastAsia="ru-RU"/>
        </w:rPr>
      </w:pPr>
      <w:r w:rsidRPr="00571BC1">
        <w:rPr>
          <w:rFonts w:eastAsia="Times New Roman"/>
          <w:bCs/>
          <w:szCs w:val="28"/>
          <w:lang w:eastAsia="ru-RU"/>
        </w:rPr>
        <w:t xml:space="preserve">Пояснительная записка к прогнозу социально-экономического развития </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bCs/>
          <w:szCs w:val="28"/>
          <w:lang w:eastAsia="ru-RU"/>
        </w:rPr>
      </w:pPr>
      <w:r w:rsidRPr="00571BC1">
        <w:rPr>
          <w:rFonts w:eastAsia="Times New Roman"/>
          <w:bCs/>
          <w:szCs w:val="28"/>
          <w:lang w:eastAsia="ru-RU"/>
        </w:rPr>
        <w:t xml:space="preserve">муниципального образования город Мурманск </w:t>
      </w:r>
      <w:r w:rsidRPr="00571BC1">
        <w:rPr>
          <w:rFonts w:eastAsia="Times New Roman"/>
          <w:bCs/>
          <w:szCs w:val="28"/>
          <w:lang w:eastAsia="ru-RU"/>
        </w:rPr>
        <w:br/>
        <w:t>на среднесрочный период 2021-2025 годов</w:t>
      </w:r>
    </w:p>
    <w:p w:rsidR="00571BC1" w:rsidRPr="00571BC1" w:rsidRDefault="00571BC1" w:rsidP="00571BC1">
      <w:pPr>
        <w:keepNext/>
        <w:spacing w:after="0" w:line="240" w:lineRule="auto"/>
        <w:ind w:firstLine="709"/>
        <w:jc w:val="both"/>
        <w:outlineLvl w:val="0"/>
        <w:rPr>
          <w:rFonts w:eastAsia="Times New Roman"/>
          <w:bCs/>
          <w:kern w:val="32"/>
          <w:szCs w:val="28"/>
          <w:lang w:eastAsia="ru-RU"/>
        </w:rPr>
      </w:pPr>
    </w:p>
    <w:p w:rsidR="00571BC1" w:rsidRPr="00571BC1" w:rsidRDefault="00571BC1" w:rsidP="00571BC1">
      <w:pPr>
        <w:keepNext/>
        <w:overflowPunct w:val="0"/>
        <w:autoSpaceDE w:val="0"/>
        <w:autoSpaceDN w:val="0"/>
        <w:adjustRightInd w:val="0"/>
        <w:spacing w:after="0" w:line="240" w:lineRule="auto"/>
        <w:ind w:firstLine="709"/>
        <w:jc w:val="both"/>
        <w:textAlignment w:val="baseline"/>
        <w:outlineLvl w:val="0"/>
        <w:rPr>
          <w:rFonts w:eastAsia="Times New Roman"/>
          <w:bCs/>
          <w:kern w:val="32"/>
          <w:szCs w:val="28"/>
          <w:lang w:eastAsia="ru-RU"/>
        </w:rPr>
      </w:pPr>
      <w:r w:rsidRPr="00571BC1">
        <w:rPr>
          <w:rFonts w:eastAsia="Times New Roman"/>
          <w:bCs/>
          <w:kern w:val="32"/>
          <w:szCs w:val="28"/>
          <w:lang w:eastAsia="ru-RU"/>
        </w:rPr>
        <w:t>Прогноз социально-экономического развития муниципального образования город Мурманск сформирован с учетом следующих основных документов на 2021 год и на плановый период до 2025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Послания Президента Российской Федерации Федеральному Собранию Российской Федерации от 15.01.2020;</w:t>
      </w:r>
    </w:p>
    <w:p w:rsidR="00571BC1" w:rsidRPr="00571BC1" w:rsidRDefault="00571BC1" w:rsidP="00571BC1">
      <w:pPr>
        <w:keepNext/>
        <w:overflowPunct w:val="0"/>
        <w:autoSpaceDE w:val="0"/>
        <w:autoSpaceDN w:val="0"/>
        <w:adjustRightInd w:val="0"/>
        <w:spacing w:after="0" w:line="240" w:lineRule="auto"/>
        <w:ind w:firstLine="708"/>
        <w:jc w:val="both"/>
        <w:textAlignment w:val="baseline"/>
        <w:outlineLvl w:val="0"/>
        <w:rPr>
          <w:rFonts w:eastAsia="Times New Roman"/>
          <w:bCs/>
          <w:kern w:val="32"/>
          <w:szCs w:val="28"/>
          <w:lang w:eastAsia="ru-RU"/>
        </w:rPr>
      </w:pPr>
      <w:r w:rsidRPr="00571BC1">
        <w:rPr>
          <w:rFonts w:eastAsia="Times New Roman"/>
          <w:szCs w:val="28"/>
          <w:lang w:eastAsia="ru-RU"/>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571BC1" w:rsidRPr="00571BC1" w:rsidRDefault="00571BC1" w:rsidP="00571BC1">
      <w:pPr>
        <w:keepNext/>
        <w:overflowPunct w:val="0"/>
        <w:autoSpaceDE w:val="0"/>
        <w:autoSpaceDN w:val="0"/>
        <w:adjustRightInd w:val="0"/>
        <w:spacing w:after="0" w:line="240" w:lineRule="auto"/>
        <w:ind w:firstLine="708"/>
        <w:jc w:val="both"/>
        <w:textAlignment w:val="baseline"/>
        <w:outlineLvl w:val="0"/>
        <w:rPr>
          <w:rFonts w:eastAsia="Times New Roman"/>
          <w:szCs w:val="28"/>
          <w:lang w:eastAsia="ru-RU"/>
        </w:rPr>
      </w:pPr>
      <w:r w:rsidRPr="00571BC1">
        <w:rPr>
          <w:rFonts w:eastAsia="Times New Roman"/>
          <w:szCs w:val="28"/>
          <w:lang w:eastAsia="ru-RU"/>
        </w:rPr>
        <w:t>– Указа Президента Российской Федерации от 21.07.2020 № 474 «О национальных целях развития Российской Федерации на период до 2030 года»;</w:t>
      </w:r>
    </w:p>
    <w:p w:rsidR="00571BC1" w:rsidRPr="00571BC1" w:rsidRDefault="00571BC1" w:rsidP="00571BC1">
      <w:pPr>
        <w:keepNext/>
        <w:overflowPunct w:val="0"/>
        <w:autoSpaceDE w:val="0"/>
        <w:autoSpaceDN w:val="0"/>
        <w:adjustRightInd w:val="0"/>
        <w:spacing w:after="0" w:line="240" w:lineRule="auto"/>
        <w:ind w:firstLine="708"/>
        <w:jc w:val="both"/>
        <w:textAlignment w:val="baseline"/>
        <w:outlineLvl w:val="0"/>
        <w:rPr>
          <w:rFonts w:eastAsia="Times New Roman"/>
          <w:bCs/>
          <w:kern w:val="32"/>
          <w:szCs w:val="28"/>
          <w:lang w:eastAsia="ru-RU"/>
        </w:rPr>
      </w:pPr>
      <w:r w:rsidRPr="00571BC1">
        <w:rPr>
          <w:rFonts w:eastAsia="Times New Roman"/>
          <w:szCs w:val="28"/>
          <w:lang w:eastAsia="ru-RU"/>
        </w:rPr>
        <w:t>– прогноза социально-экономического развития Российской Федерации на период до 2024 года;</w:t>
      </w:r>
    </w:p>
    <w:p w:rsidR="00571BC1" w:rsidRPr="00571BC1" w:rsidRDefault="00571BC1" w:rsidP="00571BC1">
      <w:pPr>
        <w:keepNext/>
        <w:overflowPunct w:val="0"/>
        <w:autoSpaceDE w:val="0"/>
        <w:autoSpaceDN w:val="0"/>
        <w:adjustRightInd w:val="0"/>
        <w:spacing w:after="0" w:line="240" w:lineRule="auto"/>
        <w:ind w:firstLine="708"/>
        <w:jc w:val="both"/>
        <w:textAlignment w:val="baseline"/>
        <w:outlineLvl w:val="0"/>
        <w:rPr>
          <w:rFonts w:eastAsia="Times New Roman"/>
          <w:szCs w:val="28"/>
          <w:lang w:eastAsia="ru-RU"/>
        </w:rPr>
      </w:pPr>
      <w:r w:rsidRPr="00571BC1">
        <w:rPr>
          <w:rFonts w:eastAsia="Times New Roman"/>
          <w:szCs w:val="28"/>
          <w:lang w:eastAsia="ru-RU"/>
        </w:rPr>
        <w:t>– прогноза социально-экономического развития Российской Федерации на период до 2036 года;</w:t>
      </w:r>
    </w:p>
    <w:p w:rsidR="00571BC1" w:rsidRPr="00571BC1" w:rsidRDefault="00571BC1" w:rsidP="00571BC1">
      <w:pPr>
        <w:overflowPunct w:val="0"/>
        <w:autoSpaceDE w:val="0"/>
        <w:autoSpaceDN w:val="0"/>
        <w:adjustRightInd w:val="0"/>
        <w:spacing w:after="0" w:line="240" w:lineRule="auto"/>
        <w:jc w:val="both"/>
        <w:textAlignment w:val="baseline"/>
        <w:rPr>
          <w:rFonts w:eastAsia="Times New Roman"/>
          <w:szCs w:val="20"/>
          <w:lang w:eastAsia="ru-RU"/>
        </w:rPr>
      </w:pPr>
      <w:r w:rsidRPr="00571BC1">
        <w:rPr>
          <w:rFonts w:eastAsia="Times New Roman"/>
          <w:szCs w:val="20"/>
          <w:lang w:eastAsia="ru-RU"/>
        </w:rPr>
        <w:tab/>
      </w:r>
      <w:r w:rsidRPr="00571BC1">
        <w:rPr>
          <w:rFonts w:eastAsia="Times New Roman"/>
          <w:szCs w:val="28"/>
          <w:lang w:eastAsia="ru-RU"/>
        </w:rPr>
        <w:t>–</w:t>
      </w:r>
      <w:r w:rsidRPr="00571BC1">
        <w:rPr>
          <w:rFonts w:eastAsia="Times New Roman"/>
          <w:szCs w:val="20"/>
          <w:lang w:eastAsia="ru-RU"/>
        </w:rPr>
        <w:t xml:space="preserve">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2021 год и на плановый период 2022 и 2023 годов;</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предварительного прогноза социально-экономического развития Мурманской области на 2021 год и на плановый период 2022 и 2023 годов;</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прогноза социально-экономического развития Мурманской области на период до 2035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муниципальных программ города Мурманска и государственных программ Мурманской области, реализуемых на территории муниципалитета;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сведений исполнительных органов государственной власти Мурманской области, территориальных подразделений иных органов власти;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информации предприятий, в том числе об инвестиционных проектах, планах развития;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статистической информации, предоставляемой Мурманскстатом.</w:t>
      </w:r>
    </w:p>
    <w:p w:rsidR="00571BC1" w:rsidRPr="00571BC1" w:rsidRDefault="00571BC1" w:rsidP="00571BC1">
      <w:pPr>
        <w:widowControl w:val="0"/>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Прогноз составлен в двух вариантах:</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первый вариант (базовый) предполагает консервативные</w:t>
      </w:r>
      <w:r w:rsidRPr="00571BC1">
        <w:rPr>
          <w:rFonts w:eastAsia="Times New Roman"/>
          <w:color w:val="FF0000"/>
          <w:szCs w:val="28"/>
          <w:lang w:eastAsia="ru-RU"/>
        </w:rPr>
        <w:t xml:space="preserve"> </w:t>
      </w:r>
      <w:r w:rsidRPr="00571BC1">
        <w:rPr>
          <w:rFonts w:eastAsia="Times New Roman"/>
          <w:szCs w:val="28"/>
          <w:lang w:eastAsia="ru-RU"/>
        </w:rPr>
        <w:t xml:space="preserve">траектории изменения внутренних и внешних факторов при сохранении основных тенденций изменения эффективности использования ресурсов (умеренный рост эффективности их использования);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второй вариант (целевой) основан на достижении целевых показателей социально-экономического развития и решении задач стратегического планирования в условиях активной реализации мер экономической политики, а </w:t>
      </w:r>
      <w:r w:rsidRPr="00571BC1">
        <w:rPr>
          <w:rFonts w:eastAsia="Times New Roman"/>
          <w:szCs w:val="28"/>
          <w:lang w:eastAsia="ru-RU"/>
        </w:rPr>
        <w:lastRenderedPageBreak/>
        <w:t xml:space="preserve">также на выполнении в полном объеме целей и задач, поставленных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при консервативных внешнеэкономических условиях.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bCs/>
          <w:kern w:val="32"/>
          <w:szCs w:val="28"/>
          <w:lang w:eastAsia="ru-RU"/>
        </w:rPr>
      </w:pPr>
      <w:r w:rsidRPr="00571BC1">
        <w:rPr>
          <w:rFonts w:eastAsia="Times New Roman"/>
          <w:bCs/>
          <w:kern w:val="32"/>
          <w:szCs w:val="28"/>
          <w:lang w:eastAsia="ru-RU"/>
        </w:rPr>
        <w:t>Демографические показатели</w:t>
      </w:r>
    </w:p>
    <w:p w:rsidR="00571BC1" w:rsidRPr="00571BC1" w:rsidRDefault="00571BC1" w:rsidP="00571BC1">
      <w:pPr>
        <w:widowControl w:val="0"/>
        <w:overflowPunct w:val="0"/>
        <w:autoSpaceDE w:val="0"/>
        <w:autoSpaceDN w:val="0"/>
        <w:adjustRightInd w:val="0"/>
        <w:spacing w:after="0" w:line="240" w:lineRule="auto"/>
        <w:ind w:firstLine="708"/>
        <w:textAlignment w:val="baseline"/>
        <w:rPr>
          <w:rFonts w:eastAsia="Times New Roman"/>
          <w:bCs/>
          <w:kern w:val="32"/>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Динамика показателей естественного движения населения города Мурманска в 2019 году по отношению к 2018 году характеризуется сокращением как числа родившихся, так и числа умерших. При этом показатель естественного прироста населения в 2019 году, как и в 2018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2019 году родилось 2 580 детей, что на 321 ребенка меньше, чем в </w:t>
      </w:r>
      <w:r w:rsidRPr="00571BC1">
        <w:rPr>
          <w:rFonts w:eastAsia="Times New Roman"/>
          <w:szCs w:val="28"/>
          <w:lang w:eastAsia="ru-RU"/>
        </w:rPr>
        <w:br/>
        <w:t xml:space="preserve">2018 году. Уровень рождаемости в городе снизился с 9,87 человек на </w:t>
      </w:r>
      <w:r w:rsidRPr="00571BC1">
        <w:rPr>
          <w:rFonts w:eastAsia="Times New Roman"/>
          <w:szCs w:val="28"/>
          <w:lang w:eastAsia="ru-RU"/>
        </w:rPr>
        <w:br/>
        <w:t xml:space="preserve">1000 населения в 2018 году до 8,89 человек на 1000 населения в 2019 году.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Вместе с тем в прогнозном периоде ожидается постепенное увеличение числа родившихся, что обусловлено мерами, принимаемыми в целях улучшения демографической обстановки, в том числе в рамках мероприятий муниципальных программ города Мурманска, направленных на реализацию на территории города национальных проектов Российской Федерации, утвержденных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частности национального проекта «Демография». Кроме того, ожидается положительное влияние на уровень рождаемости реализации комплекса мер, принимаемых в рамках указанного национального проекта на региональном уровне (адресные выплаты, материнский капитал, льготная ипотека).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Ожидается, что к концу 2020 года уровень рождаемости возрастет до </w:t>
      </w:r>
      <w:r w:rsidRPr="00571BC1">
        <w:rPr>
          <w:rFonts w:eastAsia="Times New Roman"/>
          <w:szCs w:val="28"/>
          <w:lang w:eastAsia="ru-RU"/>
        </w:rPr>
        <w:br/>
        <w:t>9,12 человек на 1000 населения, в 2025 году – до 9,84 человек на 1000 населения.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рамках муниципальных программ города Мурманска в целях поддержки уровня рождаемости реализуются мероприятия по предоставлению молодым и многодетным семьям социальных выплат на приобретение жилья (муниципальная программа города Мурманска «Управление имуществом и жилищная политика» на 2018-2024 годы). Так в 2019 году свидетельства о праве на получение социальной выплаты на приобретение (строительство) жилья получили 138 молодых и 12 многодетных семей. С использованием социальной выплаты улучшили свои жилищные условия 133 молодые семьи и </w:t>
      </w:r>
      <w:r w:rsidRPr="00571BC1">
        <w:rPr>
          <w:rFonts w:eastAsia="Times New Roman"/>
          <w:szCs w:val="28"/>
          <w:lang w:eastAsia="ru-RU"/>
        </w:rPr>
        <w:br/>
        <w:t xml:space="preserve">10 многодетных семей. Также 20 семьям в 2019 году предоставлены дополнительные социальные выплаты в связи с рождением (усыновлением) ребенка.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 xml:space="preserve">В соответствии с Законом Мурманской области от 19.12.2019                           №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с 01.01.2020 многодетные семьи в случае их согласия имеют право на предоставление меры социальной поддержки по обеспечению жилыми помещениями в виде единовременной денежной выплаты взамен предоставления им в собственность земельного участка. С учетом сложности жилищного строительства в условиях Крайнего Севера ожидается, что указанная мера будет способствовать повышению обеспеченности многодетных семей жильем и, соответственно, стимулировать увеличение рождаемости.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Кроме того, повышению уровня рождаемости во многом способствует повышение качества родовспоможения и медицинской помощи, оказываемой женщинам во время беременности и родов (в частности за счет реализации программы «Родовой сертификат»).</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Число умерших в 2019 году по сравнению с 2018 годом осталось практически неизменным и составило 3429 человек. Почти половина смертей по-прежнему вызвана болезнями системы кровообращения – 46,7%, 18,6% - злокачественными новообразованиями. Коэффициент смертности в 2019 году составил 11,82 человек на 1000 населения. При этом в текущем году ожидается увеличение коэффициента смертности до 12,6 человек на 1000 населения.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среднесрочном периоде в силу постоянного увеличения доли населения старше трудоспособного возраста уровень смертности достигнет уровня </w:t>
      </w:r>
      <w:r w:rsidRPr="00571BC1">
        <w:rPr>
          <w:rFonts w:eastAsia="Times New Roman"/>
          <w:szCs w:val="28"/>
          <w:lang w:eastAsia="ru-RU"/>
        </w:rPr>
        <w:br/>
        <w:t xml:space="preserve">13,28 человек на 1000 населения в 2025 году.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результате описанных выше тенденций уровень естественной убыли населения предположительно увеличится с 2,93 человек на 1000 населения в 2019 году до 3,48 человек на 1000 населения в 2020 году. В 2025 году данный показатель предположительно незначительно сократится до 3,45 человек на 1000 населения.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Главным фактором сокращения численности мурманчан по-прежнему остается значительный миграционный отток населения. В 2019 году миграционная убыль населения составила 3770 человек.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При этом отмечен значительный рост показателя по сравнению с уровнем 2018 года – на 1390 человек, или на 58,4%.</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2019 году было отмечено сокращение как числа прибывших, так и числа выбывших – на 22,2% до 9 889 человек и на 9,5% до 13 659 человек соответственно.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Сокращение количества выбывших является важным результатом реализации мер, направленных на повышение уровня жизни населения в рамках муниципальных программ города Мурманска, направленных на повышение комфорта городской среды, развитие системы образования, поддержку малого и среднего предпринимательства и т.д., а также региональных проектов, направленных на достижение целей национальных проектов Российской Федерации, и позволяет ожидать сглаживания отрицательного тренда механического движения населения в среднесрочном периоде.</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 xml:space="preserve">Так, несмотря на то что в прогнозном периоде предполагается сохранение отрицательного сальдо миграции, ожидается снижение темпов миграционного оттока населения с 12,99 человек на 1000 населения в 2019 году до </w:t>
      </w:r>
      <w:r w:rsidRPr="00571BC1">
        <w:rPr>
          <w:rFonts w:eastAsia="Times New Roman"/>
          <w:szCs w:val="28"/>
          <w:lang w:eastAsia="ru-RU"/>
        </w:rPr>
        <w:br/>
        <w:t xml:space="preserve">10,94 человек на 1000 населения в 2020 году и до 6,55 человек на </w:t>
      </w:r>
      <w:r w:rsidRPr="00571BC1">
        <w:rPr>
          <w:rFonts w:eastAsia="Times New Roman"/>
          <w:szCs w:val="28"/>
          <w:lang w:eastAsia="ru-RU"/>
        </w:rPr>
        <w:br/>
        <w:t>1000 населения в 2025 году за счет увеличивающейся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 Арктической зоны Российской Федерации (в том числе в составе вновь созданной территории опережающего социально-экономического развития «Столица Арктики»), а также за счет общего повышения уровня жизни населения города.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результате отрицательных демографических тенденций среднегодовая численность населения города Мурманска в 2019 году сократилась на </w:t>
      </w:r>
      <w:r w:rsidRPr="00571BC1">
        <w:rPr>
          <w:rFonts w:eastAsia="Times New Roman"/>
          <w:szCs w:val="28"/>
          <w:lang w:eastAsia="ru-RU"/>
        </w:rPr>
        <w:br/>
        <w:t xml:space="preserve">3 063 человека и составила 290,16 тыс. человек. С учетом наблюдаемых в </w:t>
      </w:r>
      <w:r w:rsidRPr="00571BC1">
        <w:rPr>
          <w:rFonts w:eastAsia="Times New Roman"/>
          <w:szCs w:val="28"/>
          <w:lang w:eastAsia="ru-RU"/>
        </w:rPr>
        <w:br/>
        <w:t xml:space="preserve">первом полугодии 2020 года уровней естественного и механического движения населения ожидаемая среднегодовая численность населения в 2020 году составит 285,79 тыс. человек.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прогнозном периоде в результате описанных выше негативных тенденций ожидается дальнейшее сокращение численности населения города Мурманска. В 2025 году среднегодовая численность населения предположительно составит 267,87 тыс. человек.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На улучшение демографической ситуации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т.д.</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Ключевым риском ухудшения демографической ситуации, учтенным в базовом варианте прогноза, может стать увеличение миграционного оттока населения в случае отмены реализации крупных инвестиционных проектов, а также в случае роста безработицы. Кроме того,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bCs/>
          <w:szCs w:val="28"/>
          <w:lang w:eastAsia="ru-RU"/>
        </w:rPr>
      </w:pPr>
      <w:r w:rsidRPr="00571BC1">
        <w:rPr>
          <w:rFonts w:eastAsia="Times New Roman"/>
          <w:bCs/>
          <w:szCs w:val="28"/>
          <w:lang w:eastAsia="ru-RU"/>
        </w:rPr>
        <w:t>Производство товаров и услуг</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highlight w:val="yellow"/>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xml:space="preserve">В 2019 году темп роста промышленного производства составил 112,9% к 2018 году. Индекс промышленного производства в сопоставимых ценах с учетом среднеобластных индексов-дефляторов по основным видам экономической деятельности составил 116,2% к 2018 году.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xml:space="preserve">Объем отгруженных товаров собственного производства, выполненных работ и услуг собственными силами организаций по видам деятельности, относящимся к промышленному производству по крупным и средним предприятиям, в 2019 году составил 116,1 млрд. руб. благодаря росту </w:t>
      </w:r>
      <w:r w:rsidRPr="00571BC1">
        <w:rPr>
          <w:rFonts w:eastAsia="Times New Roman"/>
          <w:bCs/>
          <w:szCs w:val="28"/>
          <w:lang w:eastAsia="ru-RU"/>
        </w:rPr>
        <w:lastRenderedPageBreak/>
        <w:t xml:space="preserve">показателя в сферах обрабатывающей промышленности в части производства пищевых продуктов до 76,9 млрд. руб. (107,7%), производства прочих транспортных средств и оборудования до 6,8 млрд. руб. (в 1,9 раза).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Основную долю в структуре отгрузки обрабатывающей промышленности (94,4 млрд. руб.) занимает производство пищевых продуктов (81%), что связано с высокими показателями по переработке и консервированию рыбы, ракообразных и моллюсков, которые, в свою очередь, составили 93% в объеме производства пищевых продуктов в 2019 году.</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xml:space="preserve">Согласно Сводной стратегии развития обрабатывающей промышленности Российской Федерации до 2024 года и на период до 2035 года промышленные предприятия являются ключевыми работодателями, успешно совмещающими рост производительности труда и увеличение занятости. Так среднесписочная численность работников по виду деятельности «Обрабатывающие производства» за период с начала 2019 года составила </w:t>
      </w:r>
      <w:r w:rsidRPr="00571BC1">
        <w:rPr>
          <w:rFonts w:eastAsia="Times New Roman"/>
          <w:bCs/>
          <w:szCs w:val="28"/>
          <w:lang w:eastAsia="ru-RU"/>
        </w:rPr>
        <w:br/>
        <w:t xml:space="preserve">5 751 человек (102,8% к 2018 году), рост среднемесячной номинально начисленной заработной платы составил 13,5% по сравнению с 2018 годом – </w:t>
      </w:r>
      <w:r w:rsidRPr="00571BC1">
        <w:rPr>
          <w:rFonts w:eastAsia="Times New Roman"/>
          <w:bCs/>
          <w:szCs w:val="28"/>
          <w:lang w:eastAsia="ru-RU"/>
        </w:rPr>
        <w:br/>
        <w:t>65,8 тыс. рублей.</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Перспективы развития обрабатывающей промышленности связаны с развитием рыбохозяйственного комплекса и Мурманского транспортного узла, обеспечивающими функционирование рыбоперерабатывающих и судоремонтных производств, а также внедрением инновационных видов деятельности.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Во исполнение постановления Правительства Российской Федерации </w:t>
      </w:r>
      <w:r w:rsidRPr="00571BC1">
        <w:rPr>
          <w:rFonts w:eastAsia="Times New Roman"/>
          <w:szCs w:val="28"/>
          <w:lang w:eastAsia="ru-RU"/>
        </w:rPr>
        <w:br/>
        <w:t>от 25.05.2017 № 632 «О подготовке и заключении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и (или) прибрежного рыболовства» в городе Мурманске с 2019 года реализуются инвестиционные проекты по строительству рыбодобывающих судов и рыбоперерабатывающих заводов.</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В августе 2019 года состоялся запуск производства на новом рыбоперерабатывающем заводе «Русская треска». Суммарная производительность объекта – свыше 50 тонн готовой продукции в сутки (замороженное филе, стейки, фарш). Завод оснащен передовым оборудованием, в том числе роботизированной линией разделки филе. Проект реализован в рамках государственной программы поддержки модернизации рыбоперерабатывающей отрасли. Предприятие получило квоты на добычу </w:t>
      </w:r>
      <w:r w:rsidRPr="00571BC1">
        <w:rPr>
          <w:rFonts w:eastAsia="Times New Roman"/>
          <w:szCs w:val="28"/>
          <w:lang w:eastAsia="ru-RU"/>
        </w:rPr>
        <w:br/>
        <w:t>1600 тонн трески и 500 тонн пикши. Данному проекту присвоен статус приоритетного инвестиционного проекта Мурманской области в соответствии с постановлением Правительства Мурманской области от 12.05.2020 № 298-ПП. Объем инвестиций по проекту оценивается в 676 млн. рублей, количество созданных рабочих мест – 130. Предоставлена поддержка в форме льготы по налогу на имущество организаций сроком на три года.</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В 2019-2020 годах реализован инвестиционный проект ООО «Парк» по строительству двух заводов малой мощности по переработке трески, пикши и других видов рыб – не менее восьми тонн готовой продукции в сутки каждый. </w:t>
      </w:r>
      <w:r w:rsidRPr="00571BC1">
        <w:rPr>
          <w:rFonts w:eastAsia="Times New Roman"/>
          <w:szCs w:val="28"/>
          <w:lang w:eastAsia="ru-RU"/>
        </w:rPr>
        <w:lastRenderedPageBreak/>
        <w:t>Прибрежное производство двух заводов организовано с использованием инвестиционной квоты на вылов трески и пикши. В соответствии с постановлением Правительства Мурманской области от 12.05.2020 № 297-ПП данному инвестиционному проекту по строительству двух заводов малой мощности по переработке трески, пикши и других видов рыб и монтажу очистных сооружений и энергообеспечивающей инфраструктуры присвоен статус приоритетного инвестиционного проекта Мурманской области. Объем инвестиций по проекту оценивается в 192 млн. рублей, количество созданных рабочих мест – 88.</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 концу 2020 году планируется запуск завода «Русская пикша» с объемом производства не менее 25 тонн филе и фарша в сутки. Инвестиции в строительство составят порядка 250-300 млн. руб. Под будущее предприятие выделяется квота около 1 000 тонн трески и пикши.</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Кроме того, в 2020 году выданы разрешения на ввод следующих объектов:</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ООО «КЕДР ПЛЮС» – рыбообрабатывающее предприятие (как имущественный комплекс) производительностью 25 тонн готовой продукции в сутки и не менее трех тонн в сутки продукции из отходов рыбного производства»;</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ООО «Причал-Л» – «Завод – объект капитального строительства по переработке трески, пикши и иных рыб малой мощности».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Ввод в строй 12 рыболовных траулеров (АО «Стрелец», АО «Эридан», АО «Мурмансельдь-2», ООО «РК «Заря», ООО Компания «Андромеда», </w:t>
      </w:r>
      <w:r w:rsidRPr="00571BC1">
        <w:rPr>
          <w:rFonts w:eastAsia="Times New Roman"/>
          <w:szCs w:val="28"/>
          <w:lang w:eastAsia="ru-RU"/>
        </w:rPr>
        <w:br/>
        <w:t xml:space="preserve">ООО «Компания ЛКТ», АО «Карат-1», АО «Мурманский губернский флот», ООО «Норд Пилигрим», АО «Рыбпроминвест») увеличит производство продукции с высокой добавленной стоимостью и позволит сохранить развитие пищевой промышленности в целевом варианте прогноза.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В 2019 году отмечен рост производства прочих транспортных средств и оборудования (232,4% к уровню 2018 года), а именно в производстве медицинских инструментов и оборудования (220,1% к 2018 году) и производстве железнодорожных локомотивов и подвижного состава (108,2% к 2018 году).</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Незначительное снижение производства в 2019 году наблюдалось по виду деятельности «Ремонт и монтаж машин и оборудования» (94,2% к 2018 году). Индекс производства составил 85,1% с учетом областных индексов-дефляторов в результате уменьшения объема отгрузки работ и услуг по ремонту и техническому обслуживанию судов и лодок.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Реализация проектов филиала «35 Судоремонтный завод» АО «Центр судоремонта «Звездочка» по техническому перевооружению производственных мощностей, реконструкции и техническому перевооружению двухкамерного сухого дока, а также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w:t>
      </w:r>
      <w:r w:rsidRPr="00571BC1">
        <w:rPr>
          <w:rFonts w:eastAsia="Times New Roman"/>
          <w:szCs w:val="28"/>
          <w:lang w:eastAsia="ru-RU"/>
        </w:rPr>
        <w:br/>
        <w:t xml:space="preserve">АО «Центр судоремонта «Звездочка» позволит увеличить производственные мощности предприятий и обеспечить рост промышленного производства по </w:t>
      </w:r>
      <w:r w:rsidRPr="00571BC1">
        <w:rPr>
          <w:rFonts w:eastAsia="Times New Roman"/>
          <w:szCs w:val="28"/>
          <w:lang w:eastAsia="ru-RU"/>
        </w:rPr>
        <w:lastRenderedPageBreak/>
        <w:t xml:space="preserve">видам деятельности «Производство прочих транспортных средств и оборудования» и «Ремонт и монтаж машин и оборудования» в 2021-2025 годах. Проект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районе Росляково г. Мурманска на базе </w:t>
      </w:r>
      <w:r w:rsidRPr="00571BC1">
        <w:rPr>
          <w:rFonts w:eastAsia="Times New Roman"/>
          <w:szCs w:val="28"/>
          <w:lang w:eastAsia="ru-RU"/>
        </w:rPr>
        <w:br/>
        <w:t xml:space="preserve">АО «82 Судоремонтный завод», реализуемый ПАО «НК «Роснефть» и </w:t>
      </w:r>
      <w:r w:rsidRPr="00571BC1">
        <w:rPr>
          <w:rFonts w:eastAsia="Times New Roman"/>
          <w:szCs w:val="28"/>
          <w:lang w:eastAsia="ru-RU"/>
        </w:rPr>
        <w:br/>
        <w:t>АО «82 Судоремонтный завод», а также проект по реконструкции Мурманской базы ООО «Газпром флот» для обеспечения работ на арктическом шельфе Российской Федерации (участки № 1 и № 2) в целевом варианте прогноза также позволят увеличить рост промышленного производства с 2021 года, а также реализовать перспективы города Мурманска как форпоста России при освоении Арктики.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4"/>
          <w:shd w:val="clear" w:color="auto" w:fill="FFFFFF"/>
          <w:lang w:eastAsia="ru-RU"/>
        </w:rPr>
      </w:pPr>
      <w:r w:rsidRPr="00571BC1">
        <w:rPr>
          <w:rFonts w:eastAsia="Times New Roman"/>
          <w:szCs w:val="24"/>
          <w:shd w:val="clear" w:color="auto" w:fill="FFFFFF"/>
          <w:lang w:eastAsia="ru-RU"/>
        </w:rPr>
        <w:t>Так в целях создания условий для укрепления экономических позиций Российской Федерации в Арктической зоне Российской Федерации, обеспечения региона конкурентными преимуществами для привлечения инвесторов, создания промышленных, транспортно-логистических и туристских объектов, стимулирования социально-экономического развития Мурманской области посредством создания дополнительных рабочих мест, привлечения инвестиций и увеличения налоговых поступлений в местный бюджет, в соответствии с постановлением Правительства Российской Федерации от 12.05.2020 № 656 «О создании территории опережающего социально-экономического развития «Столица Арктики» на территориях муниципального образования «Кольский район» и городского округа «Город Мурманск» Мурманской области создана территория опережающего социально-экономического развития «Столица Арктики» (далее – ТОР «Столица Арктики»).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4"/>
          <w:shd w:val="clear" w:color="auto" w:fill="FFFFFF"/>
          <w:lang w:eastAsia="ru-RU"/>
        </w:rPr>
      </w:pPr>
      <w:r w:rsidRPr="00571BC1">
        <w:rPr>
          <w:rFonts w:eastAsia="Times New Roman"/>
          <w:szCs w:val="24"/>
          <w:shd w:val="clear" w:color="auto" w:fill="FFFFFF"/>
          <w:lang w:eastAsia="ru-RU"/>
        </w:rPr>
        <w:t>Для резидентов ТОР «Столица Арктики» действует комплекс налоговых преференций. Так снижен общий размер страховых взносов с 30% до 7,6% на 10 лет, обнулен федеральный налог на прибыль на пять лет, региональная часть снижена до 5% в первые пять лет, в последующие пять лет – до 10%, также на три года обнулен налог на землю и на пять лет – налог на имущество. Помимо этого, резидентам предоставляются неналоговые льготы: предоставление земельных участков в аренду без торгов, проведение плановых проверок сокращено до 15 дней, а внеплановых – до пяти дней, действует особый порядок градостроительного регламента и другие.</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4"/>
          <w:shd w:val="clear" w:color="auto" w:fill="FFFFFF"/>
          <w:lang w:eastAsia="ru-RU"/>
        </w:rPr>
      </w:pPr>
      <w:r w:rsidRPr="00571BC1">
        <w:rPr>
          <w:rFonts w:eastAsia="Times New Roman"/>
          <w:szCs w:val="24"/>
          <w:shd w:val="clear" w:color="auto" w:fill="FFFFFF"/>
          <w:lang w:eastAsia="ru-RU"/>
        </w:rPr>
        <w:t xml:space="preserve">Планируется, что ТОР «Столица Арктики» позволит создать не менее 1500 новых рабочих мест. Общий объем инвестиций составит более 125 млрд. рублей, совокупные поступления в региональный бюджет до </w:t>
      </w:r>
      <w:r w:rsidRPr="00571BC1">
        <w:rPr>
          <w:rFonts w:eastAsia="Times New Roman"/>
          <w:szCs w:val="24"/>
          <w:shd w:val="clear" w:color="auto" w:fill="FFFFFF"/>
          <w:lang w:eastAsia="ru-RU"/>
        </w:rPr>
        <w:br/>
        <w:t>2035 года – 45,2 млрд. руб., местный бюджет – 0,67 млрд. руб.</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4"/>
          <w:lang w:eastAsia="ru-RU"/>
        </w:rPr>
      </w:pPr>
      <w:r w:rsidRPr="00571BC1">
        <w:rPr>
          <w:rFonts w:eastAsia="Times New Roman"/>
          <w:szCs w:val="24"/>
          <w:shd w:val="clear" w:color="auto" w:fill="FFFFFF"/>
          <w:lang w:eastAsia="ru-RU"/>
        </w:rPr>
        <w:t xml:space="preserve">Одним из якорных инвесторов в составе ТОР «Столица Арктики» является ООО «Морской терминал Тулома» с инвестиционным проектом создания в морском порту Мурманск терминала минеральных удобрений и апатитового концентрата. Данный инвестиционный проект направлен на </w:t>
      </w:r>
      <w:r w:rsidRPr="00571BC1">
        <w:rPr>
          <w:rFonts w:eastAsia="Times New Roman"/>
          <w:szCs w:val="24"/>
          <w:shd w:val="clear" w:color="auto" w:fill="FFFFFF"/>
          <w:lang w:eastAsia="ru-RU"/>
        </w:rPr>
        <w:lastRenderedPageBreak/>
        <w:t xml:space="preserve">создание в морском порту Мурманск новых перегрузочных мощностей для перевалки экспортируемых минеральных удобрений и апатитового концентрата с железнодорожного на морской транспорт. Планируемый срок реализации проекта – с 2020 по 2023 год, проект предполагает создание 234 рабочих мест, при этом необходимость привлечения иностранной рабочей силы отсутствует. Постановлением Правительства Мурманской области от 12.05.2020 № 296-ПП данному проекту присвоен статус стратегического инвестиционного проекта Мурманской области.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xml:space="preserve">Наиболее прибыльной сферой производства товаров и услуг остается сфера рыбоводства, рыболовства. Сальдированный финансовый результат деятельности предприятий рыболовства, рыбоводства за январь-ноябрь </w:t>
      </w:r>
      <w:r w:rsidRPr="00571BC1">
        <w:rPr>
          <w:rFonts w:eastAsia="Times New Roman"/>
          <w:bCs/>
          <w:szCs w:val="28"/>
          <w:lang w:eastAsia="ru-RU"/>
        </w:rPr>
        <w:br/>
        <w:t xml:space="preserve">2019 года составил 47 млрд. руб., или 132,3% к аналогичному периоду </w:t>
      </w:r>
      <w:r w:rsidRPr="00571BC1">
        <w:rPr>
          <w:rFonts w:eastAsia="Times New Roman"/>
          <w:bCs/>
          <w:szCs w:val="28"/>
          <w:lang w:eastAsia="ru-RU"/>
        </w:rPr>
        <w:br/>
        <w:t xml:space="preserve">2018 года, прибыль увеличилась на 32% по сравнению с январем-ноябрем </w:t>
      </w:r>
      <w:r w:rsidRPr="00571BC1">
        <w:rPr>
          <w:rFonts w:eastAsia="Times New Roman"/>
          <w:bCs/>
          <w:szCs w:val="28"/>
          <w:lang w:eastAsia="ru-RU"/>
        </w:rPr>
        <w:br/>
        <w:t>2018 года. Средняя заработная плата в данной сфере остается одной из самых высоких в городе – 181,2 тыс. руб. (102,7% к 2018 году), которая в 2,4 раза превышает среднемесячную номинально начисленную заработную плату по городу (74,3 тыс. руб.).</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szCs w:val="28"/>
          <w:lang w:eastAsia="ru-RU"/>
        </w:rPr>
        <w:t>В 2019 году объем отгруженной продукции предприятиями рыболовства, рыбоводства в действующих ценах увеличился до 77,2 млрд. руб., или на 20,3% (к уровню 2018 года), в натуральном выражении – 543,3 тыс. тонн (рыба переработанная и консервированная, ракообразные и моллюски).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Развитию рыбной промышленности в прогнозном периоде будет способствовать реализация инвестиционных проектов в рамках выделенных инвестквот (обозначены выше).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Согласно данным ФГБНУ «ВНИРО», объем вылова того или иного вида водных биологических ресурсов (далее – ВБР) в Северном рыбохозяйственном бассейне в 2020-2025 годах зависит от состояния его популяции, характеризуемого численностью и биомассой. Состояние популяции зависит от многих факторов, важнейшим из которых является изменчивость условий среды обитания под воздействием региональных и глобальных изменений климата. Эта изменчивость определяет уровень пополнения, темпы роста, выживаемость и географическое распределение отдельных промысловых скоплений.</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Исследования, проведенные в ФГБНУ «ВНИРО», в том числе</w:t>
      </w:r>
      <w:r w:rsidRPr="00571BC1">
        <w:rPr>
          <w:rFonts w:eastAsia="Times New Roman"/>
          <w:szCs w:val="28"/>
          <w:lang w:eastAsia="ru-RU"/>
        </w:rPr>
        <w:br/>
        <w:t>в его Полярном филиале «ПИНРО им. Н.М. Книповича», позволили выявить статистические связи изменений численности и биомассы основных промысловых объектов Северного рыбохозяйственного бассейна с различными климато-океанологическими характеристиками. Эти связи стали основой</w:t>
      </w:r>
      <w:r w:rsidRPr="00571BC1">
        <w:rPr>
          <w:rFonts w:eastAsia="Times New Roman"/>
          <w:szCs w:val="28"/>
          <w:lang w:eastAsia="ru-RU"/>
        </w:rPr>
        <w:br/>
        <w:t>для разработки прогностических оценок вылова ключевых видов ВБР</w:t>
      </w:r>
      <w:r w:rsidRPr="00571BC1">
        <w:rPr>
          <w:rFonts w:eastAsia="Times New Roman"/>
          <w:szCs w:val="28"/>
          <w:lang w:eastAsia="ru-RU"/>
        </w:rPr>
        <w:br/>
        <w:t>на период 2021-2030 годов.</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Основным объектом российского промысла в Баренцевом море является северо-восточная арктическая треска. Динамику запаса трески в ближайшие годы можно представить следующим образом. Предположительно, до </w:t>
      </w:r>
      <w:r w:rsidRPr="00571BC1">
        <w:rPr>
          <w:rFonts w:eastAsia="Times New Roman"/>
          <w:szCs w:val="28"/>
          <w:lang w:eastAsia="ru-RU"/>
        </w:rPr>
        <w:br/>
        <w:t xml:space="preserve">2023-2024 годов будет продолжаться снижение запаса из-за высокой смертности старшевозрастных рыб и малоурожайных поколений </w:t>
      </w:r>
      <w:r w:rsidRPr="00571BC1">
        <w:rPr>
          <w:rFonts w:eastAsia="Times New Roman"/>
          <w:szCs w:val="28"/>
          <w:lang w:eastAsia="ru-RU"/>
        </w:rPr>
        <w:br/>
      </w:r>
      <w:r w:rsidRPr="00571BC1">
        <w:rPr>
          <w:rFonts w:eastAsia="Times New Roman"/>
          <w:szCs w:val="28"/>
          <w:lang w:eastAsia="ru-RU"/>
        </w:rPr>
        <w:lastRenderedPageBreak/>
        <w:t xml:space="preserve">2007-2013 года рождения. Соответственно, вылов трески будет меняться от 330-350 тыс. тонн в 2020-2022 годах до 280-310 тыс. тонн в 2023-2025 годах. Ожидается, что благоприятные условия воспроизводства трески в </w:t>
      </w:r>
      <w:r w:rsidRPr="00571BC1">
        <w:rPr>
          <w:rFonts w:eastAsia="Times New Roman"/>
          <w:szCs w:val="28"/>
          <w:lang w:eastAsia="ru-RU"/>
        </w:rPr>
        <w:br/>
        <w:t>2016-2017 годах обусловили высокую выживаемость этих поколений, которые, войдя в запас в 2022-2023 годах, приостановят его падение и вновь обеспечат рост уловов во второй половине 2020 года до 330-350 тыс. тонн.</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период 2020-2024 годов ожидаемый вылов</w:t>
      </w:r>
      <w:r w:rsidRPr="00571BC1">
        <w:rPr>
          <w:rFonts w:eastAsia="Times New Roman"/>
          <w:b/>
          <w:szCs w:val="28"/>
          <w:lang w:eastAsia="ru-RU"/>
        </w:rPr>
        <w:t xml:space="preserve"> </w:t>
      </w:r>
      <w:r w:rsidRPr="00571BC1">
        <w:rPr>
          <w:rFonts w:eastAsia="Times New Roman"/>
          <w:szCs w:val="28"/>
          <w:lang w:eastAsia="ru-RU"/>
        </w:rPr>
        <w:t>северо-восточной арктической пикши составит 100-130 тыс. тонн. В последующие годы уловы будут постепенно снижаться от 110-120 тыс. тонн в 2025 году.</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Запас путассу в Норвежском море будет находиться на довольно высоком уровне до 2030 года. Ее российский улов может составить 175-195 тыс. тонн в </w:t>
      </w:r>
      <w:r w:rsidRPr="00571BC1">
        <w:rPr>
          <w:rFonts w:eastAsia="Times New Roman"/>
          <w:szCs w:val="28"/>
          <w:lang w:eastAsia="ru-RU"/>
        </w:rPr>
        <w:br/>
        <w:t>2020-2021 годах, 210-230 тыс. тонн в 2022-2025 годах.</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сфере рыболовства планируется продолжить государственную поддержку организаций, занимающихся товарным выращиванием рыбы, в форме предоставления субсидии на возмещение части затрат на уплату процентов по кредитам, полученным в российских кредитных организациях на развитие аквакультуры, в том числе в рамках государственной программы Российской Федерации «Развитие рыбохозяйственного комплекса».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С учетом прогноза вылова водных биологических ресурсов темп роста производственных показателей предприятий рыболовства, рыбоводства в </w:t>
      </w:r>
      <w:r w:rsidRPr="00571BC1">
        <w:rPr>
          <w:rFonts w:eastAsia="Times New Roman"/>
          <w:szCs w:val="28"/>
          <w:lang w:eastAsia="ru-RU"/>
        </w:rPr>
        <w:br/>
        <w:t>2021-2025 годах составит 104,0% ежегодно.</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Индекс производства в сфере обеспечения электрической энергией, газом и паром, кондиционирования воздуха с учетом областного индекса-дефлятора в 2019 году составил 99,6%. Объем производства в 2019 году по данному виду экономической деятельности составил 11,3 млрд. руб., или 101,2% к 2018 году. На конец 2019 года количество организаций составило 38 единиц, что на 22,4% меньше аналогичного периода 2018 года. Сальдированный финансовый результат составил 1,8 млрд. руб. В связи с увеличением роста доходов прибыль организаций с данным видом деятельности увеличилась в 7,5 раза по сравнению с 2018 годом.</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связи с тем, что основным потребителем теплоэнергии, сжиженного газа и воды является население, численность которого сохраняет устойчивую тенденцию к снижению, а большую часть электроэнергии потребляют промышленные предприятия, дальнейшее развитие сферы производства и распределения электроэнергии, газа и воды будет в большей степени зависеть от экономической активности и состояния промышленных предприятий города. Рост энергопотребления будет также сдерживать реализация мер по повышению энергоэффективности экономики, разработка и внедрение энергосберегающих технологий, выбытие неэффективных мощностей, сокращение потерь энергии.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Для развития материально-технической базы объектов электроснабжения, обеспечения энергетической безопасности, надежного и качественного электроснабжения существующих потребителей и перспективных площадок застройки, создания технической возможности для подключения к электрическим сетям новых потребителей в городе, повышения эффективности </w:t>
      </w:r>
      <w:r w:rsidRPr="00571BC1">
        <w:rPr>
          <w:rFonts w:eastAsia="Times New Roman"/>
          <w:szCs w:val="28"/>
          <w:lang w:eastAsia="ru-RU"/>
        </w:rPr>
        <w:lastRenderedPageBreak/>
        <w:t xml:space="preserve">работы систем централизованного теплоснабжения и повышения надежности теплоснабжения потребителей реализуются инвестиционные проекты по строительству и реконструкции объектов электроснабжения филиала </w:t>
      </w:r>
      <w:r w:rsidRPr="00571BC1">
        <w:rPr>
          <w:rFonts w:eastAsia="Times New Roman"/>
          <w:szCs w:val="28"/>
          <w:lang w:eastAsia="ru-RU"/>
        </w:rPr>
        <w:br/>
        <w:t xml:space="preserve">ПАО «МРСК Северо-Запада» «Колэнерго», АО «Мурманэнергосбыт», филиала «КолАтомЭнергоСбыт», АО «МОЭСК».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Так в 2019 году реализован инвестиционный проект АО «МОЭСК» по техническому перевооружению и реконструкции электросетевых объектов. Данный инвестиционный проект также планируется к реализации в 2020-2024 годах.</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прогнозном периоде АО «Мурманэнергосбыт» планируется к реализации инвестиционный проект «Повышение эффективности работы систем централизованного теплоснабжения и повышения надежности теплоснабжения потребителей:</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резервная дизельная котельная ГОБУЗ «Мурманский областной противотуберкулезный диспансер»;</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резервная дизельная котельная ГОБУЗ «Мурманский областной перинатальный центр».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Таким образом, в прогнозном периоде ожидается сохранение объема производства по виду деятельности «Обеспечение электрической энергией, газом и паром; кондиционирование воздуха».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Объем производства в сфере водоснабжения, водоотведения, организации сбора и утилизации отходов, деятельности по ликвидации загрязнений составил в 2019 году 4,4 млрд. руб., что выше уровня 2018 года на 9,6%. Индекс производства составил 97,7%.</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Перспективы развития в данной сфере связаны с планируемым строительством ГОУП «Мурманскводоканал» Южных очистных сооружений канализации в целях обеспечения глубокой биологической очистки сточных вод и снижения негативного воздействия на Кольский залив, а также внедрением новой системы переработки и утилизации твердых бытовых отходов. Также в стадии реализации находится инвестиционный проект </w:t>
      </w:r>
      <w:r w:rsidRPr="00571BC1">
        <w:rPr>
          <w:rFonts w:eastAsia="Times New Roman"/>
          <w:szCs w:val="28"/>
          <w:lang w:eastAsia="ru-RU"/>
        </w:rPr>
        <w:br/>
        <w:t>АО «Мурманская ТЭЦ» по реконструкции и модернизации существующих источников теплоснабжения, повышению экологической и энергетической эффективности, обеспечению физической защиты предприятия, реконструкции тепловых сетей.</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Следует отметить, что реализация проекта Мурманского транспортного узла, а также экспортно-сырьевая направленность экономики региона определяет дальнейшее развитие города в качестве перевалочного транспортного пункта, что будет способствовать дальнейшему увеличению показателей деятельности сервисных отраслей по обслуживанию транспортного флота. </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571BC1">
        <w:rPr>
          <w:rFonts w:eastAsia="Times New Roman"/>
          <w:bCs/>
          <w:szCs w:val="28"/>
          <w:lang w:eastAsia="ru-RU"/>
        </w:rPr>
        <w:t xml:space="preserve">Таким образом, в базовом варианте прогноза планируется сохранение индекса промышленного производства на уровне 101,0-103,0% ежегодно.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w:t>
      </w:r>
      <w:r w:rsidRPr="00571BC1">
        <w:rPr>
          <w:rFonts w:eastAsia="Times New Roman"/>
          <w:bCs/>
          <w:szCs w:val="28"/>
          <w:lang w:eastAsia="ru-RU"/>
        </w:rPr>
        <w:br/>
      </w:r>
      <w:r w:rsidRPr="00571BC1">
        <w:rPr>
          <w:rFonts w:eastAsia="Times New Roman"/>
          <w:bCs/>
          <w:szCs w:val="28"/>
          <w:lang w:eastAsia="ru-RU"/>
        </w:rPr>
        <w:lastRenderedPageBreak/>
        <w:t>2025 году предположительно составит 140 млрд. руб. Целевой вариант прогноза предусматривает увеличение объемов производства до 106% ежегодно; соответствующий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2025 году составит 164 млрд. руб.</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Ключевыми рисками недостижения прогнозных значений показателей производства товаров и услуг являются: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условия высокой неопределенности из-за непредсказуемости снятия карантинных мер в условиях распространения новой коронавирусной инфекции (</w:t>
      </w:r>
      <w:r w:rsidRPr="00571BC1">
        <w:rPr>
          <w:rFonts w:eastAsia="Times New Roman"/>
          <w:szCs w:val="28"/>
          <w:lang w:val="en-US" w:eastAsia="ru-RU"/>
        </w:rPr>
        <w:t>COVID</w:t>
      </w:r>
      <w:r w:rsidRPr="00571BC1">
        <w:rPr>
          <w:rFonts w:eastAsia="Times New Roman"/>
          <w:szCs w:val="28"/>
          <w:lang w:eastAsia="ru-RU"/>
        </w:rPr>
        <w:t xml:space="preserve">-19);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санитарно-эпидемиологическая обстановка, определяющая скорость открытия и восстановления экономики;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«последующие волны» пандемии, других инфекционных заболеваний с увеличением их масштаба и продолжительности, с введением ограничений работы крупных производств и бизнеса;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отсрочка реализации инвестиционных проектов на территории города Мурманска;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принятие собственниками предприятий на территории города Мурманска управленческих решений, которые могут оказать негативное влияние на социально-экономическое положение города.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Вспышка новой коронавирусной инфекции пока не оказывает существенного негативного влияния на промышленное развитие города Мурманска. В рамках борьбы с распространением вируса системообразующие предприятия города Мурманска предпринимают необходимые меры по защите своих сотрудников и сохраняют производственные процессы в штатном режиме. Крупные инвестиционные проекты в городе Мурманске реализуются в соответствии с намеченными планами.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Рынок товаров и услуг</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b/>
          <w:bCs/>
          <w:szCs w:val="28"/>
          <w:lang w:eastAsia="ru-RU"/>
        </w:rPr>
      </w:pPr>
    </w:p>
    <w:p w:rsidR="00571BC1" w:rsidRPr="00571BC1" w:rsidRDefault="00571BC1" w:rsidP="00571BC1">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Одним из приоритетных направлений деятельности органов местного самоуправления является развитие и регулирование потребительского рынка.</w:t>
      </w:r>
    </w:p>
    <w:p w:rsidR="00571BC1" w:rsidRPr="00571BC1" w:rsidRDefault="00571BC1" w:rsidP="00571BC1">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Потребительский рынок является инструментом формирования потребительских ценностей и удовлетворения потребностей населения; обеспечивает денежное обращение; создает новые рабочие места для населения; формирует сферу деятельности большого числа организаций и предприятий; прямо и косвенно воздействует на развитие других рынков. В структуру потребительского рынка включают три основные сферы: торговля, общественное питание и бытовое обслуживание, которые представляют собой совокупность товарных рынков и рынков услуг.</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сфере торговли зарегистрирована треть организаций города, занято 5,8% работников крупных и средних предприятий, осуществляются инвестиции в модернизацию торговых объектов, сохраняется положительный сальдированный финансовый результат деятельности.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 xml:space="preserve">Оборот розничной торговли по итогам 2019 года составил 41,5 млрд. руб., темп роста к предыдущему году - 103,2% (в 2018 году – 40,2 млрд. руб.), индекс физического объема - 97,9% (в сопоставимых ценах).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По состоянию на 01.01.2020 в городе Мурманске функционировало </w:t>
      </w:r>
      <w:r w:rsidRPr="00571BC1">
        <w:rPr>
          <w:rFonts w:eastAsia="Times New Roman"/>
          <w:szCs w:val="28"/>
          <w:lang w:eastAsia="ru-RU"/>
        </w:rPr>
        <w:br/>
        <w:t xml:space="preserve">1580 стационарных магазинов (из них 558 продовольственных и </w:t>
      </w:r>
      <w:r w:rsidRPr="00571BC1">
        <w:rPr>
          <w:rFonts w:eastAsia="Times New Roman"/>
          <w:szCs w:val="28"/>
          <w:lang w:eastAsia="ru-RU"/>
        </w:rPr>
        <w:br/>
        <w:t>1022 непродовольственных), один универсальный розничный рынок, четыре постоянно действующие ярмарки и 71 выставка-ярмарка на площадках семи хозяйствующих субъектов, а также 237 нестационарных торговых объектов, в том числе павильоны и киоски – 197 ед., павильоны и киоски, расположенные в торгово-остановочных комплексах, – 13 ед., мобильные торговые объекты (автолавки и автоприцепы) – 27 ед.</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условиях усиливающейся конкуренции в торговле продолжают активно развиваться розничные торговые сети. В настоящее время в Мурманске работают порядка 30 торговых продовольственных сетей. Среди федеральных продовольственных сетей на первом месте сеть супермаркетов «у дома» «Пятёрочка» ООО «Агроторг» (23 ед.), на втором – сеть краснодарских дискаунтеров «Магнит» ЗАО «Тандер» (22 ед.); третье место занимает сеть «Дикси» АО «Дикси Юг» (восемь ед.); сеть магазинов низких цен «Светофор» ООО «Торгсервис 78» (четыре ед.) и гипермаркеты «Лента» ООО «Лента» </w:t>
      </w:r>
      <w:r w:rsidRPr="00571BC1">
        <w:rPr>
          <w:rFonts w:eastAsia="Times New Roman"/>
          <w:szCs w:val="28"/>
          <w:lang w:eastAsia="ru-RU"/>
        </w:rPr>
        <w:br/>
        <w:t xml:space="preserve">(две ед.). В условиях конкуренции и снижения потребительского спроса сети проводят оптимизацию своих магазинов, переориентируются на потребителей со средним и ниже среднего доходом. </w:t>
      </w:r>
    </w:p>
    <w:p w:rsidR="00571BC1" w:rsidRPr="00571BC1" w:rsidRDefault="00571BC1" w:rsidP="00571BC1">
      <w:pPr>
        <w:shd w:val="clear" w:color="auto" w:fill="FFFFFF"/>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bidi="en-US"/>
        </w:rPr>
      </w:pPr>
      <w:r w:rsidRPr="00571BC1">
        <w:rPr>
          <w:rFonts w:eastAsia="Times New Roman"/>
          <w:szCs w:val="28"/>
          <w:lang w:eastAsia="ru-RU" w:bidi="en-US"/>
        </w:rPr>
        <w:t>В августе 2019 года состоялось открытие первой очереди флагманского торгово-развлекательного центра «</w:t>
      </w:r>
      <w:r w:rsidRPr="00571BC1">
        <w:rPr>
          <w:rFonts w:eastAsia="Times New Roman"/>
          <w:szCs w:val="28"/>
          <w:lang w:val="en-US" w:eastAsia="ru-RU" w:bidi="en-US"/>
        </w:rPr>
        <w:t>PLAZMA</w:t>
      </w:r>
      <w:r w:rsidRPr="00571BC1">
        <w:rPr>
          <w:rFonts w:eastAsia="Times New Roman"/>
          <w:szCs w:val="28"/>
          <w:lang w:eastAsia="ru-RU" w:bidi="en-US"/>
        </w:rPr>
        <w:t xml:space="preserve">» общей площадью более </w:t>
      </w:r>
      <w:r w:rsidRPr="00571BC1">
        <w:rPr>
          <w:rFonts w:eastAsia="Times New Roman"/>
          <w:szCs w:val="28"/>
          <w:lang w:eastAsia="ru-RU" w:bidi="en-US"/>
        </w:rPr>
        <w:br/>
        <w:t xml:space="preserve">45 тыс. кв.м. Вторая очередь будет включать аквапарк с отелем, фитнес-клубом и </w:t>
      </w:r>
      <w:r w:rsidRPr="00571BC1">
        <w:rPr>
          <w:rFonts w:eastAsia="Times New Roman"/>
          <w:szCs w:val="28"/>
          <w:lang w:val="en-US" w:eastAsia="ru-RU" w:bidi="en-US"/>
        </w:rPr>
        <w:t>SPA</w:t>
      </w:r>
      <w:r w:rsidRPr="00571BC1">
        <w:rPr>
          <w:rFonts w:eastAsia="Times New Roman"/>
          <w:szCs w:val="28"/>
          <w:lang w:eastAsia="ru-RU" w:bidi="en-US"/>
        </w:rPr>
        <w:t xml:space="preserve"> площадью около 20 тыс. кв.м. </w:t>
      </w:r>
    </w:p>
    <w:p w:rsidR="00571BC1" w:rsidRPr="00571BC1" w:rsidRDefault="00571BC1" w:rsidP="00571BC1">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сегменте розничной торговли </w:t>
      </w:r>
      <w:r w:rsidRPr="00571BC1">
        <w:rPr>
          <w:rFonts w:eastAsia="Times New Roman"/>
          <w:szCs w:val="28"/>
          <w:lang w:val="en-US" w:eastAsia="ru-RU"/>
        </w:rPr>
        <w:t>Non</w:t>
      </w:r>
      <w:r w:rsidRPr="00571BC1">
        <w:rPr>
          <w:rFonts w:eastAsia="Times New Roman"/>
          <w:szCs w:val="28"/>
          <w:lang w:eastAsia="ru-RU"/>
        </w:rPr>
        <w:t>-</w:t>
      </w:r>
      <w:r w:rsidRPr="00571BC1">
        <w:rPr>
          <w:rFonts w:eastAsia="Times New Roman"/>
          <w:szCs w:val="28"/>
          <w:lang w:val="en-US" w:eastAsia="ru-RU"/>
        </w:rPr>
        <w:t>Food</w:t>
      </w:r>
      <w:r w:rsidRPr="00571BC1">
        <w:rPr>
          <w:rFonts w:eastAsia="Times New Roman"/>
          <w:szCs w:val="28"/>
          <w:lang w:eastAsia="ru-RU"/>
        </w:rPr>
        <w:t xml:space="preserve"> товарами наблюдается дальнейший переход на оказание услуг через сеть Интернет. Многие магазины создают интернет-версии для возможности продажи продукции в сети, некоторые бренды появляются сразу в Интернете, создаются интернет-магазины, в которых можно приобрести продукцию разных фирм. Также растет количество заказов в зарубежных интернет-магазинах, особенно китайских и корейских. Интернет-торговля ожидает дальнейшего роста рынка после принятия законов, разрешающих дистанционную продажу алкоголя и лекарственных препаратов. Многие интернет-магазины уже создали соответствующие разделы, которые работают как витрины.</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настоящее время малые торговые форматы и в частности нестационарная торговля, несмотря на развитие торговых сетей, также играют важную роль в экономике города, оказывают весомое влияние на развитие малого бизнеса и на развитие самозанятости. Обязательным условием осуществления законной торговой деятельности в нестационарных торговых объектах является включение адреса места размещения нестационарного торгового объекта в схему размещения. Схемой размещения нестационарных торговых объектов на территории муниципального образования город Мурманск предусмотрено 70 адресов для размещения 98 нестационарных </w:t>
      </w:r>
      <w:r w:rsidRPr="00571BC1">
        <w:rPr>
          <w:rFonts w:eastAsia="Times New Roman"/>
          <w:szCs w:val="28"/>
          <w:lang w:eastAsia="ru-RU"/>
        </w:rPr>
        <w:lastRenderedPageBreak/>
        <w:t xml:space="preserve">торговых объектов (на круглогодичный период – 58 адресов для размещения </w:t>
      </w:r>
      <w:r w:rsidRPr="00571BC1">
        <w:rPr>
          <w:rFonts w:eastAsia="Times New Roman"/>
          <w:szCs w:val="28"/>
          <w:lang w:eastAsia="ru-RU"/>
        </w:rPr>
        <w:br/>
        <w:t xml:space="preserve">75 объектов, на сезонный период – 12 адресов для размещения 23 объектов). За 2019 год выдано 79 разрешений, из них: на круглогодичный период – 57, на сезонный период – 22. </w:t>
      </w:r>
    </w:p>
    <w:p w:rsidR="00571BC1" w:rsidRPr="00571BC1" w:rsidRDefault="00571BC1" w:rsidP="00571BC1">
      <w:pPr>
        <w:shd w:val="clear" w:color="auto" w:fill="FFFFFF"/>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bidi="en-US"/>
        </w:rPr>
      </w:pPr>
      <w:r w:rsidRPr="00571BC1">
        <w:rPr>
          <w:rFonts w:eastAsia="Times New Roman"/>
          <w:szCs w:val="28"/>
          <w:lang w:eastAsia="ru-RU"/>
        </w:rPr>
        <w:t>С увеличением на нашем рынке торговых объектов крупных сетевых ритейлеров (открытие пяти магазинов «Пятёрочка», двух магазинов «Магнит», одного «Твой», трех «Светофор», ТРК «</w:t>
      </w:r>
      <w:r w:rsidRPr="00571BC1">
        <w:rPr>
          <w:rFonts w:eastAsia="Times New Roman"/>
          <w:szCs w:val="28"/>
          <w:lang w:val="en-US" w:eastAsia="ru-RU"/>
        </w:rPr>
        <w:t>PLAZMA</w:t>
      </w:r>
      <w:r w:rsidRPr="00571BC1">
        <w:rPr>
          <w:rFonts w:eastAsia="Times New Roman"/>
          <w:szCs w:val="28"/>
          <w:lang w:eastAsia="ru-RU"/>
        </w:rPr>
        <w:t>») фактическая обеспеченность торговыми площадями населения города значительно увеличилась. И это несмотря на то, что на территории города Мурманска в конце 2019 года закрылись все магазины торговых сетей «Народная 7Я семьЯ» и «</w:t>
      </w:r>
      <w:r w:rsidRPr="00571BC1">
        <w:rPr>
          <w:rFonts w:eastAsia="Times New Roman"/>
          <w:szCs w:val="28"/>
          <w:lang w:val="en-US" w:eastAsia="ru-RU"/>
        </w:rPr>
        <w:t>SPAR</w:t>
      </w:r>
      <w:r w:rsidRPr="00571BC1">
        <w:rPr>
          <w:rFonts w:eastAsia="Times New Roman"/>
          <w:szCs w:val="28"/>
          <w:lang w:eastAsia="ru-RU"/>
        </w:rPr>
        <w:t>» из-за растущего объема финансовых претензий со стороны поставщиков. Так на начало 2020 года обеспеченность жителей города торговыми площадями на 1000 жителей составляет 1073,91 кв.м, что на 61% превышает нормативное значение в 667,0 кв.м, в том числе: по продаже продовольственных товаров – 341,76 кв.м, что на 28,5% превышает нормативное значение в 266,0 кв.м; по продаже непродовольственных товаров – 732,15 кв.м, что на 82,6% превышает норматив в 401,0 кв.м.</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прогнозном периоде с учетом значительного превышения нормативных значений, а также тенденции снижения численности населения города, обеспеченность населения торговыми площадями в 2025 году достигнет </w:t>
      </w:r>
      <w:r w:rsidRPr="00571BC1">
        <w:rPr>
          <w:rFonts w:eastAsia="Times New Roman"/>
          <w:szCs w:val="28"/>
          <w:lang w:eastAsia="ru-RU"/>
        </w:rPr>
        <w:br/>
        <w:t>1 183,1 кв.м на 1000 человек.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Оборот общественного питания в 2019 году составил 2,2 млрд. руб. (темп роста к 2018 году - 107,8%). Сфера общепита в Мурманске представлена </w:t>
      </w:r>
      <w:r w:rsidRPr="00571BC1">
        <w:rPr>
          <w:rFonts w:eastAsia="Times New Roman"/>
          <w:szCs w:val="28"/>
          <w:lang w:eastAsia="ru-RU"/>
        </w:rPr>
        <w:br/>
        <w:t xml:space="preserve">467 объектами общественного питания, из которых: ресторанов, кафе и баров – 261 ед.; закусочных - 55 ед., в том числе быстрого питания навынос и на автозаправочных станциях; объектов общепита закрытого доступа в учреждениях и предприятиях города Мурманска – 151 ед. </w:t>
      </w:r>
    </w:p>
    <w:p w:rsidR="00571BC1" w:rsidRPr="00571BC1" w:rsidRDefault="00571BC1" w:rsidP="00571BC1">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bidi="en-US"/>
        </w:rPr>
      </w:pPr>
      <w:r w:rsidRPr="00571BC1">
        <w:rPr>
          <w:rFonts w:eastAsia="Times New Roman"/>
          <w:szCs w:val="28"/>
          <w:lang w:eastAsia="ru-RU"/>
        </w:rPr>
        <w:t xml:space="preserve">Рынок общественного питания города Мурманска представляет собой сочетание различных форматов, направлений и </w:t>
      </w:r>
      <w:r w:rsidRPr="00571BC1">
        <w:rPr>
          <w:rFonts w:eastAsia="Times New Roman"/>
          <w:szCs w:val="28"/>
          <w:lang w:eastAsia="ru-RU" w:bidi="en-US"/>
        </w:rPr>
        <w:t xml:space="preserve">многообразие концепций, рассчитанных на разные целевые группы потребителей, и включает в себя рестораны, кафе, бары, а также огромное количество разнообразных таверн, трактиров, пабов, бистро, закусочных, столовых и объектов нестационарной торговли. </w:t>
      </w:r>
      <w:r w:rsidRPr="00571BC1">
        <w:rPr>
          <w:rFonts w:eastAsia="Times New Roman"/>
          <w:szCs w:val="28"/>
          <w:lang w:eastAsia="ru-RU"/>
        </w:rPr>
        <w:t xml:space="preserve">Развитие рынка общественного питания города Мурманска тесно связано с развитием торговых и торгово-развлекательных центров и комплексов, особо наглядно это прослеживается на примере сегмента </w:t>
      </w:r>
      <w:r w:rsidRPr="00571BC1">
        <w:rPr>
          <w:rFonts w:eastAsia="Times New Roman"/>
          <w:szCs w:val="28"/>
          <w:lang w:eastAsia="ru-RU"/>
        </w:rPr>
        <w:br/>
        <w:t>фаст-фуда. На</w:t>
      </w:r>
      <w:r w:rsidRPr="00571BC1">
        <w:rPr>
          <w:rFonts w:eastAsia="Times New Roman"/>
          <w:szCs w:val="28"/>
          <w:shd w:val="clear" w:color="auto" w:fill="FFFFFF"/>
          <w:lang w:eastAsia="ru-RU"/>
        </w:rPr>
        <w:t xml:space="preserve"> территории города Мурманска функционируют «Макдоналдс», «Бургер Кинг», «Три соуса», «</w:t>
      </w:r>
      <w:r w:rsidRPr="00571BC1">
        <w:rPr>
          <w:rFonts w:eastAsia="Times New Roman"/>
          <w:szCs w:val="28"/>
          <w:shd w:val="clear" w:color="auto" w:fill="FFFFFF"/>
          <w:lang w:val="en-US" w:eastAsia="ru-RU"/>
        </w:rPr>
        <w:t>KFC</w:t>
      </w:r>
      <w:r w:rsidRPr="00571BC1">
        <w:rPr>
          <w:rFonts w:eastAsia="Times New Roman"/>
          <w:szCs w:val="28"/>
          <w:shd w:val="clear" w:color="auto" w:fill="FFFFFF"/>
          <w:lang w:eastAsia="ru-RU"/>
        </w:rPr>
        <w:t>», «Ряженка», «Сбарро», «Три сковородки», «</w:t>
      </w:r>
      <w:r w:rsidRPr="00571BC1">
        <w:rPr>
          <w:rFonts w:eastAsia="Times New Roman"/>
          <w:szCs w:val="28"/>
          <w:shd w:val="clear" w:color="auto" w:fill="FFFFFF"/>
          <w:lang w:val="en-US" w:eastAsia="ru-RU"/>
        </w:rPr>
        <w:t>Subway</w:t>
      </w:r>
      <w:r w:rsidRPr="00571BC1">
        <w:rPr>
          <w:rFonts w:eastAsia="Times New Roman"/>
          <w:szCs w:val="28"/>
          <w:shd w:val="clear" w:color="auto" w:fill="FFFFFF"/>
          <w:lang w:eastAsia="ru-RU"/>
        </w:rPr>
        <w:t>» и др.</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Структура предприятий общественного питания неоднородна, но в целом на рынке муниципального образования город Мурманск в подавляющем большинстве функционируют кафе, затем бары, закусочные и рестораны. Все больше предприятий общественного питания имеют социальную направленность и становятся более доступными для людей пенсионного возраста и детей: оборудованы средствами, обеспечивающими доступ </w:t>
      </w:r>
      <w:r w:rsidRPr="00571BC1">
        <w:rPr>
          <w:rFonts w:eastAsia="Times New Roman"/>
          <w:szCs w:val="28"/>
          <w:lang w:eastAsia="ru-RU"/>
        </w:rPr>
        <w:lastRenderedPageBreak/>
        <w:t xml:space="preserve">маломобильным посетителям, посетителям с детьми предлагаются детские комнаты и уголки, оборудованные специальной мебелью.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shd w:val="clear" w:color="auto" w:fill="FFFFFF"/>
          <w:lang w:eastAsia="ru-RU"/>
        </w:rPr>
        <w:t xml:space="preserve">В Мурманске также наблюдается положительная динамика в сегменте доставки готовой еды. Многие объекты общепита города предлагают доставку готовой еды домой или в офис. В 2019 году в Мурманске начал работу сервис доставки еды </w:t>
      </w:r>
      <w:r w:rsidRPr="00571BC1">
        <w:rPr>
          <w:rFonts w:eastAsia="Times New Roman"/>
          <w:szCs w:val="28"/>
          <w:shd w:val="clear" w:color="auto" w:fill="FFFFFF"/>
          <w:lang w:val="en-US" w:eastAsia="ru-RU"/>
        </w:rPr>
        <w:t>Delivery</w:t>
      </w:r>
      <w:r w:rsidRPr="00571BC1">
        <w:rPr>
          <w:rFonts w:eastAsia="Times New Roman"/>
          <w:szCs w:val="28"/>
          <w:shd w:val="clear" w:color="auto" w:fill="FFFFFF"/>
          <w:lang w:eastAsia="ru-RU"/>
        </w:rPr>
        <w:t xml:space="preserve"> </w:t>
      </w:r>
      <w:r w:rsidRPr="00571BC1">
        <w:rPr>
          <w:rFonts w:eastAsia="Times New Roman"/>
          <w:szCs w:val="28"/>
          <w:shd w:val="clear" w:color="auto" w:fill="FFFFFF"/>
          <w:lang w:val="en-US" w:eastAsia="ru-RU"/>
        </w:rPr>
        <w:t>Club</w:t>
      </w:r>
      <w:r w:rsidRPr="00571BC1">
        <w:rPr>
          <w:rFonts w:eastAsia="Times New Roman"/>
          <w:szCs w:val="28"/>
          <w:shd w:val="clear" w:color="auto" w:fill="FFFFFF"/>
          <w:lang w:eastAsia="ru-RU"/>
        </w:rPr>
        <w:t xml:space="preserve"> – это 10 кафе, ресторанов и мест общественного питания, из которых можно заказать еду с доставкой. Также в 2019 году в Мурманске открылось несколько небольших кофеен и семейных пекарен.</w:t>
      </w:r>
    </w:p>
    <w:p w:rsidR="00571BC1" w:rsidRPr="00571BC1" w:rsidRDefault="00571BC1" w:rsidP="00571BC1">
      <w:pPr>
        <w:tabs>
          <w:tab w:val="left" w:pos="1134"/>
        </w:tabs>
        <w:overflowPunct w:val="0"/>
        <w:autoSpaceDE w:val="0"/>
        <w:autoSpaceDN w:val="0"/>
        <w:adjustRightInd w:val="0"/>
        <w:spacing w:after="0" w:line="240" w:lineRule="auto"/>
        <w:ind w:firstLine="709"/>
        <w:jc w:val="both"/>
        <w:textAlignment w:val="baseline"/>
        <w:rPr>
          <w:rFonts w:eastAsia="Times New Roman"/>
          <w:szCs w:val="28"/>
          <w:lang w:eastAsia="ru-RU" w:bidi="en-US"/>
        </w:rPr>
      </w:pPr>
      <w:r w:rsidRPr="00571BC1">
        <w:rPr>
          <w:rFonts w:eastAsia="Times New Roman"/>
          <w:szCs w:val="28"/>
          <w:lang w:eastAsia="ru-RU" w:bidi="en-US"/>
        </w:rPr>
        <w:t>Созданию благоприятных условий для открытия новых объектов питания способствует формирование крупных торговых и офисных центров, открытие гостиниц различного формата, развитие въездного туризма. Однако потребность населения в предприятиях общественного питания различных типов, специализированных предприятиях общественного питания с рыбным меню, кофейнях, чайных, столовых и закусочных, обеспечивающих территориальную доступность для населения каждого микрорайона, в Мурманске еще существует.</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Объем потребления платных услуг населением в 2019 году составил </w:t>
      </w:r>
      <w:r w:rsidRPr="00571BC1">
        <w:rPr>
          <w:rFonts w:eastAsia="Times New Roman"/>
          <w:szCs w:val="28"/>
          <w:lang w:eastAsia="ru-RU"/>
        </w:rPr>
        <w:br/>
        <w:t xml:space="preserve">22,5 млрд. руб., темп роста к предыдущему году – 95,0% (в 2018 году – 23 647,5 млрд. руб.), индекс физического объема – 90,9% (в сопоставимых ценах). </w:t>
      </w:r>
    </w:p>
    <w:p w:rsidR="00571BC1" w:rsidRPr="00571BC1" w:rsidRDefault="00571BC1" w:rsidP="00571BC1">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Отмечено значительное сокращение в действующих ценах объема жилищных услуг (39,7%), услуг учреждений культуры (94,8%) и услуг системы образования (97,7%). Также отмечено сокращение объема бытовых услуг (346,4 млн. руб., или 93,8% к 2018 году). </w:t>
      </w:r>
      <w:r w:rsidRPr="00571BC1">
        <w:rPr>
          <w:rFonts w:eastAsia="Times New Roman"/>
          <w:color w:val="000000"/>
          <w:szCs w:val="28"/>
          <w:lang w:eastAsia="ru-RU"/>
        </w:rPr>
        <w:t xml:space="preserve">Наиболее высокий рост отмечен </w:t>
      </w:r>
      <w:r w:rsidRPr="00571BC1">
        <w:rPr>
          <w:rFonts w:eastAsia="Times New Roman"/>
          <w:szCs w:val="28"/>
          <w:lang w:eastAsia="ru-RU"/>
        </w:rPr>
        <w:t>по транспортным услугам (в 1,6 раза) и коммунальным услугам (в 1,4 раза), медицинским услугам (106,6%), услугам гостиниц и аналогичных средств размещения (105,3%), услугам физической культуры и спорта (103,8%), услугам почтовой связи и курьерским услугам (103,9%)</w:t>
      </w:r>
      <w:r w:rsidRPr="00571BC1">
        <w:rPr>
          <w:rFonts w:eastAsia="Times New Roman"/>
          <w:color w:val="000000"/>
          <w:szCs w:val="28"/>
          <w:lang w:eastAsia="ru-RU"/>
        </w:rPr>
        <w:t xml:space="preserve">.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По состоянию на 01.01.2020 на территории города Мурманска действуют 649 предприятий бытовых услуг, из них по ремонту и обслуживанию бытовой техники и электроники - 38 объектов, по техобслуживанию и ремонту автотранспорта - 60 объектов, по изготовлению и ремонту мебели – </w:t>
      </w:r>
      <w:r w:rsidRPr="00571BC1">
        <w:rPr>
          <w:rFonts w:eastAsia="Times New Roman"/>
          <w:szCs w:val="28"/>
          <w:lang w:eastAsia="ru-RU"/>
        </w:rPr>
        <w:br/>
        <w:t xml:space="preserve">20 объектов, парикмахерских - 196 объектов.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целях развития потребительского рынка в рамках подпрограммы «Развитие и поддержка малого и среднего предпринимательства в городе Мурманске» на 2018-2024 годы муниципальной программы города Мурманска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 ярмарки по продаже товаров, в том числе сельскохозяйственных, от приглашенных производителей как местных, так и из других регионов страны, из которых три работают на постоянной основе. </w:t>
      </w:r>
    </w:p>
    <w:p w:rsidR="00571BC1" w:rsidRPr="00571BC1" w:rsidRDefault="00571BC1" w:rsidP="00571BC1">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571BC1">
        <w:rPr>
          <w:rFonts w:eastAsia="Times New Roman"/>
          <w:szCs w:val="28"/>
          <w:lang w:eastAsia="ru-RU"/>
        </w:rPr>
        <w:tab/>
        <w:t xml:space="preserve">Органы местного самоуправления муниципального образования город Мурманск уделяют большое внимание социально незащищенным слоям населения. В целях оказания социальной поддержки малообеспеченным и льготным категориям граждан администрацией города Мурманска с 2011 года </w:t>
      </w:r>
      <w:r w:rsidRPr="00571BC1">
        <w:rPr>
          <w:rFonts w:eastAsia="Times New Roman"/>
          <w:szCs w:val="28"/>
          <w:lang w:eastAsia="ru-RU"/>
        </w:rPr>
        <w:lastRenderedPageBreak/>
        <w:t xml:space="preserve">успешно реализуется социальный проект «Городская карта поддержки», который дает возможность льготным категориям граждан приобретать товары и услуги со скидкой от 5% до 20%. </w:t>
      </w:r>
    </w:p>
    <w:p w:rsidR="00571BC1" w:rsidRPr="00571BC1" w:rsidRDefault="00571BC1" w:rsidP="00571BC1">
      <w:pPr>
        <w:tabs>
          <w:tab w:val="left" w:pos="709"/>
        </w:tabs>
        <w:overflowPunct w:val="0"/>
        <w:autoSpaceDE w:val="0"/>
        <w:autoSpaceDN w:val="0"/>
        <w:adjustRightInd w:val="0"/>
        <w:spacing w:after="0" w:line="240" w:lineRule="auto"/>
        <w:jc w:val="both"/>
        <w:textAlignment w:val="baseline"/>
        <w:rPr>
          <w:rFonts w:eastAsia="Times New Roman"/>
          <w:szCs w:val="28"/>
          <w:lang w:eastAsia="ru-RU"/>
        </w:rPr>
      </w:pPr>
      <w:r w:rsidRPr="00571BC1">
        <w:rPr>
          <w:rFonts w:eastAsia="Times New Roman"/>
          <w:szCs w:val="28"/>
          <w:lang w:eastAsia="ru-RU"/>
        </w:rPr>
        <w:tab/>
        <w:t>По итогам 2020 года ожидается снижение оборота розничной торговли до 96,9% (в сопоставимых ценах), что, в первую очередь, обусловлено введением ограничительных мероприятий, принятых в целях препятствия распространению новой коронавирусной инфекции. В среднесрочной перспективе рост денежных доходов населения и расширение объемов потребительского кредитования создадут предпосылки для закрепления позитивной динамики на потребительском рынке.</w:t>
      </w:r>
    </w:p>
    <w:p w:rsidR="00571BC1" w:rsidRPr="00571BC1" w:rsidRDefault="00571BC1" w:rsidP="00571BC1">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Наиболее сильный удар пандемии в 2020 году пришелся на кафе и рестораны, гостиницы, салоны красоты и парикмахерские, сферу развлечений, спорт, туризм, розничные непродовольственные магазины и др. Все виды бизнеса, которые не успели перейти на предоставление товаров и услуг в онлайн-формате или бизнес-модель которых предполагает исключительно личное предоставление услуг, сейчас подвержены риску банкротства.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Динамика оборота розничной торговли в базовом варианте на протяжении прогнозного периода будет выражена умеренным приростом и к 2025 году достигнет уровня 53,8 млрд. руб. Объем платных услуг населению - 27 млрд. руб.</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Малое и среднее предпринимательство</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По текущим данным Единого реестра субъектов малого и среднего предпринимательства</w:t>
      </w:r>
      <w:r w:rsidRPr="00571BC1">
        <w:rPr>
          <w:rFonts w:eastAsia="Times New Roman"/>
          <w:vertAlign w:val="superscript"/>
        </w:rPr>
        <w:footnoteReference w:id="9"/>
      </w:r>
      <w:r w:rsidRPr="00571BC1">
        <w:rPr>
          <w:rFonts w:eastAsia="Times New Roman"/>
          <w:szCs w:val="28"/>
        </w:rPr>
        <w:t xml:space="preserve"> (</w:t>
      </w:r>
      <w:r w:rsidRPr="00571BC1">
        <w:rPr>
          <w:szCs w:val="28"/>
        </w:rPr>
        <w:t>https://rmsp.nalog.ru/search.html</w:t>
      </w:r>
      <w:r w:rsidRPr="00571BC1">
        <w:rPr>
          <w:rFonts w:eastAsia="Times New Roman"/>
          <w:szCs w:val="28"/>
        </w:rPr>
        <w:t>) (далее – Реестр СМСП), количество субъектов малого и среднего предпринимательства (микро-, малые и средние предприятия, индивидуальные предприниматели) в городе Мурманске по состоянию на 01.01.2020 составило 14 011 единиц, в том числе:</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микропредприятия – 6 532 ед.;</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малые предприятия - 500 ед.;</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средние предприятия – 21 ед.;</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индивидуальные предприниматели – 6 958 ед.</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Сравнительный анализ данных о количестве субъектов малого и среднего предпринимательства (далее – субъекты МСП и МСП соответственно) за 2018, 2019 и первое полугодие 2020 года:</w:t>
      </w:r>
    </w:p>
    <w:p w:rsidR="00571BC1" w:rsidRPr="00571BC1" w:rsidRDefault="00571BC1" w:rsidP="00571BC1">
      <w:pPr>
        <w:widowControl w:val="0"/>
        <w:spacing w:after="0" w:line="240" w:lineRule="auto"/>
        <w:ind w:firstLine="709"/>
        <w:jc w:val="both"/>
        <w:rPr>
          <w:rFonts w:eastAsia="Times New Roman"/>
          <w:szCs w:val="28"/>
        </w:rPr>
      </w:pPr>
    </w:p>
    <w:tbl>
      <w:tblPr>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1985"/>
        <w:gridCol w:w="2039"/>
      </w:tblGrid>
      <w:tr w:rsidR="00571BC1" w:rsidRPr="00571BC1" w:rsidTr="00B23B0B">
        <w:trPr>
          <w:tblHeader/>
        </w:trPr>
        <w:tc>
          <w:tcPr>
            <w:tcW w:w="3510" w:type="dxa"/>
            <w:shd w:val="clear" w:color="auto" w:fill="auto"/>
            <w:vAlign w:val="center"/>
          </w:tcPr>
          <w:p w:rsidR="00571BC1" w:rsidRPr="00571BC1" w:rsidRDefault="00571BC1" w:rsidP="00571BC1">
            <w:pPr>
              <w:widowControl w:val="0"/>
              <w:spacing w:after="0" w:line="240" w:lineRule="auto"/>
              <w:jc w:val="center"/>
              <w:rPr>
                <w:szCs w:val="28"/>
              </w:rPr>
            </w:pPr>
            <w:r w:rsidRPr="00571BC1">
              <w:rPr>
                <w:szCs w:val="28"/>
              </w:rPr>
              <w:t>Тип субъекта МСП/количество, ед.</w:t>
            </w:r>
          </w:p>
        </w:tc>
        <w:tc>
          <w:tcPr>
            <w:tcW w:w="2268" w:type="dxa"/>
            <w:shd w:val="clear" w:color="auto" w:fill="auto"/>
            <w:vAlign w:val="center"/>
          </w:tcPr>
          <w:p w:rsidR="00571BC1" w:rsidRPr="00571BC1" w:rsidRDefault="00571BC1" w:rsidP="00571BC1">
            <w:pPr>
              <w:widowControl w:val="0"/>
              <w:spacing w:after="0" w:line="240" w:lineRule="auto"/>
              <w:jc w:val="center"/>
              <w:rPr>
                <w:szCs w:val="28"/>
                <w:lang w:val="en-US"/>
              </w:rPr>
            </w:pPr>
            <w:r w:rsidRPr="00571BC1">
              <w:rPr>
                <w:szCs w:val="28"/>
              </w:rPr>
              <w:t xml:space="preserve">На </w:t>
            </w:r>
            <w:r w:rsidRPr="00571BC1">
              <w:rPr>
                <w:szCs w:val="28"/>
                <w:lang w:val="en-US"/>
              </w:rPr>
              <w:t>0</w:t>
            </w:r>
            <w:r w:rsidRPr="00571BC1">
              <w:rPr>
                <w:szCs w:val="28"/>
              </w:rPr>
              <w:t>1.</w:t>
            </w:r>
            <w:r w:rsidRPr="00571BC1">
              <w:rPr>
                <w:szCs w:val="28"/>
                <w:lang w:val="en-US"/>
              </w:rPr>
              <w:t>01</w:t>
            </w:r>
            <w:r w:rsidRPr="00571BC1">
              <w:rPr>
                <w:szCs w:val="28"/>
              </w:rPr>
              <w:t>.201</w:t>
            </w:r>
            <w:r w:rsidRPr="00571BC1">
              <w:rPr>
                <w:szCs w:val="28"/>
                <w:lang w:val="en-US"/>
              </w:rPr>
              <w:t>9</w:t>
            </w:r>
          </w:p>
        </w:tc>
        <w:tc>
          <w:tcPr>
            <w:tcW w:w="1985" w:type="dxa"/>
            <w:shd w:val="clear" w:color="auto" w:fill="auto"/>
            <w:vAlign w:val="center"/>
          </w:tcPr>
          <w:p w:rsidR="00571BC1" w:rsidRPr="00571BC1" w:rsidRDefault="00571BC1" w:rsidP="00571BC1">
            <w:pPr>
              <w:widowControl w:val="0"/>
              <w:spacing w:after="0" w:line="240" w:lineRule="auto"/>
              <w:jc w:val="center"/>
              <w:rPr>
                <w:szCs w:val="28"/>
              </w:rPr>
            </w:pPr>
            <w:r w:rsidRPr="00571BC1">
              <w:rPr>
                <w:szCs w:val="28"/>
              </w:rPr>
              <w:t xml:space="preserve">На </w:t>
            </w:r>
            <w:r w:rsidRPr="00571BC1">
              <w:rPr>
                <w:szCs w:val="28"/>
                <w:lang w:val="en-US"/>
              </w:rPr>
              <w:t>01</w:t>
            </w:r>
            <w:r w:rsidRPr="00571BC1">
              <w:rPr>
                <w:szCs w:val="28"/>
              </w:rPr>
              <w:t>.</w:t>
            </w:r>
            <w:r w:rsidRPr="00571BC1">
              <w:rPr>
                <w:szCs w:val="28"/>
                <w:lang w:val="en-US"/>
              </w:rPr>
              <w:t>01</w:t>
            </w:r>
            <w:r w:rsidRPr="00571BC1">
              <w:rPr>
                <w:szCs w:val="28"/>
              </w:rPr>
              <w:t>.20</w:t>
            </w:r>
            <w:r w:rsidRPr="00571BC1">
              <w:rPr>
                <w:szCs w:val="28"/>
                <w:lang w:val="en-US"/>
              </w:rPr>
              <w:t>20</w:t>
            </w:r>
          </w:p>
        </w:tc>
        <w:tc>
          <w:tcPr>
            <w:tcW w:w="2039" w:type="dxa"/>
            <w:shd w:val="clear" w:color="auto" w:fill="auto"/>
            <w:vAlign w:val="center"/>
          </w:tcPr>
          <w:p w:rsidR="00571BC1" w:rsidRPr="00571BC1" w:rsidRDefault="00571BC1" w:rsidP="00571BC1">
            <w:pPr>
              <w:widowControl w:val="0"/>
              <w:spacing w:after="0" w:line="240" w:lineRule="auto"/>
              <w:jc w:val="center"/>
              <w:rPr>
                <w:szCs w:val="28"/>
              </w:rPr>
            </w:pPr>
            <w:r w:rsidRPr="00571BC1">
              <w:rPr>
                <w:szCs w:val="28"/>
              </w:rPr>
              <w:t>На 01.07.2020</w:t>
            </w:r>
          </w:p>
        </w:tc>
      </w:tr>
      <w:tr w:rsidR="00571BC1" w:rsidRPr="00571BC1" w:rsidTr="00B23B0B">
        <w:trPr>
          <w:trHeight w:val="429"/>
        </w:trPr>
        <w:tc>
          <w:tcPr>
            <w:tcW w:w="3510" w:type="dxa"/>
            <w:shd w:val="clear" w:color="auto" w:fill="auto"/>
          </w:tcPr>
          <w:p w:rsidR="00571BC1" w:rsidRPr="00571BC1" w:rsidRDefault="00571BC1" w:rsidP="00571BC1">
            <w:pPr>
              <w:widowControl w:val="0"/>
              <w:spacing w:after="0" w:line="240" w:lineRule="auto"/>
              <w:rPr>
                <w:szCs w:val="28"/>
              </w:rPr>
            </w:pPr>
            <w:r w:rsidRPr="00571BC1">
              <w:rPr>
                <w:szCs w:val="28"/>
              </w:rPr>
              <w:t>Микропредприятия</w:t>
            </w:r>
          </w:p>
        </w:tc>
        <w:tc>
          <w:tcPr>
            <w:tcW w:w="2268"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6 086</w:t>
            </w:r>
          </w:p>
        </w:tc>
        <w:tc>
          <w:tcPr>
            <w:tcW w:w="1985"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6 532</w:t>
            </w:r>
          </w:p>
        </w:tc>
        <w:tc>
          <w:tcPr>
            <w:tcW w:w="2039"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6 673</w:t>
            </w:r>
          </w:p>
        </w:tc>
      </w:tr>
      <w:tr w:rsidR="00571BC1" w:rsidRPr="00571BC1" w:rsidTr="00B23B0B">
        <w:trPr>
          <w:trHeight w:val="429"/>
        </w:trPr>
        <w:tc>
          <w:tcPr>
            <w:tcW w:w="3510" w:type="dxa"/>
            <w:shd w:val="clear" w:color="auto" w:fill="auto"/>
          </w:tcPr>
          <w:p w:rsidR="00571BC1" w:rsidRPr="00571BC1" w:rsidRDefault="00571BC1" w:rsidP="00571BC1">
            <w:pPr>
              <w:widowControl w:val="0"/>
              <w:spacing w:after="0" w:line="240" w:lineRule="auto"/>
              <w:rPr>
                <w:szCs w:val="28"/>
              </w:rPr>
            </w:pPr>
            <w:r w:rsidRPr="00571BC1">
              <w:rPr>
                <w:szCs w:val="28"/>
              </w:rPr>
              <w:t xml:space="preserve">Малые предприятия </w:t>
            </w:r>
          </w:p>
        </w:tc>
        <w:tc>
          <w:tcPr>
            <w:tcW w:w="2268"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497</w:t>
            </w:r>
          </w:p>
        </w:tc>
        <w:tc>
          <w:tcPr>
            <w:tcW w:w="1985"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500</w:t>
            </w:r>
          </w:p>
        </w:tc>
        <w:tc>
          <w:tcPr>
            <w:tcW w:w="2039"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500</w:t>
            </w:r>
          </w:p>
        </w:tc>
      </w:tr>
      <w:tr w:rsidR="00571BC1" w:rsidRPr="00571BC1" w:rsidTr="00B23B0B">
        <w:trPr>
          <w:trHeight w:val="429"/>
        </w:trPr>
        <w:tc>
          <w:tcPr>
            <w:tcW w:w="3510" w:type="dxa"/>
            <w:shd w:val="clear" w:color="auto" w:fill="auto"/>
          </w:tcPr>
          <w:p w:rsidR="00571BC1" w:rsidRPr="00571BC1" w:rsidRDefault="00571BC1" w:rsidP="00571BC1">
            <w:pPr>
              <w:widowControl w:val="0"/>
              <w:spacing w:after="0" w:line="240" w:lineRule="auto"/>
              <w:rPr>
                <w:szCs w:val="28"/>
              </w:rPr>
            </w:pPr>
            <w:r w:rsidRPr="00571BC1">
              <w:rPr>
                <w:szCs w:val="28"/>
              </w:rPr>
              <w:lastRenderedPageBreak/>
              <w:t xml:space="preserve">Средние предприятия </w:t>
            </w:r>
          </w:p>
        </w:tc>
        <w:tc>
          <w:tcPr>
            <w:tcW w:w="2268"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18</w:t>
            </w:r>
          </w:p>
        </w:tc>
        <w:tc>
          <w:tcPr>
            <w:tcW w:w="1985"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21</w:t>
            </w:r>
          </w:p>
        </w:tc>
        <w:tc>
          <w:tcPr>
            <w:tcW w:w="2039"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21</w:t>
            </w:r>
          </w:p>
        </w:tc>
      </w:tr>
      <w:tr w:rsidR="00571BC1" w:rsidRPr="00571BC1" w:rsidTr="00B23B0B">
        <w:trPr>
          <w:trHeight w:val="429"/>
        </w:trPr>
        <w:tc>
          <w:tcPr>
            <w:tcW w:w="3510" w:type="dxa"/>
            <w:shd w:val="clear" w:color="auto" w:fill="auto"/>
          </w:tcPr>
          <w:p w:rsidR="00571BC1" w:rsidRPr="00571BC1" w:rsidRDefault="00571BC1" w:rsidP="00571BC1">
            <w:pPr>
              <w:widowControl w:val="0"/>
              <w:spacing w:after="0" w:line="240" w:lineRule="auto"/>
              <w:rPr>
                <w:szCs w:val="28"/>
              </w:rPr>
            </w:pPr>
            <w:r w:rsidRPr="00571BC1">
              <w:rPr>
                <w:szCs w:val="28"/>
              </w:rPr>
              <w:t>Индивидуальные предприниматели</w:t>
            </w:r>
          </w:p>
        </w:tc>
        <w:tc>
          <w:tcPr>
            <w:tcW w:w="2268"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5 496</w:t>
            </w:r>
          </w:p>
        </w:tc>
        <w:tc>
          <w:tcPr>
            <w:tcW w:w="1985"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6 958</w:t>
            </w:r>
          </w:p>
        </w:tc>
        <w:tc>
          <w:tcPr>
            <w:tcW w:w="2039"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7 484</w:t>
            </w:r>
          </w:p>
        </w:tc>
      </w:tr>
      <w:tr w:rsidR="00571BC1" w:rsidRPr="00571BC1" w:rsidTr="00B23B0B">
        <w:trPr>
          <w:trHeight w:val="429"/>
        </w:trPr>
        <w:tc>
          <w:tcPr>
            <w:tcW w:w="3510" w:type="dxa"/>
            <w:shd w:val="clear" w:color="auto" w:fill="auto"/>
          </w:tcPr>
          <w:p w:rsidR="00571BC1" w:rsidRPr="00571BC1" w:rsidRDefault="00571BC1" w:rsidP="00571BC1">
            <w:pPr>
              <w:widowControl w:val="0"/>
              <w:spacing w:after="0" w:line="240" w:lineRule="auto"/>
              <w:rPr>
                <w:szCs w:val="28"/>
              </w:rPr>
            </w:pPr>
            <w:r w:rsidRPr="00571BC1">
              <w:rPr>
                <w:szCs w:val="28"/>
              </w:rPr>
              <w:t>Всего</w:t>
            </w:r>
          </w:p>
        </w:tc>
        <w:tc>
          <w:tcPr>
            <w:tcW w:w="2268" w:type="dxa"/>
            <w:shd w:val="clear" w:color="auto" w:fill="auto"/>
            <w:vAlign w:val="center"/>
          </w:tcPr>
          <w:p w:rsidR="00571BC1" w:rsidRPr="00571BC1" w:rsidRDefault="00571BC1" w:rsidP="00571BC1">
            <w:pPr>
              <w:widowControl w:val="0"/>
              <w:spacing w:after="0" w:line="240" w:lineRule="auto"/>
              <w:jc w:val="center"/>
              <w:rPr>
                <w:szCs w:val="28"/>
              </w:rPr>
            </w:pPr>
            <w:r w:rsidRPr="00571BC1">
              <w:rPr>
                <w:szCs w:val="28"/>
              </w:rPr>
              <w:t>12 097</w:t>
            </w:r>
          </w:p>
        </w:tc>
        <w:tc>
          <w:tcPr>
            <w:tcW w:w="1985" w:type="dxa"/>
            <w:shd w:val="clear" w:color="auto" w:fill="auto"/>
            <w:vAlign w:val="center"/>
          </w:tcPr>
          <w:p w:rsidR="00571BC1" w:rsidRPr="00571BC1" w:rsidRDefault="00571BC1" w:rsidP="00571BC1">
            <w:pPr>
              <w:widowControl w:val="0"/>
              <w:spacing w:after="0" w:line="240" w:lineRule="auto"/>
              <w:ind w:firstLine="709"/>
              <w:rPr>
                <w:szCs w:val="28"/>
              </w:rPr>
            </w:pPr>
            <w:r w:rsidRPr="00571BC1">
              <w:rPr>
                <w:szCs w:val="28"/>
              </w:rPr>
              <w:t>14 011</w:t>
            </w:r>
          </w:p>
        </w:tc>
        <w:tc>
          <w:tcPr>
            <w:tcW w:w="2039" w:type="dxa"/>
            <w:shd w:val="clear" w:color="auto" w:fill="auto"/>
            <w:vAlign w:val="center"/>
          </w:tcPr>
          <w:p w:rsidR="00571BC1" w:rsidRPr="00571BC1" w:rsidRDefault="00571BC1" w:rsidP="00571BC1">
            <w:pPr>
              <w:widowControl w:val="0"/>
              <w:spacing w:after="0" w:line="240" w:lineRule="auto"/>
              <w:ind w:firstLine="709"/>
              <w:rPr>
                <w:szCs w:val="28"/>
                <w:lang w:val="en-US"/>
              </w:rPr>
            </w:pPr>
            <w:r w:rsidRPr="00571BC1">
              <w:rPr>
                <w:szCs w:val="28"/>
              </w:rPr>
              <w:t>14 678</w:t>
            </w:r>
          </w:p>
        </w:tc>
      </w:tr>
    </w:tbl>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xml:space="preserve">Таким образом, по отношению к концу 2018 года общее количество субъектов МСП в городе Мурманске, зарегистрированных по состоянию на 01.01.2020, увеличилось на 1 914 единиц (15,8%). </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На конец 2019 года по сравнению с 2018 годом прирост количества субъектов МСП составил:</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микропредприятия – 7,3%;</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малые предприятия – 0,6%;</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средние предприятия – 16,6%;</w:t>
      </w:r>
    </w:p>
    <w:p w:rsidR="00571BC1" w:rsidRPr="00571BC1" w:rsidRDefault="00571BC1" w:rsidP="00571BC1">
      <w:pPr>
        <w:widowControl w:val="0"/>
        <w:spacing w:after="0" w:line="240" w:lineRule="auto"/>
        <w:ind w:firstLine="709"/>
        <w:jc w:val="both"/>
        <w:rPr>
          <w:rFonts w:eastAsia="Times New Roman"/>
          <w:szCs w:val="28"/>
        </w:rPr>
      </w:pPr>
      <w:r w:rsidRPr="00571BC1">
        <w:rPr>
          <w:rFonts w:eastAsia="Times New Roman"/>
          <w:szCs w:val="28"/>
        </w:rPr>
        <w:t>- индивидуальные предприниматели – 26,6%.</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Наиболее привлекательной сферой экономической деятельности малого и среднего предпринимательства в наших условиях остается торговля оптовая и розничная, а также сфера услуг. Так, в соответствии с Реестром СМСП, по состоянию на 01.01.2020 количество субъектов МСП, осуществляющих в качестве основного вида деятельности деятельность, связанную с торговлей, составило 4 772 единицы, или 33,8% от общего количества субъектов МСП.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Наименее привлекательной сферой для малого и среднего бизнеса в городе остается производственный сектор экономики, </w:t>
      </w:r>
      <w:r w:rsidRPr="00571BC1">
        <w:rPr>
          <w:szCs w:val="28"/>
          <w:lang w:eastAsia="ru-RU"/>
        </w:rPr>
        <w:t xml:space="preserve">что обусловлено ежегодно возрастающим уровнем затрат на электроэнергию и топливо, повышенной нагрузкой на бизнес, связанной с предоставлением северных надбавок </w:t>
      </w:r>
      <w:r w:rsidRPr="00571BC1">
        <w:rPr>
          <w:rFonts w:eastAsia="Times New Roman"/>
          <w:szCs w:val="28"/>
          <w:lang w:eastAsia="ru-RU"/>
        </w:rPr>
        <w:t>и других льгот работникам (ежегодный дополнительный оплачиваемый отпуск; оплата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w:t>
      </w:r>
    </w:p>
    <w:p w:rsidR="00571BC1" w:rsidRPr="00571BC1" w:rsidRDefault="00571BC1" w:rsidP="00571BC1">
      <w:pPr>
        <w:overflowPunct w:val="0"/>
        <w:autoSpaceDE w:val="0"/>
        <w:autoSpaceDN w:val="0"/>
        <w:adjustRightInd w:val="0"/>
        <w:spacing w:after="0" w:line="240" w:lineRule="auto"/>
        <w:ind w:firstLine="709"/>
        <w:jc w:val="both"/>
        <w:textAlignment w:val="baseline"/>
        <w:rPr>
          <w:szCs w:val="28"/>
          <w:lang w:eastAsia="ru-RU"/>
        </w:rPr>
      </w:pPr>
      <w:r w:rsidRPr="00571BC1">
        <w:rPr>
          <w:rFonts w:eastAsia="Times New Roman"/>
          <w:szCs w:val="28"/>
          <w:lang w:eastAsia="ru-RU"/>
        </w:rPr>
        <w:t>Дополнительной нагрузкой на предпринимателей стало решение Конституционного Суда Российской Федерации, принятое в декабре 2017 года, по включению в состав минимального размера оплаты труда (МРОТ), районных коэффициентов и процентных надбавок за работу в местностях с особыми климатическими условиями.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качестве позитивного фактора для сохранения и развития МСП можно рассматривать освоение Арктики, определенное Правительством РФ в качестве одного из приоритетов развития. Решение поставленных задач возложено на крупные, в том числе государственные, предприятия. А их появление на рынке, в свою очередь, даст новые возможности для создания и развития малых и средних предприятий (аутсорсинг, субконтрактинг и прочие формы взаимодействия).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2020 году </w:t>
      </w:r>
      <w:r w:rsidRPr="00571BC1">
        <w:rPr>
          <w:rFonts w:eastAsia="Times New Roman"/>
          <w:color w:val="000000"/>
          <w:szCs w:val="28"/>
          <w:lang w:eastAsia="ru-RU"/>
        </w:rPr>
        <w:t xml:space="preserve">в </w:t>
      </w:r>
      <w:r w:rsidRPr="00571BC1">
        <w:rPr>
          <w:rFonts w:eastAsia="Times New Roman"/>
          <w:szCs w:val="28"/>
          <w:lang w:eastAsia="ru-RU"/>
        </w:rPr>
        <w:t>целях обеспечения устойчивости экономики Мурманской области в период действия ограничительных карантинных мер реализуется комплекс мероприятий по поддержке бизнеса.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color w:val="000000"/>
          <w:szCs w:val="28"/>
          <w:lang w:eastAsia="ru-RU"/>
        </w:rPr>
      </w:pPr>
      <w:r w:rsidRPr="00571BC1">
        <w:rPr>
          <w:rFonts w:eastAsia="Times New Roman"/>
          <w:color w:val="000000"/>
          <w:szCs w:val="28"/>
          <w:lang w:eastAsia="ru-RU"/>
        </w:rPr>
        <w:lastRenderedPageBreak/>
        <w:t xml:space="preserve">Определен перечень отраслей экономики, в наибольшей степени пострадавших в условиях ухудшения ситуации в результате распространения новой коронавирусной инфекции.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Всего реализуется 46 мер поддержки в экономической и социальной сфере, в том числе 27 – по поддержке бизнеса, 19 – по социальной поддержке населения.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В регионе, в том числе в городе Мурманске, не только оперативно приняты решения краткосрочного характера на период пандемии, но и максимально снижены ставки по упрощенной налоговой системе на три года для всех налогоплательщиков.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В два раза снижены:</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 xml:space="preserve">- размер потенциально возможного годового дохода и </w:t>
      </w:r>
      <w:r w:rsidRPr="00571BC1">
        <w:rPr>
          <w:rFonts w:eastAsia="Times New Roman"/>
          <w:color w:val="000000"/>
          <w:szCs w:val="28"/>
          <w:lang w:eastAsia="ru-RU"/>
        </w:rPr>
        <w:t>дохода на 1 кв.м площади нежилых помещений</w:t>
      </w:r>
      <w:r w:rsidRPr="00571BC1">
        <w:rPr>
          <w:rFonts w:eastAsia="Times New Roman"/>
          <w:szCs w:val="28"/>
          <w:lang w:eastAsia="ru-RU"/>
        </w:rPr>
        <w:t xml:space="preserve"> по патентной системе для арендодателей;</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color w:val="000000"/>
          <w:szCs w:val="28"/>
          <w:lang w:eastAsia="ru-RU"/>
        </w:rPr>
      </w:pPr>
      <w:r w:rsidRPr="00571BC1">
        <w:rPr>
          <w:rFonts w:eastAsia="Times New Roman"/>
          <w:szCs w:val="28"/>
          <w:lang w:eastAsia="ru-RU"/>
        </w:rPr>
        <w:t xml:space="preserve">- нагрузка по налогу на имущество арендодателей, которое облагается налогом из </w:t>
      </w:r>
      <w:r w:rsidRPr="00571BC1">
        <w:rPr>
          <w:rFonts w:eastAsia="Times New Roman"/>
          <w:color w:val="000000"/>
          <w:szCs w:val="28"/>
          <w:lang w:eastAsia="ru-RU"/>
        </w:rPr>
        <w:t xml:space="preserve">кадастровой стоимости имущества (при условии снижения платы для арендаторов), а также организаций из пострадавших отраслей </w:t>
      </w:r>
      <w:r w:rsidRPr="00571BC1">
        <w:rPr>
          <w:rFonts w:eastAsia="Times New Roman"/>
          <w:szCs w:val="28"/>
          <w:lang w:eastAsia="ru-RU"/>
        </w:rPr>
        <w:t>(ставка снижена до 1%)</w:t>
      </w:r>
      <w:r w:rsidRPr="00571BC1">
        <w:rPr>
          <w:rFonts w:eastAsia="Times New Roman"/>
          <w:color w:val="000000"/>
          <w:szCs w:val="28"/>
          <w:lang w:eastAsia="ru-RU"/>
        </w:rPr>
        <w:t>.</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Введены отсрочки по уплате и мораторий на повышение арендной платы на пользование государственным и муниципальным имуществом.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szCs w:val="28"/>
          <w:lang w:eastAsia="ru-RU"/>
        </w:rPr>
      </w:pPr>
      <w:r w:rsidRPr="00571BC1">
        <w:rPr>
          <w:rFonts w:eastAsia="Times New Roman"/>
          <w:szCs w:val="28"/>
          <w:lang w:eastAsia="ru-RU"/>
        </w:rPr>
        <w:t>Также введен ряд мер, предусматривающих прямую финансовую поддержку.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Введен временный режим размещения государственных и муниципальных заказов преимущественно у предпринимателей, зарегистрированных в Мурманской области.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условиях пандемии одной из наиболее пострадавших в регионе отраслей является туризм. Вместе с тем при снятии ограничений в первую очередь открываются направления внутреннего туризма, что ведет к притоку туристов в регион и в город.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szCs w:val="28"/>
          <w:lang w:eastAsia="ru-RU"/>
        </w:rPr>
        <w:t xml:space="preserve">Мурманск, относясь к уникальной Арктической зоне, имеет высокий туристский потенциал. В Мурманске, наряду с регионом в целом, до дестабилизации эпидемиологической обстановки наблюдалось устойчивое увеличение потока туристов и расширение географии прибывающих туристов. Объем въездного туристского потока в 2019 году составил почти 145 тыс. человек. Так в 2019 году состоялось четыре захода круизных лайнеров к отремонтированному причалу в пассажирском районе АО «Мурманский морской торговый порт».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szCs w:val="28"/>
          <w:lang w:eastAsia="ru-RU"/>
        </w:rPr>
        <w:t xml:space="preserve">Кроме того, каждое лето из порта Мурманск на Северный полюс отправляются рейсы на атомном ледоколе «50 лет Победы». В 2019 году состоялось три рейса.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 xml:space="preserve">В сентябре 2019 года в Мурманске приступил к работе региональный туристский информационный центр, созданный для эффективного продвижения туристских продуктов Кольского Заполярья. Центр является площадкой для взаимодействия субъектов туристской отрасли и позволит объединить усилия всех участников рынка в привлечении туристов в </w:t>
      </w:r>
      <w:hyperlink r:id="rId13" w:history="1">
        <w:r w:rsidRPr="00571BC1">
          <w:rPr>
            <w:rFonts w:eastAsia="Times New Roman"/>
            <w:color w:val="000000"/>
            <w:szCs w:val="28"/>
            <w:lang w:eastAsia="ru-RU"/>
          </w:rPr>
          <w:t>Мурманскую область</w:t>
        </w:r>
      </w:hyperlink>
      <w:r w:rsidRPr="00571BC1">
        <w:rPr>
          <w:rFonts w:eastAsia="Times New Roman"/>
          <w:color w:val="000000"/>
          <w:szCs w:val="28"/>
          <w:lang w:eastAsia="ru-RU"/>
        </w:rPr>
        <w:t xml:space="preserve"> и в частности в город Мурманск. На базе центра можно </w:t>
      </w:r>
      <w:r w:rsidRPr="00571BC1">
        <w:rPr>
          <w:rFonts w:eastAsia="Times New Roman"/>
          <w:color w:val="000000"/>
          <w:szCs w:val="28"/>
          <w:lang w:eastAsia="ru-RU"/>
        </w:rPr>
        <w:lastRenderedPageBreak/>
        <w:t>получить достоверную информацию о турпродуктах, спланировать путешествие, заказать тур, приобрести карты и рекламно-информационную продукцию.</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По оценке в 2020 году количество малых предприятий, в том числе микропредприятий, снизится на 3% и составит 6 821 единицу, среднесписочная численность работников составит 29 658 человек. Численность индивидуальных предпринимателей также снизится и предположительно составит 6 819 человек.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С учетом реализации указанных мер поддержки, реализации Общенационального плана действий, обеспечивающих восстановление занятости и доходов населения, рост экономики и долгосрочные структурные изменения, от 31.05.2020, регионального проекта «Малое и среднее предпринимательство и поддержка индивидуальной предпринимательской инициативы»,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на 2018-2024 годы по базовому варианту прогноза в 2021 году и в период до 2025 года прогнозируется умеренный рост количества субъектов МСП, численности индивидуальных предпринимателей (на 26,2% к уровню 2019 года), а также среднесписочной численности работников малых предприятий (до 33,2 тыс. человек).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color w:val="000000"/>
          <w:szCs w:val="28"/>
          <w:lang w:eastAsia="ru-RU"/>
        </w:rPr>
      </w:pPr>
      <w:r w:rsidRPr="00571BC1">
        <w:rPr>
          <w:rFonts w:eastAsia="Times New Roman"/>
          <w:color w:val="000000"/>
          <w:szCs w:val="28"/>
          <w:lang w:eastAsia="ru-RU"/>
        </w:rPr>
        <w:t>Учитывая, что Мурманская область входит в состав Арктической зоны Российской Федерации, весомой поддержкой для развития предпринимательства станет и формируемая система преференций для резидентов Арктической зоны Российской Федерации.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color w:val="000000"/>
          <w:szCs w:val="28"/>
          <w:lang w:eastAsia="ru-RU"/>
        </w:rPr>
      </w:pPr>
      <w:r w:rsidRPr="00571BC1">
        <w:rPr>
          <w:rFonts w:eastAsia="Times New Roman"/>
          <w:color w:val="000000"/>
          <w:szCs w:val="28"/>
          <w:lang w:eastAsia="ru-RU"/>
        </w:rPr>
        <w:t>В июле 2020 года принят федеральный пакет арктических законов, направленных на поддержку бизнеса в Арктике.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8"/>
        <w:jc w:val="both"/>
        <w:textAlignment w:val="baseline"/>
        <w:rPr>
          <w:rFonts w:eastAsia="Times New Roman"/>
          <w:color w:val="000000"/>
          <w:szCs w:val="28"/>
          <w:lang w:eastAsia="ru-RU"/>
        </w:rPr>
      </w:pPr>
      <w:r w:rsidRPr="00571BC1">
        <w:rPr>
          <w:rFonts w:eastAsia="Times New Roman"/>
          <w:color w:val="000000"/>
          <w:szCs w:val="28"/>
          <w:lang w:eastAsia="ru-RU"/>
        </w:rPr>
        <w:t>В Мурманской области в настоящее время осуществляется разработка соответствующей региональной и муниципальной системы преференций для резидентов Арктической зоны Российской Федерации.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color w:val="000000"/>
          <w:szCs w:val="28"/>
          <w:lang w:eastAsia="ru-RU"/>
        </w:rPr>
        <w:t xml:space="preserve">Данная система преференций позволит снизить так называемое «северное удорожание» прежде всего для субъектов малого и среднего предпринимательства и ставки по налогам. </w:t>
      </w:r>
      <w:r w:rsidRPr="00571BC1">
        <w:rPr>
          <w:rFonts w:eastAsia="Times New Roman"/>
          <w:szCs w:val="28"/>
          <w:lang w:eastAsia="ru-RU"/>
        </w:rPr>
        <w:t>Инвестиционный порог для резидентов Арктической зоны РФ составит всего 1 млн. рублей.</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bCs/>
          <w:szCs w:val="28"/>
          <w:lang w:eastAsia="ru-RU"/>
        </w:rPr>
      </w:pPr>
      <w:r w:rsidRPr="00571BC1">
        <w:rPr>
          <w:rFonts w:eastAsia="Times New Roman"/>
          <w:bCs/>
          <w:szCs w:val="28"/>
          <w:lang w:eastAsia="ru-RU"/>
        </w:rPr>
        <w:t>Инвестиции и строительство</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Объем инвестиций в 2019 году составил 67,3 млрд. руб. (90,2% в действующих ценах к 2018 году). Число организаций, осуществивших инвестиции в 2019 году, уменьшилось до 658 ед. (91,5% к 2018 году), в том числе в сфере рыболовства и рыбоводства – до 27 ед. (81,8%), деятельности в области информации и связи – до 24 ед. (85,7%). Число организаций, осуществивших инвестиции в сфере торговли оптовой и розничной; ремонта автотранспортных средств и оборудования, увеличилось до 73 ед. (105,8%).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szCs w:val="28"/>
          <w:lang w:eastAsia="ru-RU"/>
        </w:rPr>
        <w:t xml:space="preserve">Объем инвестиций уменьшился в сфере рыболовства и рыбоводства до </w:t>
      </w:r>
      <w:r w:rsidRPr="00571BC1">
        <w:rPr>
          <w:rFonts w:eastAsia="Times New Roman"/>
          <w:szCs w:val="28"/>
          <w:lang w:eastAsia="ru-RU"/>
        </w:rPr>
        <w:lastRenderedPageBreak/>
        <w:t xml:space="preserve">6,0 млрд. руб. (73,7% к уровню 2018 года) за счет </w:t>
      </w:r>
      <w:r w:rsidRPr="00571BC1">
        <w:rPr>
          <w:rFonts w:eastAsia="Times New Roman"/>
          <w:bCs/>
          <w:szCs w:val="28"/>
          <w:lang w:eastAsia="ru-RU"/>
        </w:rPr>
        <w:t xml:space="preserve">значительного снижения привлеченных средств, в том числе кредитов банков, на 82,5%, в сфере строительства до 117,3 млн. руб. (27% к уровню 2018 года) за счет снижения собственных средств предприятий на 87,1%, в сфере водоснабжения, водоотведения, организации сбора и утилизации отходов, деятельности по ликвидации загрязнений до 803,1 млн. руб. (30,6% к уровню 2018 года) за счет снижения привлеченных средств на 72%.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xml:space="preserve">В 6,7 раза увеличился объем инвестиций в сфере обрабатывающих производств, составив 2,8 млрд. руб., за счет увеличения собственных средств предприятий в 5,3 раза и увеличения привлеченных средств в 9,8 раза. Значительный рост объема инвестиций отмечается в сфере профессиональной, научной и технической деятельности до 1,7 млрд. руб. (в 3 раза к уровню 2018 года) за счет увеличения в два раза собственных средств организаций. </w:t>
      </w:r>
      <w:r w:rsidRPr="00571BC1">
        <w:rPr>
          <w:rFonts w:eastAsia="Times New Roman"/>
          <w:bCs/>
          <w:szCs w:val="28"/>
          <w:lang w:eastAsia="ru-RU"/>
        </w:rPr>
        <w:br/>
        <w:t xml:space="preserve">В 2,5 раза увеличился объем инвестиций в сфере деятельности по операциям с недвижимым имуществом до 250,2 млн. руб. также за счет увеличения собственных средств организаций. Значительный рост объема инвестиций отмечен в сфере здравоохранения до 1,7 млрд. руб. (в 3,4 раза к уровню </w:t>
      </w:r>
      <w:r w:rsidRPr="00571BC1">
        <w:rPr>
          <w:rFonts w:eastAsia="Times New Roman"/>
          <w:bCs/>
          <w:szCs w:val="28"/>
          <w:lang w:eastAsia="ru-RU"/>
        </w:rPr>
        <w:br/>
        <w:t>2018 года) за счет увеличения бюджетных средств в 3,7 раза.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По итогам мониторинга реализации инвестиционных проектов на территории муниципального образования город Мурманск в 2019 году успешно реализованы и перешли в категорию завершенных пять инвестпроектов, в том числе: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межшкольный стадион в г. Мурманске (I, II этапы);</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строительство 14-этажного жилого дома с многофункциональным комплексом «Молодежный» по проспекту Кольскому в г. Мурманске;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техническое перевооружение и реконструкция электросетевых объектов АО «МОЭСК» на 2012-2019 годы;</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строительство блочно-модульной котельной по улице Фестивальной в городе Мурманске;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строительство рыбоперерабатывающего завода ООО «Русская треска».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 инвестиционному проекту по строительству крытого катка с искусственным льдом по адресу: ул. Капитана Орликовой, 9 микрорайон, приступили в 2019 году. В полном объеме выполнены работы по устройству свай, фундаментов, выполнен монтаж металлокаркасного здания, выполнен монтаж кровли из стального профилированного настила, выполнены работы по монтажу сэндвич-панелей на 95%, выполнены работы по монтажу витражей, оконных блоков на 20%, выполнены работы по устройству железобетонной плиты пола на 45%.</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Совместно с комитетом градостроительства и территориального развития администрации города Мурманска в 2019 году проводилась работа по формированию и актуализации перечня свободных земельных участков для осуществления инвестиционной деятельности (информация об инвестиционных площадках города Мурманска представлена в инвестиционном паспорте муниципального образования город Мурманск и размещена на официальном сайте администрации города Мурманска в разделе «Инвестиционная </w:t>
      </w:r>
      <w:r w:rsidRPr="00571BC1">
        <w:rPr>
          <w:rFonts w:eastAsia="Times New Roman"/>
          <w:szCs w:val="28"/>
          <w:lang w:eastAsia="ru-RU"/>
        </w:rPr>
        <w:lastRenderedPageBreak/>
        <w:t xml:space="preserve">деятельность» комитета по экономическому развитию администрации города Мурманска, а также на Инвестиционном портале города Мурманска). На настоящий момент в данный перечень включено 15 инвестиционных площадок.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Крупнейшие инвестиционные проекты в городе планируются к реализации ведущими транспортными предприятиями города в целях развития портовой инфраструктуры: строительство головного универсального атомного ледокола и четырех серийных универсальных атомных ледоколов, реконструкция объектов портовой инфраструктуры и модернизация складского оборудования АО «Мурманский морской торговый порт», строительство </w:t>
      </w:r>
      <w:r w:rsidRPr="00571BC1">
        <w:rPr>
          <w:rFonts w:eastAsia="Times New Roman"/>
          <w:szCs w:val="28"/>
          <w:lang w:eastAsia="ru-RU"/>
        </w:rPr>
        <w:br/>
        <w:t xml:space="preserve">ФГУП «Росморпорт» экологического комплекса в районе причала № 20 Мурманского морского торгового порта, создание перегрузочного терминала ПАО «ГМК «Норильский никель» в г. Мурманске и такелажного склада с открытой складской площадкой, развитие терминалов третьего грузового района Мурманского морского торгового порта ООО «Мурманский балкерный терминал», строительство верфи по изготовлению модульных конструкций верхних строений нефтегазодобывающих сооружений для арктического шельфа на территории филиала «35 Судоремонтный завод» АО «Центр судоремонта «Звездочка», обновление подвижного состава транспортного парка АО «Электротранспорт», строительство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районе Росляково на базе АО </w:t>
      </w:r>
      <w:r w:rsidRPr="00571BC1">
        <w:rPr>
          <w:rFonts w:eastAsia="Times New Roman"/>
          <w:szCs w:val="28"/>
          <w:lang w:eastAsia="ru-RU"/>
        </w:rPr>
        <w:br/>
        <w:t>«82 Судоремонтный завод».</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настоящее время в городе достаточно много социальных и других объектов, требующих капитальных вложений в реконструкцию (Драматический театр Северного флота, кинотеатр «Родина» (Дворец молодежи), школы искусств, ДК «Маяк» и «Первомайский», спорткомплекс «Снежинка» (КП-2), Ледовый дворец спорта и др.), которые могут способствовать в перспективе развитию государственно-частного и муниципально-частного партнерства в городе Мурманске.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Требуются инвестиции для реализации проектов, запланированных в рамках муниципальных программ, по реконструкции и модернизации объектов муниципальных дошкольных образовательных учреждений города Мурманска, модернизации зданий средних общеобразовательных школ города Мурманска, реконструкции объектов муниципальных спортивных школ и модернизации школьных спортивных площадок, устройству игровых площадок на территории общеобразовательных учреждений. Также требуются инвестиции для реализации проектов по рекультивации городской свалки твердых отходов, строительству (реконструкции) комплекса инженерных сооружений для очистки сточных вод, модернизации улично-дорожной сети и строительству, благоустройству и ремонту общественных и дворовых территорий города Мурманска.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Для повышения инвестиционной привлекательности города Мурманска и привлечения инвесторов администрацией города Мурманска в рамках </w:t>
      </w:r>
      <w:r w:rsidRPr="00571BC1">
        <w:rPr>
          <w:rFonts w:eastAsia="Times New Roman"/>
          <w:szCs w:val="28"/>
          <w:lang w:eastAsia="ru-RU"/>
        </w:rPr>
        <w:lastRenderedPageBreak/>
        <w:t xml:space="preserve">подпрограммы «Повышение инвестиционной и туристской привлекательности города Мурманска» муниципальной программы города Мурманска «Развитие конкурентоспособной экономики» на 2018-2024 годы реализуются мероприятия по продвижению бренда города Мурманска (в том числе имиджевая символика города используется при производстве сувенирной продукции, декадных транспортных карт для туристов).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рамках реализации вышеобозначенной муниципальной программы инвестиционные возможности города Мурманска представляются на деловых мероприятиях в России и за рубежом, реализуются мероприятия по развитию международных связей, преимущественно с Белоруссией, Норвегией, Финляндией, Швецией, Турцией, Китаем, в том числе в рамках побратимских отношений.</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на 2018-2024 годы, которые в свою очередь направлены на реализацию национальных проектов Российской Федерации, установленных Указом Президента РФ от 07.05.2018 № 204 «О национальных целях и стратегических задачах развития Российской Федерации на период до 2024 года».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2020 году в городе Мурманске реализуются восемь региональных проектов, направленных на достижение показателей пяти национальных проектов, которые предусмотрены Указом Президента РФ от 07.05.2018 № 204 «О национальных целях и стратегических задачах развития Российской Федерации на период до 2024 года»: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1. В рамках национального проекта «Культура» - региональный проект «Культурная среда».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2. В рамках национального проекта «Образование» - региональный проект «Современная школа».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3. В рамках национального проекта «Жилье и городская среда» - региональные проекты «Жилье», «Формирование комфортной городской среды» и «Обеспечение устойчивого сокращения непригодного для проживания жилищного фонда».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4. В рамках национального проекта «Демография» - региональные проекты «Спорт – норма жизни» и «Содействие занятости женщин – создание условий дошкольного образования для детей в возрасте до трех лет».</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5. В рамках национального проекта «Безопасные и качественные автомобильные дороги» - региональный проект «Дорожная сеть».</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MS Mincho"/>
          <w:bCs/>
          <w:szCs w:val="28"/>
          <w:lang w:eastAsia="ja-JP"/>
        </w:rPr>
      </w:pPr>
      <w:r w:rsidRPr="00571BC1">
        <w:rPr>
          <w:rFonts w:eastAsia="Times New Roman"/>
          <w:szCs w:val="28"/>
          <w:lang w:eastAsia="ru-RU"/>
        </w:rPr>
        <w:t xml:space="preserve">Дальнейшему наращиванию инвестиционного потенциала города и региона в целом будет способствовать созданная ТОР «Столица Арктики», </w:t>
      </w:r>
      <w:r w:rsidRPr="00571BC1">
        <w:rPr>
          <w:rFonts w:eastAsia="MS Mincho"/>
          <w:bCs/>
          <w:szCs w:val="28"/>
          <w:lang w:eastAsia="ja-JP"/>
        </w:rPr>
        <w:t>которая может стать одним из генераторов экономического роста.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Первым резидентом ТОР «Столица Арктики» стало </w:t>
      </w:r>
      <w:r w:rsidRPr="00571BC1">
        <w:rPr>
          <w:rFonts w:eastAsia="Times New Roman"/>
          <w:szCs w:val="28"/>
          <w:lang w:eastAsia="ru-RU"/>
        </w:rPr>
        <w:br/>
        <w:t xml:space="preserve">ООО «НОВАТЭК-Мурманск» с проектом создания Центра строительства крупнотоннажных морских сооружений в селе Белокаменка. Также в пул потенциальных резидентов входят: ООО «МТП Лавна» с проектом создания </w:t>
      </w:r>
      <w:r w:rsidRPr="00571BC1">
        <w:rPr>
          <w:rFonts w:eastAsia="Times New Roman"/>
          <w:szCs w:val="28"/>
          <w:lang w:eastAsia="ru-RU"/>
        </w:rPr>
        <w:lastRenderedPageBreak/>
        <w:t xml:space="preserve">угольного терминала на западном берегу Кольского залива, ООО «Морской терминал Тулома» с проектом строительства терминала по перевалке удобрений на западном берегу Кольского залива и проект Международного арктического культурно-делового центра «Мурманск».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 xml:space="preserve">Федеральный пакет арктических законов, а также соответствующие региональные и муниципальные системы преференций для резидентов Арктической зоны Российской Федерации будут способствовать формированию инвестиционного роста в прогнозном периоде, новый цикл которого запущен в 2020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среднесрочном прогнозном периоде в базовом варианте прогноза индекс физического объема инвестиций предположительно составит до 101%. Незначительная волатильность интенсивности роста и снижения в течение прогнозного периода будет обусловлена изменением характера выполняемых работ в зависимости от этапов реализации инвестиционных проектов.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2025 году объем инвестиций в основной капитал за счет всех источников финансирования предположительно составит 64,6 млрд. руб. в базовом варианте прогноза, 80,7 млрд. руб. - в целевом варианте прогноза.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571BC1">
        <w:rPr>
          <w:rFonts w:eastAsia="Times New Roman"/>
          <w:szCs w:val="28"/>
          <w:lang w:eastAsia="ru-RU"/>
        </w:rPr>
        <w:t xml:space="preserve">Динамика роста инвестиций в целевом варианте прогноза (индекс физического объема до 105%) определяется основными драйверами формирования инвестиционной активности: реализацией инвестиционных проектов по строительству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 осуществляющих плавание в акватории Северного морского пути, в районе Росляково города Мурманска на базе АО «82 Судоремонтный завод»; </w:t>
      </w:r>
      <w:r w:rsidRPr="00571BC1">
        <w:rPr>
          <w:rFonts w:eastAsia="Times New Roman"/>
          <w:bCs/>
          <w:color w:val="000000"/>
          <w:szCs w:val="28"/>
          <w:lang w:eastAsia="ru-RU"/>
        </w:rPr>
        <w:t>модернизации производственных мощностей филиала «35 Судоремонтный завод» АО «Центр судоремонта «Звездочка».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571BC1">
        <w:rPr>
          <w:rFonts w:eastAsia="Times New Roman"/>
          <w:bCs/>
          <w:color w:val="000000"/>
          <w:szCs w:val="28"/>
          <w:lang w:eastAsia="ru-RU"/>
        </w:rPr>
        <w:t>Соответственно, к основным рискам недостижения прогнозных значений показателей относятся: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bCs/>
          <w:color w:val="000000"/>
          <w:szCs w:val="28"/>
          <w:lang w:eastAsia="ru-RU"/>
        </w:rPr>
        <w:t xml:space="preserve">- </w:t>
      </w:r>
      <w:r w:rsidRPr="00571BC1">
        <w:rPr>
          <w:rFonts w:eastAsia="Times New Roman"/>
          <w:szCs w:val="28"/>
          <w:lang w:eastAsia="ru-RU"/>
        </w:rPr>
        <w:t>отсрочка реализации инвестиционных проектов на территории города Мурманска;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571BC1">
        <w:rPr>
          <w:rFonts w:eastAsia="Times New Roman"/>
          <w:bCs/>
          <w:color w:val="000000"/>
          <w:szCs w:val="28"/>
          <w:lang w:eastAsia="ru-RU"/>
        </w:rPr>
        <w:t>- сокращение объемов и/или перенос сроков планового финансирования проектов, реализуемых за счет средств федерального и областного бюджетов.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Объем работ строительного подряда в действующих ценах сократился до 624,8 млн. рублей (23,1% к 2018 году). Снижение связано с изменением объема работ по строительству зданий и производству электромонтажных работ, а также с окончанием строительства и вводом объектов в эксплуатацию. За </w:t>
      </w:r>
      <w:r w:rsidRPr="00571BC1">
        <w:rPr>
          <w:rFonts w:eastAsia="Times New Roman"/>
          <w:szCs w:val="28"/>
          <w:lang w:eastAsia="ru-RU"/>
        </w:rPr>
        <w:br/>
        <w:t>2019 год введено 64 здания (в 1,8 раз больше, чем за 2018 год) общей площадью более 82,3 тыс. кв.м,</w:t>
      </w:r>
      <w:r w:rsidRPr="00571BC1">
        <w:rPr>
          <w:rFonts w:eastAsia="Times New Roman"/>
          <w:color w:val="FF0000"/>
          <w:szCs w:val="28"/>
          <w:lang w:eastAsia="ru-RU"/>
        </w:rPr>
        <w:t xml:space="preserve"> </w:t>
      </w:r>
      <w:r w:rsidRPr="00571BC1">
        <w:rPr>
          <w:rFonts w:eastAsia="Times New Roman"/>
          <w:szCs w:val="28"/>
          <w:lang w:eastAsia="ru-RU"/>
        </w:rPr>
        <w:t xml:space="preserve">в том числе 21 жилой дом (включая индивидуальные жилые дома, построенные населением, введенные в эксплуатацию в установленном порядке) общей площадью 5,0 тыс. кв.м. Также введено </w:t>
      </w:r>
      <w:r w:rsidRPr="00571BC1">
        <w:rPr>
          <w:rFonts w:eastAsia="Times New Roman"/>
          <w:szCs w:val="28"/>
          <w:lang w:eastAsia="ru-RU"/>
        </w:rPr>
        <w:br/>
        <w:t xml:space="preserve">43 нежилых здания (159,3% к 2018 году) общей площадью 77,2 тыс. кв.м, включая 20 коммерческих, четыре административных, четыре промышленных и одно учебное здания.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течение 2019 года выданы разрешения на строительство объектов: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 xml:space="preserve">- «Спортивно-туристический комплекс «Баренц» по адресу: г. Мурманск, </w:t>
      </w:r>
      <w:r w:rsidRPr="00571BC1">
        <w:rPr>
          <w:rFonts w:eastAsia="Times New Roman"/>
          <w:szCs w:val="28"/>
          <w:lang w:eastAsia="ru-RU"/>
        </w:rPr>
        <w:br/>
        <w:t xml:space="preserve">ул. Долина Уюта» общей площадью 354,3 кв.м;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«Здание делового управления по адресу: г. Мурманск, пр. Ленина, д. 5» общей площадью 2142,0 кв.м;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«Разработка проектно-сметной документации на строительство стадиона с конькобежными дорожками, спортивным ядром, состоящим из футбольного поля с искусственным покрытием, помещением для переодевания и трибунами» общей площадью 24 756,6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«База отдыха для экскурсий на лодках и лыжах» в городе Мурманске общей площадью 150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«Гостиница со встроенно-пристроенными объектами торговли, общественного питания и бытового обслуживания, необходимыми для обслуживания посетителей», расположенного по адресу: г. Мурманск, </w:t>
      </w:r>
      <w:r w:rsidRPr="00571BC1">
        <w:rPr>
          <w:rFonts w:eastAsia="Times New Roman"/>
          <w:szCs w:val="28"/>
          <w:lang w:eastAsia="ru-RU"/>
        </w:rPr>
        <w:br/>
        <w:t>ул. Старостина, д. 10, общей площадью 3 687,4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Кроме того, в 2019 году выданы разрешения на ввод в эксплуатацию следующих объектов: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«Многофункциональный комплекс по ул. Рогозерской, в районе дома </w:t>
      </w:r>
      <w:r w:rsidRPr="00571BC1">
        <w:rPr>
          <w:rFonts w:eastAsia="Times New Roman"/>
          <w:szCs w:val="28"/>
          <w:lang w:eastAsia="ru-RU"/>
        </w:rPr>
        <w:br/>
        <w:t>№ 8» общей площадью более 45 тыс.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«Детский сад на 50 мест с бассейном по ул. Калинина, дом 42 (первый этап строительства)» общей площадью 1 412,2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«24-квартирный 5-ти этажный дом с подвалом по ул. Бабикова, дом 6а» общей площадью 2 313,9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«Завод – объект капитального строительства по переработке трески, пикши и иных рыб малой мощности № 1», расположенного по адресу: </w:t>
      </w:r>
      <w:r w:rsidRPr="00571BC1">
        <w:rPr>
          <w:rFonts w:eastAsia="Times New Roman"/>
          <w:szCs w:val="28"/>
          <w:lang w:eastAsia="ru-RU"/>
        </w:rPr>
        <w:br/>
        <w:t xml:space="preserve">г. Мурманск, ул. Три Ручья, общей площадью 858,3 кв.м (застройщик </w:t>
      </w:r>
      <w:r w:rsidRPr="00571BC1">
        <w:rPr>
          <w:rFonts w:eastAsia="Times New Roman"/>
          <w:szCs w:val="28"/>
          <w:lang w:eastAsia="ru-RU"/>
        </w:rPr>
        <w:br/>
        <w:t>ООО «Парк»);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рыбоперерабатывающего предприятия производительностью 50 тонн готовой продукции в сутки и не менее 6 тонн в сутки продукции из отходов рыбного производства (собственник ООО «Русская треска»), расположенного по адресу: г. Мурманск, ул. Три Ручья, д. 10, общей площадью 5 096,4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«Ангар стадиона «Юность» в МБУ ДО ДЮСШ № 6 по адресу: </w:t>
      </w:r>
      <w:r w:rsidRPr="00571BC1">
        <w:rPr>
          <w:rFonts w:eastAsia="Times New Roman"/>
          <w:szCs w:val="28"/>
          <w:lang w:eastAsia="ru-RU"/>
        </w:rPr>
        <w:br/>
        <w:t>г. Мурманск, ул. Героев Рыбачьего, д. 8а» общей площадью 699,2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«Возведение сборно-каркасного интернет-кафе на объекте благоустройства «Детский городок, расположенный по адресу: г. Мурманск, </w:t>
      </w:r>
      <w:r w:rsidRPr="00571BC1">
        <w:rPr>
          <w:rFonts w:eastAsia="Times New Roman"/>
          <w:szCs w:val="28"/>
          <w:lang w:eastAsia="ru-RU"/>
        </w:rPr>
        <w:br/>
        <w:t>пр. Героев-североморцев» общей площадью 172,6 кв.м на 60 мест;</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«Реконструкция отдельно стоящего здания под жилой дом по адресу: </w:t>
      </w:r>
      <w:r w:rsidRPr="00571BC1">
        <w:rPr>
          <w:rFonts w:eastAsia="Times New Roman"/>
          <w:szCs w:val="28"/>
          <w:lang w:eastAsia="ru-RU"/>
        </w:rPr>
        <w:br/>
        <w:t>г. Мурманск, ул. Фадеев Ручей, д.18» общей площадью 667,2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«Выставочный зал и гостиница для животных по адресу: </w:t>
      </w:r>
      <w:r w:rsidRPr="00571BC1">
        <w:rPr>
          <w:rFonts w:eastAsia="Times New Roman"/>
          <w:szCs w:val="28"/>
          <w:lang w:eastAsia="ru-RU"/>
        </w:rPr>
        <w:br/>
        <w:t>г. Мурманск, ул. Баумана, д. 15, корпус 1» общей площадью 1 232,7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 «Реконструкция здания склада под хостел по ул. Журбы, 1, </w:t>
      </w:r>
      <w:r w:rsidRPr="00571BC1">
        <w:rPr>
          <w:rFonts w:eastAsia="Times New Roman"/>
          <w:szCs w:val="28"/>
          <w:lang w:eastAsia="ru-RU"/>
        </w:rPr>
        <w:br/>
        <w:t>г. Мурманск» общей площадью 444,5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«Котельная по улице Фестивальной в городе Мурманске» общей площадью 262,7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Строительство и ввод в эксплуатацию данных объектов обеспечат рост объема работ строительного подряда в прогнозном периоде.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lastRenderedPageBreak/>
        <w:t>Рост автомобилизации (на 01.01.2019 в среднем на 1000 человек населения приходится 340 легковых автомобилей индивидуальных владельцев) требует расширения деятельности по реконструкции автомобильных дорог. Износ жилого и нежилого фонда, требующего ремонта, также будет способствовать сохранению работ строительного подряда в городе Мурманске. Кроме того, в рамках программы «Формирование современной городской среды на территории муниципального образования город Мурманск» на 2018-2024 годы, направленной на повышение качества жизни населения, реализуются мероприятия по повышению уровня благоустройства дворовых территорий и территорий общего пользования города Мурманска, выбранных с привлечением жителей. В 2020 году программой предусмотрено благоустройство 33 общественных и дворовых территорий, отремонтированных входных групп и подъездов многоквартирных домов, в том числе благоустройство сквера Аллея Полярной дивизии, сквера у озера Ледового, зеленой зоны вдоль улицы Капитана Копытова. Таким образом, в прогнозном периоде ожидается незначительный рост объема строительного подряда в пределах 101% - 103% ежегодно.</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571BC1">
        <w:rPr>
          <w:rFonts w:eastAsia="Times New Roman"/>
          <w:bCs/>
          <w:szCs w:val="28"/>
          <w:lang w:eastAsia="ru-RU"/>
        </w:rPr>
        <w:t xml:space="preserve">Сальдированный финансовый результат (прибыль, убыток) </w:t>
      </w:r>
      <w:r w:rsidRPr="00571BC1">
        <w:rPr>
          <w:rFonts w:eastAsia="Times New Roman"/>
          <w:bCs/>
          <w:szCs w:val="28"/>
          <w:lang w:eastAsia="ru-RU"/>
        </w:rPr>
        <w:br/>
        <w:t>деятельности крупных и средних предприятий</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Наблюдается значительное увеличение в январе-ноябре 2019 года сальдированного финансового результата деятельности организаций до </w:t>
      </w:r>
      <w:r w:rsidRPr="00571BC1">
        <w:rPr>
          <w:rFonts w:eastAsia="Times New Roman"/>
          <w:szCs w:val="28"/>
          <w:lang w:eastAsia="ru-RU"/>
        </w:rPr>
        <w:br/>
        <w:t>61,0 млрд. рублей (154,1% к аналогичному периоду 2018 года). Данное увеличение обусловлено ростом прибыли предприятий в деятельности административной и сопутствующих дополнительных услуг в 8,2 раза (связано с ростом доходов), увеличением прибыли предприятий в сфере обеспечения электрической энергией, газом и паром; кондиционирования воздуха в 7,5 раза (увеличение связано с ростом доходов), в сфере обрабатывающих производств в 6,9 раза к аналогичному периоду 2018 года, а также в сфере торговли оптовой и розничной; ремонта автотранспортных средств и мотоциклов (в 3,8 раза к аналогичному периоду 2018 года).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Положительный финансовый результат сложился в сфере сельского, лесного хозяйства, охоты, рыболовства и рыбоводства – 47 млрд. руб., в сфере транспортировки и хранения - 10,9 млрд. руб., деятельности профессиональной, научной и технической - 902,7 млн. руб. Общее количество прибыльных организаций составило 76 ед. (101,3% к январю-ноябрю 2018 года), сумма прибыли – 64,4 млрд. руб. (142,7%).</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Отрицательный финансовый результат сложился у предприятий в сфере строительства в сумме 974,6 млн. рублей. Отсутствуют прибыльные организации в образовании (убыток данных организаций составил 1,1 млн. рублей). Общее число убыточных организаций – 37 единиц (88,1% к аналогичному периоду 2018 года), сумма убытка – 3,4 млрд. рублей (60,9%).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В январе-ноябре 2019 года доля прибыльных организаций составила 67,3%. 100% прибыльными являются организации по видам экономической </w:t>
      </w:r>
      <w:r w:rsidRPr="00571BC1">
        <w:rPr>
          <w:rFonts w:eastAsia="Times New Roman"/>
          <w:szCs w:val="28"/>
          <w:lang w:eastAsia="ru-RU"/>
        </w:rPr>
        <w:lastRenderedPageBreak/>
        <w:t>деятельности «Добыча полезных ископаемых», «Водоснабжение; водоотведение, организация сбора и утилизации отходов, деятельность по ликвидации загрязнений», «Деятельность финансовая и страховая» и «Деятельность административная и сопутствующие дополнительные услуги». 100% убыточными являются организации в сфере деятельности по операциям с недвижимым имуществом.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отмечено увеличение дебиторской задолженности до </w:t>
      </w:r>
      <w:r w:rsidRPr="00571BC1">
        <w:rPr>
          <w:rFonts w:eastAsia="Times New Roman"/>
          <w:bCs/>
          <w:szCs w:val="28"/>
          <w:lang w:eastAsia="ru-RU"/>
        </w:rPr>
        <w:br/>
        <w:t xml:space="preserve">121,0 млрд. руб. (166,4% по сравнению с 2018 годом). Кредиторская задолженность увеличилась до 75,8 млрд. руб. (185,0% к 2018 году). Следует отметить увеличение задолженности по платежам в бюджеты всех уровней в 1,4 раза к уровню 2018 года, также задолженности в государственные внебюджетные фонды до 631,3 млн. руб. (111,4% к 2018 году). Также незначительно увеличилась задолженность поставщикам и подрядчикам за товары, работы и услуги из общей суммы кредиторской задолженности до </w:t>
      </w:r>
      <w:r w:rsidRPr="00571BC1">
        <w:rPr>
          <w:rFonts w:eastAsia="Times New Roman"/>
          <w:bCs/>
          <w:szCs w:val="28"/>
          <w:lang w:eastAsia="ru-RU"/>
        </w:rPr>
        <w:br/>
        <w:t>24,3 млрд. руб. (100,2% к 2018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Анализ динамики и структуры сальдированного финансового результата (прибыль, убыток) деятельности крупных и средних предприятий с 2012 года свидетельствует об устойчивом росте финансового результата предприятий по всем видам экономической деятельности. Таким образом, в прогнозном периоде ожидается рост сальдированного финансового результата в среднем на 4% ежегодно. В 2025 году прогнозное значение показателя – 68,3 млрд. руб. (в базовом варианте прогноза).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571BC1">
        <w:rPr>
          <w:rFonts w:eastAsia="Times New Roman"/>
          <w:kern w:val="32"/>
          <w:szCs w:val="28"/>
          <w:lang w:eastAsia="ru-RU"/>
        </w:rPr>
        <w:t>Труд и занятость</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сложившаяся в городе Мурманске ситуация на рынке труда характеризовалась стабильностью ключевых показателей занятости и безработицы.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Вместе с тем негативные процессы в демографии города (снижение уровня рождаемости, значительный миграционный отток населения) обусловили сокращение в 2019 году среднегодовой численности населения в трудоспособном возрасте до 166,28 тыс. человек (снижение составило 2,6% к уровню 2018 года). При этом в прогнозном периоде меры, принимаемые в целях привлечения высококвалифицированных кадров из других регионов, недопущения оттока молодых специалистов, а также в целях повышения уровня жизни населения города приведет к снижению темпов сокращения численности населения в трудоспособном возрасте. Таким образом, в 2020 году среднегодовая численность населения в трудоспособном возрасте предположительно составит 162,12 тыс. человек, в 2025 году – 149,55 тыс. человек.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Более значительное снижение темпов сокращения численности населения города в трудоспособном возрасте представляется маловероятным в связи с ухудшением возрастной структуры населения.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Численность работников организаций (без субъектов малого предпринимательства) в 2019 году составила 87,6 тыс. человек, сократившись к </w:t>
      </w:r>
      <w:r w:rsidRPr="00571BC1">
        <w:rPr>
          <w:rFonts w:eastAsia="Times New Roman"/>
          <w:bCs/>
          <w:szCs w:val="28"/>
          <w:lang w:eastAsia="ru-RU"/>
        </w:rPr>
        <w:lastRenderedPageBreak/>
        <w:t xml:space="preserve">уровню 2018 года на 2,5%.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2020 году вследствие негативных явлений на рынке труда, обусловленных неблагоприятной эпидемиологической обстановкой, приостановкой деятельности большинства организаций на период ограничительных мер, введенных на территории Мурманской области в связи с угрозой распространения новой коронавирусной инфекции (</w:t>
      </w:r>
      <w:r w:rsidRPr="00571BC1">
        <w:rPr>
          <w:rFonts w:eastAsia="Times New Roman"/>
          <w:bCs/>
          <w:szCs w:val="28"/>
          <w:lang w:val="en-US" w:eastAsia="ru-RU"/>
        </w:rPr>
        <w:t>COVID</w:t>
      </w:r>
      <w:r w:rsidRPr="00571BC1">
        <w:rPr>
          <w:rFonts w:eastAsia="Times New Roman"/>
          <w:bCs/>
          <w:szCs w:val="28"/>
          <w:lang w:eastAsia="ru-RU"/>
        </w:rPr>
        <w:t xml:space="preserve">-19), численность работников организаций предположительно сократится </w:t>
      </w:r>
      <w:r w:rsidRPr="00571BC1">
        <w:rPr>
          <w:rFonts w:eastAsia="Times New Roman"/>
          <w:bCs/>
          <w:szCs w:val="28"/>
          <w:lang w:eastAsia="ru-RU"/>
        </w:rPr>
        <w:br/>
        <w:t xml:space="preserve">до 83,6 тыс. человек (на 4,6% к уровню 2019 года).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среднесрочной перспективе на динамику данного показателя окажут отрицательное влияние общее сокращение численности населения в трудоспособном возрасте, сокращение количества организаций в городе Мурманске. Вместе с тем создание ТОР «Столица Арктики», реализация арктического пакета преференций и прогнозируемое повышение инвестиционной активности на территории региона позволяют ожидать, что темпы сокращения количества работников организаций снизятся, в результате чего в 2025 году численность работников организаций предположительно составит 75,49 тыс. человек.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среднегодовая численность безработных, зарегистрированных в службах занятости населения, составила 1,57 тыс. человек, что больше показателя 2018 года на 3,3%. Уровень безработицы (к трудоспособному населению) увеличился на 0,05 процентных пунктов и составил 0,94%.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связи с многочисленными случаями сокращения работников вследствие приостановки деятельности коммерческих организаций в рамках ограничительных мер, введенных на территории Мурманской области в связи с угрозой распространения новой коронавирусной инфекции (COVID-19), ожидается, что в 2020 году уровень безработицы возрастет до 2,04% к трудоспособному населению, при этом среднегодовая численность безработных, зарегистрированных в службах занятости населения, предположительно составит 3,3 тыс. человек.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прогнозном периоде ожидается снижение уровня безработицы за счет стабилизации эпидемиологической обстановки, реализуемых мер поддержки бизнеса в период пандемии, увеличения потребности в рабочей силе, обусловленной реализацией крупных инвестиционных проектов (в том числе резидентами ТОР «Столица Арктики»), а также мероприятий государственной программы Мурманской области «Управление развитием регионального рынка труда» (далее – Программа развития рынка труда). Таким образом, ожидается, что уровень безработицы (к трудоспособному населению) в 2025 году составит 1,1%.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Более значительное снижение уровня безработицы представляется маловероятным в связи с влиянием на состояние рынка труда следующих факторов: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приток трудовых мигрантов;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увеличение числа работающих пенсионеров;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последствия реформы пенсионной системы Российской Федерации;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lastRenderedPageBreak/>
        <w:t xml:space="preserve">- постепенное снижение общей трудоемкости производственных процессов.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Программа развития рынка труда определяет приоритеты и основные направления развития рынка труда с учетом необходимости решения задач по достижению сбалансированности спроса и предложения рабочей силы, повышению ее конкурентоспособности, развитию профориентации и переподготовки кадров, привлечению дополнительных трудовых ресурсов за счет внешней трудовой миграции, а также соотечественников, проживающих за рубежом, в соответствии с потребностями экономики города и региона в целом. Таким образом, в соответствии с Программой развития рынка труда в прогнозном периоде продолжится реализация мероприятий по оказанию содействия в трудоустройстве и профессиональной реабилитации незанятых инвалидов, в том числе путем создания специально оборудованных (оснащенных) рабочих мест, по организации профессионального обучения и повышения квалификации женщин, находящихся в отпуске по уходу за ребенком до трех лет.</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результате принимаемых мер уровень зарегистрированной безработицы к трудоспособному населению будет постепенно снижаться. В прогнозном периоде среднегодовая численность безработных, зарегистрированных в службе занятости населения, в 2025 году составит 1,65 тыс. человек.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Размер среднемесячной заработной платы работников организаций города в 2019 году в номинальном выражении увеличился на 8,5% (в реальном выражении – на 4,9%) и составил 74 334 руб.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Рост среднемесячной начисленной заработной платы в реальном выражении отмечен в следующих отраслях: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деятельность по обслуживанию зданий и территорий (321,4%);</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предоставление услуг в области добычи полезных ископаемых (193,4%);</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растениеводство и животноводство, охота и предоставление соответствующих услуг в этих областях (144,9%);</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строительство инженерных сооружений (119,4%);</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добыча сырой нефти и природного газа (103,3%);</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деятельность вспомогательная в сфере финансовых услуг и страхования (101,8%);</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ремонт компьютеров, предметов личного потребления и хозяйственно-бытового назначения (101,6%).</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С учетом итогов за первое полугодие 2020 года, а также с учетом негативных последствий пандемии ожидается, что в текущем году размер среднемесячной заработной платы увеличится в номинальном (104,9% к </w:t>
      </w:r>
      <w:r w:rsidRPr="00571BC1">
        <w:rPr>
          <w:rFonts w:eastAsia="Times New Roman"/>
          <w:bCs/>
          <w:szCs w:val="28"/>
          <w:lang w:eastAsia="ru-RU"/>
        </w:rPr>
        <w:br/>
        <w:t>2019 году) и незначительно увеличится в реальном выражении (на 100,9% к 2019 году) и составит 77 977 рублей в номинальном выражении.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прогнозном периоде с учетом действующих мер прогнозируется дальнейший рост среднемесячной заработной платы. Ожидается, что в </w:t>
      </w:r>
      <w:r w:rsidRPr="00571BC1">
        <w:rPr>
          <w:rFonts w:eastAsia="Times New Roman"/>
          <w:bCs/>
          <w:szCs w:val="28"/>
          <w:lang w:eastAsia="ru-RU"/>
        </w:rPr>
        <w:br/>
        <w:t>2025 году номинальная среднемесячная заработная плата предположительно составит 101 393 рубля.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571BC1">
        <w:rPr>
          <w:rFonts w:eastAsia="Times New Roman"/>
          <w:bCs/>
          <w:szCs w:val="28"/>
          <w:lang w:eastAsia="ru-RU"/>
        </w:rPr>
        <w:lastRenderedPageBreak/>
        <w:t>Развитие социальной сферы</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Одним из приоритетных направлений развития социальной сферы является повышение доступности качественного образования для всех категорий граждан, сохранение и укрепление здоровья обучающихся и воспитанников.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Система образования города Мурманска представлена дифференцированной сетью образовательных учреждений. В 2020 году функционирует 142 муниципальных образовательных учреждения и учреждения образования, в том числе:</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- 50 общеобразовательных учреждений, из них: 28 средних общеобразовательных школ, пять основных общеобразовательных школ, девять гимназий, четыре лицея, четыре прогимназии;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- 68 дошкольных образовательных учреждений (МАДОУ г. Мурманска </w:t>
      </w:r>
      <w:r w:rsidRPr="00571BC1">
        <w:rPr>
          <w:rFonts w:eastAsia="Times New Roman"/>
          <w:bCs/>
          <w:szCs w:val="28"/>
          <w:lang w:eastAsia="ru-RU"/>
        </w:rPr>
        <w:br/>
        <w:t>№ 110 реорганизовано в форме присоединения к нему МАДОУ г. Мурманска № 21, МБДОУ № 38 г. Мурманска реорганизовано в форме присоединения к нему МБДОУ г. Мурманска № 46);</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- 20 учреждений дополнительного образования, в том числе: 12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«ПрофСтарт», муниципальное бюджетное учреждение дополнительного образования г. Мурманска «Центр психолого-педагогической, медицинской и социальной помощи»;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муниципальное бюджетное учреждение дополнительного профессионального образования г. Мурманска «Городской информационно-методический центр работников образования»;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три прочих учреждения образования, обеспечивающих предоставление услуг (выполнение работ) в сфере образования.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2019 году в муниципальных ДОУ услугу дошкольного образования получали 17 358 человек, в том числе один ребенок-инвалид получал услугу дошкольного образования на дому.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связи с отрицательными демографическими тенденциями (сокращением численности женщин репродуктивного возраста, уменьшением числа родившихся) ожидается некоторое уменьшение численности воспитанников дошкольных образовательных учреждений в среднесрочной перспективе - до 17 214 человек в 2025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трех до семи лет.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в муниципальных ДОУ функционируют: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 центры игровой поддержки ребенка в количестве 22 ед.;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 xml:space="preserve">- консультативные пункты в девяти ДОУ.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lastRenderedPageBreak/>
        <w:t xml:space="preserve">В центрах игровой поддержки ребенка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szCs w:val="28"/>
          <w:lang w:eastAsia="ru-RU"/>
        </w:rPr>
        <w:t>Также в ДОУ функционируют 35 логопедических пунктов, в которых по адаптированной программе обучались более 800 детей.</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целях повышения обеспеченности населения города Мурманска местами в дошкольных образовательных учреждениях практически ежегодно проводятся мероприятия по созданию дополнительных мест в муниципальных ДОУ.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частности, в 2021 году планируется ввод в эксплуатацию детского сада на 80 мест в районе ул. Капитана Орликовой и на 196 мест в районе </w:t>
      </w:r>
      <w:r w:rsidRPr="00571BC1">
        <w:rPr>
          <w:rFonts w:eastAsia="Times New Roman"/>
          <w:bCs/>
          <w:szCs w:val="28"/>
          <w:lang w:eastAsia="ru-RU"/>
        </w:rPr>
        <w:br/>
        <w:t xml:space="preserve">ул. Достоевского в рамках регионального проекта «Содействие занятости женщин – создание условий дошкольного образования для детей в возрасте до трех лет» (национальный проект «Демография»). В 2022 году планируется ввод в эксплуатацию структурного подразделения МДОУ № 109 г. Мурманска на </w:t>
      </w:r>
      <w:r w:rsidRPr="00571BC1">
        <w:rPr>
          <w:rFonts w:eastAsia="Times New Roman"/>
          <w:bCs/>
          <w:szCs w:val="28"/>
          <w:lang w:eastAsia="ru-RU"/>
        </w:rPr>
        <w:br/>
        <w:t>75 мест.</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Ожидается, что в результате принимаемых мер количество мест в муниципальных дошкольных образовательных учреждениях увеличится с </w:t>
      </w:r>
      <w:r w:rsidRPr="00571BC1">
        <w:rPr>
          <w:rFonts w:eastAsia="Times New Roman"/>
          <w:bCs/>
          <w:szCs w:val="28"/>
          <w:lang w:eastAsia="ru-RU"/>
        </w:rPr>
        <w:br/>
        <w:t xml:space="preserve">15 425 мест в 2019 году до 15 846 мест в 2025 году. В результате этого обеспеченность населения местами в дошкольных образовательных учреждениях возрастет с 76,69 мест на 100 детей дошкольного возраста в </w:t>
      </w:r>
      <w:r w:rsidRPr="00571BC1">
        <w:rPr>
          <w:rFonts w:eastAsia="Times New Roman"/>
          <w:bCs/>
          <w:szCs w:val="28"/>
          <w:lang w:eastAsia="ru-RU"/>
        </w:rPr>
        <w:br/>
        <w:t xml:space="preserve">2019 году до 80,87 мест на 100 детей дошкольного возраста в 2025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Система общего образования города Мурманска представлена </w:t>
      </w:r>
      <w:r w:rsidRPr="00571BC1">
        <w:rPr>
          <w:rFonts w:eastAsia="Times New Roman"/>
          <w:bCs/>
          <w:szCs w:val="28"/>
          <w:lang w:eastAsia="ru-RU"/>
        </w:rPr>
        <w:br/>
        <w:t>50 учреждениями, в том числе 28 средними общеобразовательными школами, пятью основными общеобразовательными школами, девятью гимназиями, четырьмя лицеями, четырьмя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обучающимися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средняя численность обучающихся муниципальных общеобразовательных учреждений составила 30 169 человек (101,1% к уровню 2018 года).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Федеральный государственный образовательный стандарт реализован на всем уровне начального общего образования, осуществляется поэтапный переход на ФГОС основного общего образования.</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С учетом данных ведомственной статистики за первое полугодие </w:t>
      </w:r>
      <w:r w:rsidRPr="00571BC1">
        <w:rPr>
          <w:rFonts w:eastAsia="Times New Roman"/>
          <w:bCs/>
          <w:szCs w:val="28"/>
          <w:lang w:eastAsia="ru-RU"/>
        </w:rPr>
        <w:br/>
        <w:t xml:space="preserve">2020 года ожидается, что в 2020 году общее количество обучающихся общеобразовательных учреждений составит 30 851 человек (в том числе муниципальных – 30 390 человек). В прогнозном периоде в связи с некоторым увеличением числа детей школьного возраста ожидается незначительное увеличение численности обучающихся – до 32 867 человек в 2025 году </w:t>
      </w:r>
      <w:r w:rsidRPr="00571BC1">
        <w:rPr>
          <w:rFonts w:eastAsia="Times New Roman"/>
          <w:bCs/>
          <w:szCs w:val="28"/>
          <w:lang w:eastAsia="ru-RU"/>
        </w:rPr>
        <w:br/>
      </w:r>
      <w:r w:rsidRPr="00571BC1">
        <w:rPr>
          <w:rFonts w:eastAsia="Times New Roman"/>
          <w:bCs/>
          <w:szCs w:val="28"/>
          <w:lang w:eastAsia="ru-RU"/>
        </w:rPr>
        <w:lastRenderedPageBreak/>
        <w:t>(в базовом варианте прогноза).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При этом постоянно растет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Так в 2019 году данный показатель составил 98,5%. В прогнозном периоде ожидается, что в одну смену будут заниматься 99,7% обучающихся общеобразовательных учреждений. Динамика показателя обусловлена комплексом мер по организации образовательного процесса, направленных на обеспечение односменного режима обучения 1-11 классов общеобразовательных учреждений города Мурманска.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Численность обучающихся по программам среднего профессионального образования в 2019 году составила 10 050 человек, увеличившись к уровню предыдущего года на 160 человек. В прогнозном периоде ожидается дальнейшее увеличение численности обучающихся – до 10 810 человек в 2025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Численность обучающихся по программам высшего образования в 2019 году сократилась на 880 человек по сравнению с 2018 годом и составила 5 870 человек. В прогнозном периоде за счет миграционного оттока молодежи соответствующей возрастной категории ожидается сокращение количества студентов, обучающихся по программам высшего профессионального образования, до 3 480 человек.</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в городе Мурманске функционировало 33 общедоступных (публичных) библиотеки, в том числе: три областные библиотеки, две муниципальные центральные библиотеки с 30 филиалами, из которых 12 – детских.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18 информационных интеллект-центров, обеспечивающих доступ различных категорий граждан к литературе и информации в сети Интернет.</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Кроме того, в рамках национального проекта «Культура» в 2019 году на базе МБУК «Центральная детская библиотека города Мурманска» и </w:t>
      </w:r>
      <w:r w:rsidRPr="00571BC1">
        <w:rPr>
          <w:rFonts w:eastAsia="Times New Roman"/>
          <w:bCs/>
          <w:szCs w:val="28"/>
          <w:lang w:eastAsia="ru-RU"/>
        </w:rPr>
        <w:br/>
        <w:t>МБУК «Центральная городская библиотека г. Мурманска» открыты первые в России модельные библиотеки.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обеспеченность общедоступными библиотеками в расчете на 100 тыс. человек населения увеличилась на 1,2% и составила 11,37 ед. В </w:t>
      </w:r>
      <w:r w:rsidRPr="00571BC1">
        <w:rPr>
          <w:rFonts w:eastAsia="Times New Roman"/>
          <w:bCs/>
          <w:szCs w:val="28"/>
          <w:lang w:eastAsia="ru-RU"/>
        </w:rPr>
        <w:br/>
        <w:t xml:space="preserve">2020 году данный показатель предположительно составит 11,55 ед. Ввиду сокращения численности населения города Мурманска в прогнозном периоде ожидается увеличение значения показателя обеспеченности общедоступными библиотеками до 12,32 ед. на 100 тыс. населения в 2025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в городе Мурманске осуществляли деятельность пять учреждений культурно-досугового типа, в том числе одно областное </w:t>
      </w:r>
      <w:r w:rsidRPr="00571BC1">
        <w:rPr>
          <w:rFonts w:eastAsia="Times New Roman"/>
          <w:bCs/>
          <w:szCs w:val="28"/>
          <w:lang w:eastAsia="ru-RU"/>
        </w:rPr>
        <w:lastRenderedPageBreak/>
        <w:t>учреждение (ГОАУК «Мурманский областной Дворец культуры и народного творчества им. С.М. Кирова») и четыре муниципальных учреждения (МБУК «Дом культуры «Первомайский» г. Мурманска», МАУК «Дом культуры Ленинского округа г. Мурманска», МБУК «Центр досуга и семейного творчества», МБУК «Дворец культуры Судоремонтник» города Мурманска).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Показатель обеспеченности населения учреждениями культурно-досугового типа в 2019 году практически не изменился и составил 2,07 ед. на 100 тыс. населения против 2,04 ед. в 2018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2020 году с учетом уменьшения численности населения города Мурманска обеспеченность учреждениями культурно-досугового типа предположительно составит 2,1 ед. на 100 тыс. населения, а в прогнозном периоде значение данного показателя увеличится до 2,24 ед. на 100 тыс. населения в 2025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сфере физической культуры и спорта в результате проводимых в городе Мурманске официальных физкультурных и спортивных мероприятий (порядка 212 мероприятий в год), активной пропаганды спорта в СМИ численность населения, систематически занимающегося физической культурой и спортом, увеличилась в 2020 году до 132 057 человек (106,7% к 2018 году). При этом удельный вес населения, систематически занимающегося физической культурой и спортом, увеличился на 3,8 процентных пункта по сравнению с уровнем 2018 года и составил 47,9%.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w:t>
      </w:r>
      <w:r w:rsidRPr="00571BC1">
        <w:rPr>
          <w:rFonts w:eastAsia="Times New Roman"/>
          <w:bCs/>
          <w:szCs w:val="28"/>
          <w:lang w:eastAsia="ru-RU"/>
        </w:rPr>
        <w:br/>
        <w:t>МАУ ГСЦ «Авангард».</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С учетом данных ведомственной статистики за первое полугодие в </w:t>
      </w:r>
      <w:r w:rsidRPr="00571BC1">
        <w:rPr>
          <w:rFonts w:eastAsia="Times New Roman"/>
          <w:bCs/>
          <w:szCs w:val="28"/>
          <w:lang w:eastAsia="ru-RU"/>
        </w:rPr>
        <w:br/>
        <w:t>2020 году ожидается увеличение удельного веса населения, систематически занимающегося физической культурой и спортом, до 48,7%. Рост данного показателя в текущем году сдерживается приостановкой деятельности спортивных учреждений в соответствии с ограничительными мерами, введенными в связи с распространением новой коронавирусной инфекции (</w:t>
      </w:r>
      <w:r w:rsidRPr="00571BC1">
        <w:rPr>
          <w:rFonts w:eastAsia="Times New Roman"/>
          <w:bCs/>
          <w:szCs w:val="28"/>
          <w:lang w:val="en-US" w:eastAsia="ru-RU"/>
        </w:rPr>
        <w:t>COVID</w:t>
      </w:r>
      <w:r w:rsidRPr="00571BC1">
        <w:rPr>
          <w:rFonts w:eastAsia="Times New Roman"/>
          <w:bCs/>
          <w:szCs w:val="28"/>
          <w:lang w:eastAsia="ru-RU"/>
        </w:rPr>
        <w:t xml:space="preserve">-19).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Вместе с тем реализуемые меры по развитию материально-технической базы спорта города Мурманска, а также по пропаганде здорового образа жизни среди мурманчан позволяют ожидать сохранения тенденции роста данного показателя в среднесрочной перспективе. В 2025 году его значение предположительно составит 57%.</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целях создания условий для обеспечения населения комфортным жильем в городе реализуется подпрограмма «Поддержка и стимулирование строительства на территории муниципального образования город Мурманск» на 2018-2024 годы муниципальной программы города Мурманска «Градостроительная политика» на 2018-2024 годы. В рамках программы реализуются следующие мероприятия: формирование (образование) земельных участков для предоставления под строительство, в том числе для предоставления на безвозмездной основе многодетным семьям; проведение работ по обеспечению таких земельных участков объектами коммунальной </w:t>
      </w:r>
      <w:r w:rsidRPr="00571BC1">
        <w:rPr>
          <w:rFonts w:eastAsia="Times New Roman"/>
          <w:bCs/>
          <w:szCs w:val="28"/>
          <w:lang w:eastAsia="ru-RU"/>
        </w:rPr>
        <w:lastRenderedPageBreak/>
        <w:t>инфраструктуры. Так в 2019 году сформировано 19 земельных участков для предоставления под строительство.</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2019 году в эксплуатацию введено 4,8 тыс. кв.м жилых помещений. Ожидается, что в текущем году в эксплуатацию будет введено порядка 3,3 тыс. кв.м жилых помещений. Предполагается, что в прогнозном периоде за счет планируемой реализации мероприятий по реновации микрорайона Больничный городок объем ежегодно вводимого в эксплуатацию жилья будет увеличиваться и составит 5,56 тыс. кв.м в 2025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Средняя обеспеченность населения площадью жилых квартир в 2019 году увеличилась по сравнению с 2018 годом на 1,6% и составила 24,46 кв.м на одного жителя. С учетом планируемых объемов ввода жилья, в том числе в рамках переселения граждан из аварийного жилищного фонда, а также сноса расселенных аварийных многоквартирных домов в текущем году, ожидается, что в 2020 году средняя обеспеченность населения площадью жилых квартир незначительно увеличится и составит 24,81 кв.м на человека.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прогнозном периоде ожидается некоторое увеличение темпов роста объемов жилищного строительства. В сочетании с тенденцией сокращения численности населения это обусловит увеличение обеспеченности населения площадью жилых квартир до 26,43 кв.м на одного жителя к 2025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На реализацию мер по сокращению площади аварийного жилого фонда направлена реализация муниципальной программы города Мурманска «Управление имуществом и жилищная политика» на 2018-2024 годы.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рамках указанной муниципальной программы в 2019 году расселено 459 человек с высвобождением 193 жилых помещений в аварийных домах общей площадью 7 503,8 кв.м.</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В 2019 году, несмотря на реализуемые в рамках указанной муниципальной программы мероприятия, общая площадь аварийного жилищного фонда незначительно увеличилась на 0,6% по сравнению с 2018 годом: значение показателя составило 121 133 кв.м, или 1,72% от общей площади жилого фонда (против 1,71% в 2018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Ожидается, что к концу текущего года общая площадь аварийного жилищного фонда увеличится до 124 325,4 кв.м (до 1,77% от общей площади жилого фонда). В прогнозном периоде доля площади аварийного жилищного фонда в общей площади жилого фонда предположительно незначительно увеличится до 1,77% к 2025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Уровень собираемости платежей за жилье и коммунальные услуги в </w:t>
      </w:r>
      <w:r w:rsidRPr="00571BC1">
        <w:rPr>
          <w:rFonts w:eastAsia="Times New Roman"/>
          <w:bCs/>
          <w:szCs w:val="28"/>
          <w:lang w:eastAsia="ru-RU"/>
        </w:rPr>
        <w:br/>
        <w:t>2019 году составил 90,8%. Данные ведомственной статистики о фактическом возмещении населением затрат за предоставленные жилищно-коммунальные услуги в первом полугодии 2020 года позволяют предположить, что в текущем году уровень собираемости платежей незначительно возрастет до 91,0%.</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В прогнозном периоде на фоне прогнозируемого роста реальных располагаемых доходов населения ожидается, что уровень собираемости платежей за жилищно-коммунальные услуги продолжит расти и составит 91,9% в 2025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jc w:val="center"/>
        <w:textAlignment w:val="baseline"/>
        <w:rPr>
          <w:rFonts w:eastAsia="Times New Roman"/>
          <w:kern w:val="32"/>
          <w:szCs w:val="28"/>
          <w:lang w:eastAsia="ru-RU"/>
        </w:rPr>
      </w:pPr>
      <w:r w:rsidRPr="00571BC1">
        <w:rPr>
          <w:rFonts w:eastAsia="Times New Roman"/>
          <w:bCs/>
          <w:szCs w:val="28"/>
          <w:lang w:eastAsia="ru-RU"/>
        </w:rPr>
        <w:lastRenderedPageBreak/>
        <w:t>Доходы бюджета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Бюджет муниципального образования город Мурманск (далее – бюджет города Мурманска) по налоговым и неналоговым доходам за 2019 год исполнен в сумме 9 119 417,3 тыс. рублей, что по сравнению с 2018 годом больше на </w:t>
      </w:r>
      <w:r w:rsidRPr="00571BC1">
        <w:rPr>
          <w:rFonts w:eastAsia="Times New Roman"/>
          <w:bCs/>
          <w:szCs w:val="28"/>
          <w:lang w:eastAsia="ru-RU"/>
        </w:rPr>
        <w:br/>
        <w:t>320 951,1 тыс. рублей, или на 3,6%.</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Основные причины роста поступлений в 2019 году: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увеличение поступлений налога на доходы физических лиц с иностранных граждан, осуществляющих трудовую деятельность по найму на основании патента, налога с заработной платы, выплаченной экипажам судов, а также погашение физическими лицами крупных сумм задолженности по налогу с доходов от операций с ценными бумагами и от продажи недвижимого имущества;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улучшение собираемости и администрирования налога, взимаемого в связи с применением упрощенной системы налогообложения, а также ростом доходов от финансово-хозяйственной деятельности его плательщиков;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увеличение поступлений единого сельскохозяйственного налога в связи с увеличением выручки от реализации рыбопродукции и появлением нового крупного налогоплательщика;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уплата в 2019 году годового платежа по земельному налогу за 2018 год по сроку уплаты 01.02.2019 бюджетными, автономными и казенными учреждениями, финансируемыми за счет средств местного бюджета.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Объем поступлений налоговых и неналоговых доходов в 2020 году предположительно составит 7 942 442,5 тыс. рублей, что по сравнению с исполнением за 2019 год ниже на 1 176 974,8 тыс. рублей, или на 12,9 %.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Основные причины ожидаемого снижения поступлений в 2020 году:</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уменьшение доходов от налога на доходы физических лиц в связи со снижением доходов, полученных в виде дивидендов от долевого участия в деятельности организаций, а также уменьшением размера либо невыплатой заработной платы работникам организаций города Мурманска из-за установленного Правительством Мурманской области режима ограничительных мероприятий в связи с угрозой распространения на территории Мурманской области новой коронавирусной инфекции;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 уменьшение налоговых ставок по упрощенной системе налогообложения, а также предоставление отсрочки уплаты данного налога в соответствии с постановлением Правительства Российской Федерации </w:t>
      </w:r>
      <w:r w:rsidRPr="00571BC1">
        <w:rPr>
          <w:rFonts w:eastAsia="Times New Roman"/>
          <w:bCs/>
          <w:szCs w:val="28"/>
          <w:lang w:eastAsia="ru-RU"/>
        </w:rPr>
        <w:br/>
        <w:t>от 02.04.2020 № 409 «О мерах по обеспечению устойчивого развития экономики» и отмены платежей по налогу в соответствии с Федеральным законом от 08.06.2020 № 172-ФЗ «О внесении изменений в часть вторую Налогового кодекса Российской Федерации»;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уменьшение количества налогоплательщиков в связи с отменой с 01.01.2021 системы налогообложения в виде единого налога на вмененный доход для отдельных видов деятельности;</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t xml:space="preserve">- уменьшение поступлений единого сельскохозяйственного налога в связи со снижением объемов реализации рыбопродукции, а также ее стоимости; </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571BC1">
        <w:rPr>
          <w:rFonts w:eastAsia="Times New Roman"/>
          <w:bCs/>
          <w:szCs w:val="28"/>
          <w:lang w:eastAsia="ru-RU"/>
        </w:rPr>
        <w:lastRenderedPageBreak/>
        <w:t>- снижение поступлений арендной платы за земельные участки за счет преференций (освобождение от уплаты, отсрочки, рассрочки платежей, уменьшение размера платы), установленных для арендаторов в связи с угрозой распространения новой коронавирусной инфекции, а также за счет снижения начислений по земельным участкам, находящимся в пределах красных линий, размер арендной платы которых определяется в размере земельного налога;</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571BC1">
        <w:rPr>
          <w:rFonts w:eastAsia="Times New Roman"/>
          <w:bCs/>
          <w:szCs w:val="28"/>
          <w:lang w:eastAsia="ru-RU"/>
        </w:rPr>
        <w:t>- снижение спроса на покупку земельных участков.</w:t>
      </w: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571BC1" w:rsidRPr="00571BC1" w:rsidRDefault="00571BC1" w:rsidP="00571BC1">
      <w:pPr>
        <w:widowControl w:val="0"/>
        <w:pBdr>
          <w:top w:val="single" w:sz="4" w:space="0" w:color="FFFFFF"/>
          <w:left w:val="single" w:sz="4" w:space="0" w:color="FFFFFF"/>
          <w:bottom w:val="single" w:sz="4" w:space="31" w:color="FFFFFF"/>
          <w:right w:val="single" w:sz="4" w:space="0" w:color="FFFFFF"/>
        </w:pBdr>
        <w:overflowPunct w:val="0"/>
        <w:autoSpaceDE w:val="0"/>
        <w:autoSpaceDN w:val="0"/>
        <w:adjustRightInd w:val="0"/>
        <w:spacing w:after="0" w:line="240" w:lineRule="auto"/>
        <w:ind w:firstLine="709"/>
        <w:jc w:val="center"/>
        <w:textAlignment w:val="baseline"/>
        <w:rPr>
          <w:rFonts w:eastAsia="Times New Roman"/>
          <w:kern w:val="32"/>
          <w:szCs w:val="28"/>
          <w:lang w:eastAsia="ru-RU"/>
        </w:rPr>
      </w:pPr>
      <w:r w:rsidRPr="00571BC1">
        <w:rPr>
          <w:rFonts w:eastAsia="Times New Roman"/>
          <w:kern w:val="32"/>
          <w:szCs w:val="28"/>
          <w:lang w:eastAsia="ru-RU"/>
        </w:rPr>
        <w:t>_______________________________</w:t>
      </w: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caps/>
          <w:szCs w:val="28"/>
          <w:lang w:eastAsia="ru-RU"/>
        </w:rPr>
      </w:pPr>
    </w:p>
    <w:p w:rsidR="00571BC1" w:rsidRPr="00571BC1" w:rsidRDefault="00571BC1" w:rsidP="00571BC1">
      <w:pPr>
        <w:overflowPunct w:val="0"/>
        <w:autoSpaceDE w:val="0"/>
        <w:autoSpaceDN w:val="0"/>
        <w:adjustRightInd w:val="0"/>
        <w:spacing w:after="0" w:line="240" w:lineRule="auto"/>
        <w:textAlignment w:val="baseline"/>
        <w:rPr>
          <w:rFonts w:eastAsia="Times New Roman"/>
          <w:szCs w:val="20"/>
          <w:lang w:eastAsia="ru-RU"/>
        </w:rPr>
      </w:pPr>
    </w:p>
    <w:p w:rsidR="00571BC1" w:rsidRPr="00571BC1" w:rsidRDefault="00571BC1" w:rsidP="00571BC1">
      <w:pPr>
        <w:overflowPunct w:val="0"/>
        <w:autoSpaceDE w:val="0"/>
        <w:autoSpaceDN w:val="0"/>
        <w:adjustRightInd w:val="0"/>
        <w:spacing w:after="0" w:line="240" w:lineRule="auto"/>
        <w:jc w:val="right"/>
        <w:textAlignment w:val="baseline"/>
        <w:rPr>
          <w:rFonts w:eastAsia="Times New Roman"/>
          <w:szCs w:val="20"/>
          <w:lang w:eastAsia="ru-RU"/>
        </w:rPr>
      </w:pPr>
    </w:p>
    <w:p w:rsidR="00571BC1" w:rsidRPr="00571BC1" w:rsidRDefault="00571BC1" w:rsidP="00571BC1">
      <w:pPr>
        <w:overflowPunct w:val="0"/>
        <w:autoSpaceDE w:val="0"/>
        <w:autoSpaceDN w:val="0"/>
        <w:adjustRightInd w:val="0"/>
        <w:spacing w:after="0" w:line="240" w:lineRule="auto"/>
        <w:jc w:val="right"/>
        <w:textAlignment w:val="baseline"/>
        <w:rPr>
          <w:rFonts w:eastAsia="Times New Roman"/>
          <w:szCs w:val="20"/>
          <w:lang w:eastAsia="ru-RU"/>
        </w:rPr>
      </w:pPr>
    </w:p>
    <w:p w:rsidR="00571BC1" w:rsidRPr="00571BC1" w:rsidRDefault="00571BC1" w:rsidP="00571BC1">
      <w:pPr>
        <w:overflowPunct w:val="0"/>
        <w:autoSpaceDE w:val="0"/>
        <w:autoSpaceDN w:val="0"/>
        <w:adjustRightInd w:val="0"/>
        <w:spacing w:after="0" w:line="240" w:lineRule="auto"/>
        <w:jc w:val="right"/>
        <w:textAlignment w:val="baseline"/>
        <w:rPr>
          <w:rFonts w:eastAsia="Times New Roman"/>
          <w:szCs w:val="20"/>
          <w:lang w:val="en-US" w:eastAsia="ru-RU"/>
        </w:rPr>
      </w:pPr>
    </w:p>
    <w:p w:rsidR="00571BC1" w:rsidRPr="00571BC1" w:rsidRDefault="00571BC1" w:rsidP="00571BC1">
      <w:pPr>
        <w:overflowPunct w:val="0"/>
        <w:autoSpaceDE w:val="0"/>
        <w:autoSpaceDN w:val="0"/>
        <w:adjustRightInd w:val="0"/>
        <w:spacing w:after="0" w:line="240" w:lineRule="auto"/>
        <w:jc w:val="right"/>
        <w:textAlignment w:val="baseline"/>
        <w:rPr>
          <w:rFonts w:eastAsia="Times New Roman"/>
          <w:szCs w:val="20"/>
          <w:lang w:val="en-US" w:eastAsia="ru-RU"/>
        </w:rPr>
      </w:pPr>
    </w:p>
    <w:p w:rsidR="00571BC1" w:rsidRPr="00571BC1" w:rsidRDefault="00571BC1" w:rsidP="00571BC1">
      <w:pPr>
        <w:overflowPunct w:val="0"/>
        <w:autoSpaceDE w:val="0"/>
        <w:autoSpaceDN w:val="0"/>
        <w:adjustRightInd w:val="0"/>
        <w:spacing w:after="0" w:line="240" w:lineRule="auto"/>
        <w:textAlignment w:val="baseline"/>
        <w:rPr>
          <w:rFonts w:eastAsia="Times New Roman"/>
          <w:szCs w:val="20"/>
          <w:lang w:val="en-US" w:eastAsia="ru-RU"/>
        </w:rPr>
      </w:pPr>
      <w:r w:rsidRPr="00571BC1">
        <w:rPr>
          <w:rFonts w:eastAsia="Times New Roman"/>
          <w:szCs w:val="20"/>
          <w:lang w:eastAsia="ru-RU"/>
        </w:rPr>
        <w:br w:type="page"/>
      </w:r>
    </w:p>
    <w:tbl>
      <w:tblPr>
        <w:tblW w:w="0" w:type="auto"/>
        <w:tblLook w:val="04A0" w:firstRow="1" w:lastRow="0" w:firstColumn="1" w:lastColumn="0" w:noHBand="0" w:noVBand="1"/>
      </w:tblPr>
      <w:tblGrid>
        <w:gridCol w:w="6912"/>
        <w:gridCol w:w="2942"/>
      </w:tblGrid>
      <w:tr w:rsidR="00571BC1" w:rsidRPr="00571BC1" w:rsidTr="00B23B0B">
        <w:tc>
          <w:tcPr>
            <w:tcW w:w="6912" w:type="dxa"/>
            <w:shd w:val="clear" w:color="auto" w:fill="auto"/>
          </w:tcPr>
          <w:p w:rsidR="00571BC1" w:rsidRPr="00571BC1" w:rsidRDefault="00571BC1" w:rsidP="00571BC1">
            <w:pPr>
              <w:widowControl w:val="0"/>
              <w:overflowPunct w:val="0"/>
              <w:autoSpaceDE w:val="0"/>
              <w:autoSpaceDN w:val="0"/>
              <w:adjustRightInd w:val="0"/>
              <w:spacing w:after="0" w:line="240" w:lineRule="auto"/>
              <w:jc w:val="center"/>
              <w:textAlignment w:val="baseline"/>
              <w:rPr>
                <w:rFonts w:ascii="Calibri" w:hAnsi="Calibri"/>
                <w:szCs w:val="28"/>
                <w:lang w:eastAsia="ru-RU"/>
              </w:rPr>
            </w:pPr>
            <w:r w:rsidRPr="00571BC1">
              <w:rPr>
                <w:rFonts w:ascii="Calibri" w:hAnsi="Calibri"/>
                <w:szCs w:val="28"/>
                <w:lang w:eastAsia="ru-RU"/>
              </w:rPr>
              <w:lastRenderedPageBreak/>
              <w:t xml:space="preserve">                                                                      </w:t>
            </w:r>
          </w:p>
        </w:tc>
        <w:tc>
          <w:tcPr>
            <w:tcW w:w="2942" w:type="dxa"/>
            <w:shd w:val="clear" w:color="auto" w:fill="auto"/>
          </w:tcPr>
          <w:p w:rsidR="00571BC1" w:rsidRPr="00571BC1" w:rsidRDefault="00571BC1" w:rsidP="00571BC1">
            <w:pPr>
              <w:widowControl w:val="0"/>
              <w:overflowPunct w:val="0"/>
              <w:autoSpaceDE w:val="0"/>
              <w:autoSpaceDN w:val="0"/>
              <w:adjustRightInd w:val="0"/>
              <w:spacing w:after="0" w:line="240" w:lineRule="auto"/>
              <w:jc w:val="center"/>
              <w:textAlignment w:val="baseline"/>
              <w:rPr>
                <w:szCs w:val="28"/>
                <w:lang w:eastAsia="ru-RU"/>
              </w:rPr>
            </w:pPr>
            <w:r w:rsidRPr="00571BC1">
              <w:rPr>
                <w:szCs w:val="28"/>
                <w:lang w:eastAsia="ru-RU"/>
              </w:rPr>
              <w:t>Приложение № 2</w:t>
            </w: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ascii="Calibri" w:hAnsi="Calibri"/>
                <w:szCs w:val="28"/>
                <w:lang w:eastAsia="ru-RU"/>
              </w:rPr>
            </w:pPr>
            <w:r w:rsidRPr="00571BC1">
              <w:rPr>
                <w:szCs w:val="28"/>
                <w:lang w:eastAsia="ru-RU"/>
              </w:rPr>
              <w:t>к прогнозу</w:t>
            </w: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ascii="Calibri" w:hAnsi="Calibri"/>
                <w:szCs w:val="28"/>
                <w:lang w:eastAsia="ru-RU"/>
              </w:rPr>
            </w:pPr>
          </w:p>
        </w:tc>
      </w:tr>
    </w:tbl>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0"/>
          <w:lang w:eastAsia="ru-RU"/>
        </w:rPr>
      </w:pPr>
      <w:r w:rsidRPr="00571BC1">
        <w:rPr>
          <w:rFonts w:eastAsia="Times New Roman"/>
          <w:szCs w:val="20"/>
          <w:lang w:eastAsia="ru-RU"/>
        </w:rPr>
        <w:t xml:space="preserve">Предварительные итоги социально-экономического развития </w:t>
      </w:r>
      <w:r w:rsidRPr="00571BC1">
        <w:rPr>
          <w:rFonts w:eastAsia="Times New Roman"/>
          <w:szCs w:val="20"/>
          <w:lang w:eastAsia="ru-RU"/>
        </w:rPr>
        <w:br/>
        <w:t>муниципального образования город Мурманск за первое полугодие 2020 года</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и ожидаемые итоги социально-экономического развития за 2020 год</w:t>
      </w:r>
    </w:p>
    <w:p w:rsidR="00571BC1" w:rsidRPr="00571BC1" w:rsidRDefault="00571BC1" w:rsidP="00571BC1">
      <w:pPr>
        <w:widowControl w:val="0"/>
        <w:overflowPunct w:val="0"/>
        <w:autoSpaceDE w:val="0"/>
        <w:autoSpaceDN w:val="0"/>
        <w:adjustRightInd w:val="0"/>
        <w:spacing w:after="0" w:line="240" w:lineRule="auto"/>
        <w:ind w:firstLine="720"/>
        <w:jc w:val="center"/>
        <w:textAlignment w:val="baseline"/>
        <w:rPr>
          <w:rFonts w:eastAsia="Times New Roman"/>
          <w:b/>
          <w:bCs/>
          <w:szCs w:val="28"/>
          <w:lang w:eastAsia="ru-RU"/>
        </w:rPr>
      </w:pPr>
    </w:p>
    <w:tbl>
      <w:tblPr>
        <w:tblW w:w="9644"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72"/>
        <w:gridCol w:w="1562"/>
        <w:gridCol w:w="1417"/>
        <w:gridCol w:w="1418"/>
        <w:gridCol w:w="1275"/>
      </w:tblGrid>
      <w:tr w:rsidR="00571BC1" w:rsidRPr="00571BC1" w:rsidTr="00B23B0B">
        <w:trPr>
          <w:trHeight w:val="945"/>
          <w:tblHeader/>
        </w:trPr>
        <w:tc>
          <w:tcPr>
            <w:tcW w:w="3974" w:type="dxa"/>
            <w:shd w:val="clear" w:color="auto" w:fill="auto"/>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bCs/>
                <w:sz w:val="24"/>
                <w:szCs w:val="24"/>
              </w:rPr>
            </w:pPr>
            <w:r w:rsidRPr="00571BC1">
              <w:rPr>
                <w:rFonts w:eastAsia="Times New Roman"/>
                <w:bCs/>
                <w:sz w:val="24"/>
                <w:szCs w:val="24"/>
              </w:rPr>
              <w:t>Показатели</w:t>
            </w:r>
          </w:p>
        </w:tc>
        <w:tc>
          <w:tcPr>
            <w:tcW w:w="1560" w:type="dxa"/>
            <w:shd w:val="clear" w:color="auto" w:fill="auto"/>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571BC1">
              <w:rPr>
                <w:rFonts w:eastAsia="Times New Roman"/>
                <w:bCs/>
                <w:sz w:val="24"/>
                <w:szCs w:val="24"/>
                <w:lang w:eastAsia="ru-RU"/>
              </w:rPr>
              <w:t>Единица измерения</w:t>
            </w:r>
          </w:p>
        </w:tc>
        <w:tc>
          <w:tcPr>
            <w:tcW w:w="1417" w:type="dxa"/>
            <w:shd w:val="clear" w:color="auto" w:fill="auto"/>
            <w:vAlign w:val="center"/>
            <w:hideMark/>
          </w:tcPr>
          <w:p w:rsidR="00571BC1" w:rsidRPr="00571BC1" w:rsidRDefault="00571BC1" w:rsidP="00571BC1">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571BC1">
              <w:rPr>
                <w:rFonts w:eastAsia="Times New Roman"/>
                <w:bCs/>
                <w:sz w:val="24"/>
                <w:szCs w:val="24"/>
                <w:lang w:eastAsia="ru-RU"/>
              </w:rPr>
              <w:t>1 полугодие 2019 года</w:t>
            </w:r>
          </w:p>
        </w:tc>
        <w:tc>
          <w:tcPr>
            <w:tcW w:w="1418" w:type="dxa"/>
            <w:shd w:val="clear" w:color="auto" w:fill="auto"/>
            <w:vAlign w:val="center"/>
            <w:hideMark/>
          </w:tcPr>
          <w:p w:rsidR="00571BC1" w:rsidRPr="00571BC1" w:rsidRDefault="00571BC1" w:rsidP="00571BC1">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571BC1">
              <w:rPr>
                <w:rFonts w:eastAsia="Times New Roman"/>
                <w:bCs/>
                <w:sz w:val="24"/>
                <w:szCs w:val="24"/>
                <w:lang w:eastAsia="ru-RU"/>
              </w:rPr>
              <w:t>1 полугодие 2020 года</w:t>
            </w:r>
          </w:p>
        </w:tc>
        <w:tc>
          <w:tcPr>
            <w:tcW w:w="1275" w:type="dxa"/>
            <w:shd w:val="clear" w:color="auto" w:fill="auto"/>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571BC1">
              <w:rPr>
                <w:rFonts w:eastAsia="Times New Roman"/>
                <w:bCs/>
                <w:sz w:val="24"/>
                <w:szCs w:val="24"/>
                <w:lang w:eastAsia="ru-RU"/>
              </w:rPr>
              <w:t>Оценка 2020 года</w:t>
            </w:r>
          </w:p>
        </w:tc>
      </w:tr>
      <w:tr w:rsidR="00571BC1" w:rsidRPr="00571BC1" w:rsidTr="00B23B0B">
        <w:trPr>
          <w:trHeight w:val="315"/>
          <w:tblHeader/>
        </w:trPr>
        <w:tc>
          <w:tcPr>
            <w:tcW w:w="3974"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1</w:t>
            </w:r>
          </w:p>
        </w:tc>
        <w:tc>
          <w:tcPr>
            <w:tcW w:w="1563" w:type="dxa"/>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2</w:t>
            </w:r>
          </w:p>
        </w:tc>
        <w:tc>
          <w:tcPr>
            <w:tcW w:w="1414" w:type="dxa"/>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3</w:t>
            </w:r>
          </w:p>
        </w:tc>
        <w:tc>
          <w:tcPr>
            <w:tcW w:w="1418" w:type="dxa"/>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4</w:t>
            </w:r>
          </w:p>
        </w:tc>
        <w:tc>
          <w:tcPr>
            <w:tcW w:w="1275" w:type="dxa"/>
            <w:vAlign w:val="center"/>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5</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bCs/>
                <w:sz w:val="24"/>
                <w:szCs w:val="24"/>
              </w:rPr>
            </w:pPr>
            <w:r w:rsidRPr="00571BC1">
              <w:rPr>
                <w:rFonts w:eastAsia="Times New Roman"/>
                <w:bCs/>
                <w:sz w:val="24"/>
                <w:szCs w:val="24"/>
              </w:rPr>
              <w:t>1. Демографические показатели</w:t>
            </w:r>
          </w:p>
        </w:tc>
        <w:tc>
          <w:tcPr>
            <w:tcW w:w="1563"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0"/>
                <w:szCs w:val="20"/>
                <w:lang w:eastAsia="ru-RU"/>
              </w:rPr>
            </w:pPr>
          </w:p>
        </w:tc>
        <w:tc>
          <w:tcPr>
            <w:tcW w:w="1414" w:type="dxa"/>
            <w:vAlign w:val="center"/>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0"/>
                <w:szCs w:val="20"/>
                <w:lang w:eastAsia="ru-RU"/>
              </w:rPr>
            </w:pPr>
          </w:p>
        </w:tc>
        <w:tc>
          <w:tcPr>
            <w:tcW w:w="1418" w:type="dxa"/>
            <w:vAlign w:val="center"/>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0"/>
                <w:szCs w:val="20"/>
                <w:lang w:eastAsia="ru-RU"/>
              </w:rPr>
            </w:pPr>
          </w:p>
        </w:tc>
        <w:tc>
          <w:tcPr>
            <w:tcW w:w="1275" w:type="dxa"/>
            <w:vAlign w:val="center"/>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0"/>
                <w:szCs w:val="20"/>
                <w:lang w:eastAsia="ru-RU"/>
              </w:rPr>
            </w:pP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Среднегодовая численность населения</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тыс. 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rPr>
            </w:pPr>
            <w:r w:rsidRPr="00571BC1">
              <w:rPr>
                <w:rFonts w:eastAsia="Times New Roman"/>
                <w:sz w:val="24"/>
                <w:szCs w:val="28"/>
                <w:lang w:eastAsia="ru-RU"/>
              </w:rPr>
              <w:t>х</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rPr>
            </w:pPr>
            <w:r w:rsidRPr="00571BC1">
              <w:rPr>
                <w:rFonts w:eastAsia="Times New Roman"/>
                <w:sz w:val="24"/>
                <w:szCs w:val="28"/>
                <w:lang w:eastAsia="ru-RU"/>
              </w:rPr>
              <w:t>х</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rPr>
            </w:pPr>
            <w:r w:rsidRPr="00571BC1">
              <w:rPr>
                <w:rFonts w:eastAsia="Times New Roman"/>
                <w:sz w:val="24"/>
                <w:szCs w:val="28"/>
                <w:lang w:eastAsia="ru-RU"/>
              </w:rPr>
              <w:t>285,79</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Родилось</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rPr>
            </w:pPr>
            <w:r w:rsidRPr="00571BC1">
              <w:rPr>
                <w:rFonts w:eastAsia="Times New Roman"/>
                <w:sz w:val="24"/>
                <w:szCs w:val="28"/>
                <w:lang w:val="en-US" w:eastAsia="ru-RU"/>
              </w:rPr>
              <w:t>1250</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4"/>
                <w:lang w:val="en-US"/>
              </w:rPr>
              <w:t>1259</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8"/>
                <w:lang w:val="en-US" w:eastAsia="ru-RU"/>
              </w:rPr>
              <w:t>2606</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Умерло</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rPr>
            </w:pPr>
            <w:r w:rsidRPr="00571BC1">
              <w:rPr>
                <w:rFonts w:eastAsia="Times New Roman"/>
                <w:sz w:val="24"/>
                <w:szCs w:val="28"/>
                <w:lang w:val="en-US" w:eastAsia="ru-RU"/>
              </w:rPr>
              <w:t>1738</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8"/>
                <w:lang w:val="en-US" w:eastAsia="ru-RU"/>
              </w:rPr>
              <w:t>1826</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8"/>
                <w:lang w:val="en-US" w:eastAsia="ru-RU"/>
              </w:rPr>
            </w:pPr>
            <w:r w:rsidRPr="00571BC1">
              <w:rPr>
                <w:rFonts w:eastAsia="Times New Roman"/>
                <w:sz w:val="24"/>
                <w:szCs w:val="28"/>
                <w:lang w:val="en-US" w:eastAsia="ru-RU"/>
              </w:rPr>
              <w:t>3600</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Естественный прирост</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8"/>
                <w:lang w:eastAsia="ru-RU"/>
              </w:rPr>
              <w:t>-4</w:t>
            </w:r>
            <w:r w:rsidRPr="00571BC1">
              <w:rPr>
                <w:rFonts w:eastAsia="Times New Roman"/>
                <w:sz w:val="24"/>
                <w:szCs w:val="28"/>
                <w:lang w:val="en-US" w:eastAsia="ru-RU"/>
              </w:rPr>
              <w:t>88</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8"/>
                <w:lang w:eastAsia="ru-RU"/>
              </w:rPr>
              <w:t>-5</w:t>
            </w:r>
            <w:r w:rsidRPr="00571BC1">
              <w:rPr>
                <w:rFonts w:eastAsia="Times New Roman"/>
                <w:sz w:val="24"/>
                <w:szCs w:val="28"/>
                <w:lang w:val="en-US" w:eastAsia="ru-RU"/>
              </w:rPr>
              <w:t>67</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571BC1">
              <w:rPr>
                <w:rFonts w:eastAsia="Times New Roman"/>
                <w:sz w:val="24"/>
                <w:szCs w:val="28"/>
                <w:lang w:eastAsia="ru-RU"/>
              </w:rPr>
              <w:t>-</w:t>
            </w:r>
            <w:r w:rsidRPr="00571BC1">
              <w:rPr>
                <w:rFonts w:eastAsia="Times New Roman"/>
                <w:sz w:val="24"/>
                <w:szCs w:val="28"/>
                <w:lang w:val="en-US" w:eastAsia="ru-RU"/>
              </w:rPr>
              <w:t>994</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Прибыло</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8"/>
                <w:lang w:eastAsia="ru-RU"/>
              </w:rPr>
            </w:pPr>
            <w:r w:rsidRPr="00571BC1">
              <w:rPr>
                <w:rFonts w:eastAsia="Times New Roman"/>
                <w:sz w:val="24"/>
                <w:szCs w:val="28"/>
                <w:lang w:eastAsia="ru-RU"/>
              </w:rPr>
              <w:t>4265</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val="en-US" w:eastAsia="ru-RU"/>
              </w:rPr>
            </w:pPr>
            <w:r w:rsidRPr="00571BC1">
              <w:rPr>
                <w:rFonts w:eastAsia="Times New Roman"/>
                <w:sz w:val="24"/>
                <w:szCs w:val="28"/>
                <w:lang w:val="en-US" w:eastAsia="ru-RU"/>
              </w:rPr>
              <w:t>3909</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eastAsia="ru-RU"/>
              </w:rPr>
            </w:pPr>
            <w:r w:rsidRPr="00571BC1">
              <w:rPr>
                <w:rFonts w:eastAsia="Times New Roman"/>
                <w:sz w:val="24"/>
                <w:szCs w:val="28"/>
                <w:lang w:eastAsia="ru-RU"/>
              </w:rPr>
              <w:t>9849</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Выбыло</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eastAsia="ru-RU"/>
              </w:rPr>
            </w:pPr>
            <w:r w:rsidRPr="00571BC1">
              <w:rPr>
                <w:rFonts w:eastAsia="Times New Roman"/>
                <w:sz w:val="24"/>
                <w:szCs w:val="28"/>
                <w:lang w:eastAsia="ru-RU"/>
              </w:rPr>
              <w:t>5034</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val="en-US" w:eastAsia="ru-RU"/>
              </w:rPr>
            </w:pPr>
            <w:r w:rsidRPr="00571BC1">
              <w:rPr>
                <w:rFonts w:eastAsia="Times New Roman"/>
                <w:sz w:val="24"/>
                <w:szCs w:val="28"/>
                <w:lang w:val="en-US" w:eastAsia="ru-RU"/>
              </w:rPr>
              <w:t>4924</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eastAsia="ru-RU"/>
              </w:rPr>
            </w:pPr>
            <w:r w:rsidRPr="00571BC1">
              <w:rPr>
                <w:rFonts w:eastAsia="Times New Roman"/>
                <w:sz w:val="24"/>
                <w:szCs w:val="28"/>
                <w:lang w:eastAsia="ru-RU"/>
              </w:rPr>
              <w:t>12976</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Миграционный прирост</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eastAsia="ru-RU"/>
              </w:rPr>
            </w:pPr>
            <w:r w:rsidRPr="00571BC1">
              <w:rPr>
                <w:rFonts w:eastAsia="Times New Roman"/>
                <w:sz w:val="24"/>
                <w:szCs w:val="28"/>
                <w:lang w:eastAsia="ru-RU"/>
              </w:rPr>
              <w:t>-769</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val="en-US" w:eastAsia="ru-RU"/>
              </w:rPr>
            </w:pPr>
            <w:r w:rsidRPr="00571BC1">
              <w:rPr>
                <w:rFonts w:eastAsia="Times New Roman"/>
                <w:sz w:val="24"/>
                <w:szCs w:val="28"/>
                <w:lang w:eastAsia="ru-RU"/>
              </w:rPr>
              <w:t>-</w:t>
            </w:r>
            <w:r w:rsidRPr="00571BC1">
              <w:rPr>
                <w:rFonts w:eastAsia="Times New Roman"/>
                <w:sz w:val="24"/>
                <w:szCs w:val="28"/>
                <w:lang w:val="en-US" w:eastAsia="ru-RU"/>
              </w:rPr>
              <w:t>1015</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0"/>
                <w:lang w:eastAsia="ru-RU"/>
              </w:rPr>
            </w:pPr>
            <w:r w:rsidRPr="00571BC1">
              <w:rPr>
                <w:rFonts w:eastAsia="Times New Roman"/>
                <w:sz w:val="24"/>
                <w:szCs w:val="28"/>
                <w:lang w:eastAsia="ru-RU"/>
              </w:rPr>
              <w:t>-3127</w:t>
            </w:r>
          </w:p>
        </w:tc>
      </w:tr>
      <w:tr w:rsidR="00571BC1" w:rsidRPr="00571BC1" w:rsidTr="00B23B0B">
        <w:trPr>
          <w:trHeight w:val="275"/>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2. Производство товаров и услуг</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ascii="Calibri" w:hAnsi="Calibri"/>
                <w:sz w:val="24"/>
                <w:szCs w:val="24"/>
              </w:rPr>
            </w:pP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1563" w:type="dxa"/>
            <w:noWrap/>
            <w:hideMark/>
          </w:tcPr>
          <w:p w:rsidR="00571BC1" w:rsidRPr="00571BC1" w:rsidRDefault="00571BC1" w:rsidP="00571BC1">
            <w:pPr>
              <w:overflowPunct w:val="0"/>
              <w:autoSpaceDE w:val="0"/>
              <w:autoSpaceDN w:val="0"/>
              <w:adjustRightInd w:val="0"/>
              <w:spacing w:after="0" w:line="240" w:lineRule="auto"/>
              <w:jc w:val="center"/>
              <w:textAlignment w:val="baseline"/>
              <w:rPr>
                <w:sz w:val="24"/>
                <w:szCs w:val="24"/>
              </w:rPr>
            </w:pPr>
            <w:r w:rsidRPr="00571BC1">
              <w:rPr>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sz w:val="24"/>
                <w:szCs w:val="24"/>
              </w:rPr>
            </w:pPr>
            <w:r w:rsidRPr="00571BC1">
              <w:rPr>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41 400,4</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46 490,7</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105 839,8</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Темп роста промышленного производства (раздел С: обрабатывающие производства,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w:t>
            </w:r>
          </w:p>
        </w:tc>
        <w:tc>
          <w:tcPr>
            <w:tcW w:w="1563" w:type="dxa"/>
            <w:noWrap/>
            <w:hideMark/>
          </w:tcPr>
          <w:p w:rsidR="00571BC1" w:rsidRPr="00571BC1" w:rsidRDefault="00571BC1" w:rsidP="00571BC1">
            <w:pPr>
              <w:overflowPunct w:val="0"/>
              <w:autoSpaceDE w:val="0"/>
              <w:autoSpaceDN w:val="0"/>
              <w:adjustRightInd w:val="0"/>
              <w:spacing w:after="0" w:line="240" w:lineRule="auto"/>
              <w:ind w:left="-110" w:right="-105"/>
              <w:jc w:val="center"/>
              <w:textAlignment w:val="baseline"/>
              <w:rPr>
                <w:rFonts w:eastAsia="Times New Roman"/>
                <w:sz w:val="24"/>
                <w:szCs w:val="24"/>
              </w:rPr>
            </w:pPr>
            <w:r w:rsidRPr="00571BC1">
              <w:rPr>
                <w:rFonts w:eastAsia="Times New Roman"/>
                <w:sz w:val="24"/>
                <w:szCs w:val="24"/>
              </w:rPr>
              <w:t>в % к аналогичному периоду прошлого года</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116,0</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112,3</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91,2</w:t>
            </w:r>
          </w:p>
        </w:tc>
      </w:tr>
      <w:tr w:rsidR="00571BC1" w:rsidRPr="00571BC1" w:rsidTr="00B23B0B">
        <w:trPr>
          <w:trHeight w:val="919"/>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Раздел C: обрабатывающие производства</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33 431,7</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38 762,3</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90 228,0</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Темп роста – раздел C: обрабатывающие производства</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sz w:val="24"/>
                <w:szCs w:val="24"/>
              </w:rPr>
            </w:pPr>
            <w:r w:rsidRPr="00571BC1">
              <w:rPr>
                <w:rFonts w:eastAsia="Times New Roman"/>
                <w:sz w:val="24"/>
                <w:szCs w:val="24"/>
              </w:rPr>
              <w:t>в % к предыдуще-му году</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118,0</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115,9</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95,6</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Раздел D: обеспечение электрической энергией, газом и паром; кондиционирование воздуха</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5 973,6</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5 689,3</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11 037,0</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color w:val="000000"/>
                <w:sz w:val="24"/>
                <w:szCs w:val="24"/>
                <w:lang w:eastAsia="ru-RU"/>
              </w:rPr>
            </w:pPr>
            <w:r w:rsidRPr="00571BC1">
              <w:rPr>
                <w:rFonts w:eastAsia="Times New Roman"/>
                <w:color w:val="000000"/>
                <w:sz w:val="24"/>
                <w:szCs w:val="24"/>
                <w:lang w:eastAsia="ru-RU"/>
              </w:rPr>
              <w:lastRenderedPageBreak/>
              <w:t xml:space="preserve">Темп роста - раздел D: обеспечение электрической энергией, газом и паром; кондиционирование воздуха </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в % к предыдуще-му году</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100,4</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95,2</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97,9</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color w:val="000000"/>
                <w:sz w:val="24"/>
                <w:szCs w:val="24"/>
                <w:lang w:eastAsia="ru-RU"/>
              </w:rPr>
            </w:pPr>
            <w:r w:rsidRPr="00571BC1">
              <w:rPr>
                <w:rFonts w:eastAsia="Arial Unicode MS"/>
                <w:color w:val="000000"/>
                <w:sz w:val="24"/>
                <w:szCs w:val="24"/>
                <w:lang w:eastAsia="ru-RU"/>
              </w:rPr>
              <w:t>Раздел E: водоснабжение; водоотведение, организация сбора и утилизации отходов, деятельность по ликвидации загрязнений</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млн. руб.</w:t>
            </w:r>
          </w:p>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1 995,1</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2 039,1</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4 194,9</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color w:val="000000"/>
                <w:sz w:val="24"/>
                <w:szCs w:val="24"/>
                <w:lang w:eastAsia="ru-RU"/>
              </w:rPr>
            </w:pPr>
            <w:r w:rsidRPr="00571BC1">
              <w:rPr>
                <w:rFonts w:eastAsia="Times New Roman"/>
                <w:color w:val="000000"/>
                <w:sz w:val="24"/>
                <w:szCs w:val="24"/>
                <w:lang w:eastAsia="ru-RU"/>
              </w:rPr>
              <w:t>Темп роста – раздел E: водоснабжение; водоотведение, организация сбора и утилизации отходов, деятельность по ликвидации загрязнений</w:t>
            </w:r>
          </w:p>
        </w:tc>
        <w:tc>
          <w:tcPr>
            <w:tcW w:w="1563" w:type="dxa"/>
            <w:noWrap/>
            <w:hideMark/>
          </w:tcPr>
          <w:p w:rsidR="00571BC1" w:rsidRPr="00571BC1" w:rsidRDefault="00571BC1" w:rsidP="00571BC1">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в % к предыдуще-му году</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141,8</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102,2</w:t>
            </w: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96,1</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bCs/>
                <w:sz w:val="24"/>
                <w:szCs w:val="24"/>
              </w:rPr>
            </w:pPr>
            <w:r w:rsidRPr="00571BC1">
              <w:rPr>
                <w:rFonts w:eastAsia="Times New Roman"/>
                <w:sz w:val="24"/>
                <w:szCs w:val="24"/>
              </w:rPr>
              <w:t>3. Рынок товаров и услуг</w:t>
            </w:r>
          </w:p>
        </w:tc>
        <w:tc>
          <w:tcPr>
            <w:tcW w:w="1563" w:type="dxa"/>
            <w:noWrap/>
            <w:hideMark/>
          </w:tcPr>
          <w:p w:rsidR="00571BC1" w:rsidRPr="00571BC1" w:rsidRDefault="00571BC1" w:rsidP="00571BC1">
            <w:pPr>
              <w:overflowPunct w:val="0"/>
              <w:autoSpaceDE w:val="0"/>
              <w:autoSpaceDN w:val="0"/>
              <w:adjustRightInd w:val="0"/>
              <w:spacing w:after="0" w:line="240" w:lineRule="auto"/>
              <w:jc w:val="center"/>
              <w:textAlignment w:val="baseline"/>
              <w:rPr>
                <w:rFonts w:ascii="Calibri" w:hAnsi="Calibri"/>
                <w:sz w:val="24"/>
                <w:szCs w:val="24"/>
              </w:rPr>
            </w:pP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Оборот розничной торговли</w:t>
            </w:r>
          </w:p>
        </w:tc>
        <w:tc>
          <w:tcPr>
            <w:tcW w:w="1563" w:type="dxa"/>
            <w:noWrap/>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18 931,0</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25 554,6</w:t>
            </w:r>
          </w:p>
        </w:tc>
        <w:tc>
          <w:tcPr>
            <w:tcW w:w="1275" w:type="dxa"/>
            <w:noWrap/>
          </w:tcPr>
          <w:p w:rsidR="00571BC1" w:rsidRPr="00571BC1" w:rsidRDefault="00571BC1" w:rsidP="00571BC1">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41 870,0</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Индекс физического объема оборота розничной торговли</w:t>
            </w:r>
          </w:p>
        </w:tc>
        <w:tc>
          <w:tcPr>
            <w:tcW w:w="1563" w:type="dxa"/>
            <w:noWrap/>
            <w:hideMark/>
          </w:tcPr>
          <w:p w:rsidR="00571BC1" w:rsidRPr="00571BC1" w:rsidRDefault="00571BC1" w:rsidP="00571BC1">
            <w:pPr>
              <w:overflowPunct w:val="0"/>
              <w:autoSpaceDE w:val="0"/>
              <w:autoSpaceDN w:val="0"/>
              <w:adjustRightInd w:val="0"/>
              <w:spacing w:after="0" w:line="240" w:lineRule="auto"/>
              <w:ind w:left="-110" w:right="-105"/>
              <w:jc w:val="center"/>
              <w:textAlignment w:val="baseline"/>
              <w:rPr>
                <w:rFonts w:eastAsia="Times New Roman"/>
                <w:sz w:val="24"/>
                <w:szCs w:val="24"/>
              </w:rPr>
            </w:pPr>
            <w:r w:rsidRPr="00571BC1">
              <w:rPr>
                <w:rFonts w:eastAsia="Times New Roman"/>
                <w:sz w:val="24"/>
                <w:szCs w:val="24"/>
              </w:rPr>
              <w:t>в % к предыдущему году</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93,0</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96,2</w:t>
            </w:r>
          </w:p>
        </w:tc>
        <w:tc>
          <w:tcPr>
            <w:tcW w:w="1275" w:type="dxa"/>
            <w:noWrap/>
          </w:tcPr>
          <w:p w:rsidR="00571BC1" w:rsidRPr="00571BC1" w:rsidRDefault="00571BC1" w:rsidP="00571BC1">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96,9</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Оборот общественного питания</w:t>
            </w:r>
          </w:p>
        </w:tc>
        <w:tc>
          <w:tcPr>
            <w:tcW w:w="1563" w:type="dxa"/>
            <w:noWrap/>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1 094,0</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833,1</w:t>
            </w:r>
          </w:p>
        </w:tc>
        <w:tc>
          <w:tcPr>
            <w:tcW w:w="1275" w:type="dxa"/>
            <w:noWrap/>
          </w:tcPr>
          <w:p w:rsidR="00571BC1" w:rsidRPr="00571BC1" w:rsidRDefault="00571BC1" w:rsidP="00571BC1">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1 582,9</w:t>
            </w:r>
          </w:p>
        </w:tc>
      </w:tr>
      <w:tr w:rsidR="00571BC1" w:rsidRPr="00571BC1" w:rsidTr="00B23B0B">
        <w:trPr>
          <w:trHeight w:val="300"/>
        </w:trPr>
        <w:tc>
          <w:tcPr>
            <w:tcW w:w="3974" w:type="dxa"/>
            <w:noWrap/>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Объем платных услуг населению</w:t>
            </w:r>
          </w:p>
        </w:tc>
        <w:tc>
          <w:tcPr>
            <w:tcW w:w="1563" w:type="dxa"/>
            <w:noWrap/>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10 812,7</w:t>
            </w:r>
          </w:p>
        </w:tc>
        <w:tc>
          <w:tcPr>
            <w:tcW w:w="1418" w:type="dxa"/>
            <w:noWrap/>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13 126,2</w:t>
            </w:r>
          </w:p>
        </w:tc>
        <w:tc>
          <w:tcPr>
            <w:tcW w:w="1275" w:type="dxa"/>
            <w:noWrap/>
          </w:tcPr>
          <w:p w:rsidR="00571BC1" w:rsidRPr="00571BC1" w:rsidRDefault="00571BC1" w:rsidP="00571BC1">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22 372,8</w:t>
            </w:r>
          </w:p>
        </w:tc>
      </w:tr>
      <w:tr w:rsidR="00571BC1" w:rsidRPr="00571BC1" w:rsidTr="00B23B0B">
        <w:trPr>
          <w:trHeight w:val="315"/>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Индекс физического объема платных услуг населению</w:t>
            </w:r>
          </w:p>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p>
        </w:tc>
        <w:tc>
          <w:tcPr>
            <w:tcW w:w="1563" w:type="dxa"/>
            <w:hideMark/>
          </w:tcPr>
          <w:p w:rsidR="00571BC1" w:rsidRPr="00571BC1" w:rsidRDefault="00571BC1" w:rsidP="00571BC1">
            <w:pPr>
              <w:overflowPunct w:val="0"/>
              <w:autoSpaceDE w:val="0"/>
              <w:autoSpaceDN w:val="0"/>
              <w:adjustRightInd w:val="0"/>
              <w:spacing w:after="0" w:line="240" w:lineRule="auto"/>
              <w:ind w:left="-110" w:right="-105"/>
              <w:jc w:val="center"/>
              <w:textAlignment w:val="baseline"/>
              <w:rPr>
                <w:rFonts w:eastAsia="Times New Roman"/>
                <w:sz w:val="24"/>
                <w:szCs w:val="24"/>
              </w:rPr>
            </w:pPr>
            <w:r w:rsidRPr="00571BC1">
              <w:rPr>
                <w:rFonts w:eastAsia="Times New Roman"/>
                <w:sz w:val="24"/>
                <w:szCs w:val="24"/>
              </w:rPr>
              <w:t>в % к преды-дущему году</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102,2</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115,3</w:t>
            </w:r>
          </w:p>
        </w:tc>
        <w:tc>
          <w:tcPr>
            <w:tcW w:w="1275" w:type="dxa"/>
          </w:tcPr>
          <w:p w:rsidR="00571BC1" w:rsidRPr="00571BC1" w:rsidRDefault="00571BC1" w:rsidP="00571BC1">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97,3</w:t>
            </w:r>
          </w:p>
        </w:tc>
      </w:tr>
      <w:tr w:rsidR="00571BC1" w:rsidRPr="00571BC1" w:rsidTr="00B23B0B">
        <w:trPr>
          <w:trHeight w:val="259"/>
        </w:trPr>
        <w:tc>
          <w:tcPr>
            <w:tcW w:w="3974" w:type="dxa"/>
            <w:shd w:val="clear" w:color="auto" w:fill="auto"/>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4. Малое и среднее предпринимательство</w:t>
            </w:r>
            <w:r w:rsidRPr="00571BC1">
              <w:rPr>
                <w:rFonts w:eastAsia="Times New Roman"/>
                <w:sz w:val="24"/>
                <w:vertAlign w:val="superscript"/>
              </w:rPr>
              <w:footnoteReference w:id="10"/>
            </w:r>
          </w:p>
        </w:tc>
        <w:tc>
          <w:tcPr>
            <w:tcW w:w="1563" w:type="dxa"/>
            <w:shd w:val="clear" w:color="auto" w:fill="auto"/>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shd w:val="clear" w:color="auto" w:fill="auto"/>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shd w:val="clear" w:color="auto" w:fill="auto"/>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r>
      <w:tr w:rsidR="00571BC1" w:rsidRPr="00571BC1" w:rsidTr="00B23B0B">
        <w:trPr>
          <w:trHeight w:val="259"/>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Количество малых предпри</w:t>
            </w:r>
            <w:r w:rsidRPr="00571BC1">
              <w:rPr>
                <w:rFonts w:eastAsia="Times New Roman"/>
                <w:sz w:val="24"/>
                <w:szCs w:val="24"/>
              </w:rPr>
              <w:softHyphen/>
              <w:t>ятий, в том числе микропредприятий – всего по состоянию на конец года</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единиц</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6 734</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7 173</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6 821</w:t>
            </w:r>
          </w:p>
        </w:tc>
      </w:tr>
      <w:tr w:rsidR="00571BC1" w:rsidRPr="00571BC1" w:rsidTr="00B23B0B">
        <w:trPr>
          <w:trHeight w:val="259"/>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Численность индивидуаль</w:t>
            </w:r>
            <w:r w:rsidRPr="00571BC1">
              <w:rPr>
                <w:rFonts w:eastAsia="Times New Roman"/>
                <w:sz w:val="24"/>
                <w:szCs w:val="24"/>
              </w:rPr>
              <w:softHyphen/>
              <w:t>ных предпри</w:t>
            </w:r>
            <w:r w:rsidRPr="00571BC1">
              <w:rPr>
                <w:rFonts w:eastAsia="Times New Roman"/>
                <w:sz w:val="24"/>
                <w:szCs w:val="24"/>
              </w:rPr>
              <w:softHyphen/>
              <w:t>нимателей - по состоянию на конец года</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человек</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6 149</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7 484</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6 819</w:t>
            </w:r>
          </w:p>
        </w:tc>
      </w:tr>
      <w:tr w:rsidR="00571BC1" w:rsidRPr="00571BC1" w:rsidTr="00B23B0B">
        <w:trPr>
          <w:trHeight w:val="259"/>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Количество средних пред</w:t>
            </w:r>
            <w:r w:rsidRPr="00571BC1">
              <w:rPr>
                <w:rFonts w:eastAsia="Times New Roman"/>
                <w:sz w:val="24"/>
                <w:szCs w:val="24"/>
              </w:rPr>
              <w:softHyphen/>
              <w:t>приятий – всего</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единиц</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18</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21</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21</w:t>
            </w:r>
          </w:p>
        </w:tc>
      </w:tr>
      <w:tr w:rsidR="00571BC1" w:rsidRPr="00571BC1" w:rsidTr="00B23B0B">
        <w:trPr>
          <w:trHeight w:val="259"/>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5. Инвестиции и строительство</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ascii="Calibri" w:hAnsi="Calibri"/>
                <w:sz w:val="24"/>
                <w:szCs w:val="24"/>
              </w:rPr>
            </w:pP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p>
        </w:tc>
      </w:tr>
      <w:tr w:rsidR="00571BC1" w:rsidRPr="00571BC1" w:rsidTr="00B23B0B">
        <w:trPr>
          <w:trHeight w:val="259"/>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b/>
                <w:sz w:val="24"/>
                <w:szCs w:val="24"/>
              </w:rPr>
            </w:pPr>
            <w:r w:rsidRPr="00571BC1">
              <w:rPr>
                <w:rFonts w:eastAsia="Times New Roman"/>
                <w:sz w:val="24"/>
                <w:szCs w:val="24"/>
              </w:rPr>
              <w:t xml:space="preserve">Объем инвестиций в основной капитал (за исключением </w:t>
            </w:r>
            <w:r w:rsidRPr="00571BC1">
              <w:rPr>
                <w:rFonts w:eastAsia="Times New Roman"/>
                <w:sz w:val="24"/>
                <w:szCs w:val="24"/>
              </w:rPr>
              <w:lastRenderedPageBreak/>
              <w:t xml:space="preserve">бюджетных средств) </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lastRenderedPageBreak/>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ascii="Calibri" w:hAnsi="Calibri"/>
                <w:sz w:val="24"/>
                <w:szCs w:val="24"/>
              </w:rPr>
            </w:pPr>
            <w:r w:rsidRPr="00571BC1">
              <w:rPr>
                <w:rFonts w:eastAsia="Times New Roman"/>
                <w:sz w:val="24"/>
                <w:szCs w:val="24"/>
              </w:rPr>
              <w:t xml:space="preserve">в ценах </w:t>
            </w:r>
            <w:r w:rsidRPr="00571BC1">
              <w:rPr>
                <w:rFonts w:eastAsia="Times New Roman"/>
                <w:sz w:val="24"/>
                <w:szCs w:val="24"/>
              </w:rPr>
              <w:lastRenderedPageBreak/>
              <w:t>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lastRenderedPageBreak/>
              <w:t>12 438,4</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12 652,9</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lang w:eastAsia="ru-RU"/>
              </w:rPr>
              <w:t>39 490,2</w:t>
            </w:r>
          </w:p>
        </w:tc>
      </w:tr>
      <w:tr w:rsidR="00571BC1" w:rsidRPr="00571BC1" w:rsidTr="00B23B0B">
        <w:trPr>
          <w:trHeight w:val="286"/>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Объем инвестиций (в основной капитал) за счет всех источников финансирования – всего</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25 213,7</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23 811,4</w:t>
            </w:r>
          </w:p>
        </w:tc>
        <w:tc>
          <w:tcPr>
            <w:tcW w:w="1275" w:type="dxa"/>
          </w:tcPr>
          <w:p w:rsidR="00571BC1" w:rsidRPr="00571BC1" w:rsidRDefault="00571BC1" w:rsidP="00571BC1">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85 373,3</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бюджетные средства,</w:t>
            </w:r>
          </w:p>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из них:</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12 775,3</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11 158,6</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45 883,1</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средства федерального бюджета</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12 421,8</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10 429,6</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42 965,3</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средства бюджета субъекта Федерации</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226,8</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425,6</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1 895,6</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средства муниципального бюджета</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126,7</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303,3</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1 022,2</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lang w:val="en-US"/>
              </w:rPr>
            </w:pPr>
            <w:r w:rsidRPr="00571BC1">
              <w:rPr>
                <w:rFonts w:eastAsia="Times New Roman"/>
                <w:sz w:val="24"/>
                <w:szCs w:val="24"/>
              </w:rPr>
              <w:t>собственные средства предприятий</w:t>
            </w:r>
          </w:p>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lang w:val="en-US"/>
              </w:rPr>
            </w:pPr>
          </w:p>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lang w:val="en-US"/>
              </w:rPr>
            </w:pP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6 505,8</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10 381,8</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21 033,3</w:t>
            </w:r>
          </w:p>
        </w:tc>
      </w:tr>
      <w:tr w:rsidR="00571BC1" w:rsidRPr="00571BC1" w:rsidTr="00B23B0B">
        <w:trPr>
          <w:trHeight w:val="63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 xml:space="preserve">Объем выполненных работ по виду деятельности «Строительство» </w:t>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 xml:space="preserve">млн. руб. </w:t>
            </w:r>
            <w:r w:rsidRPr="00571BC1">
              <w:rPr>
                <w:rFonts w:eastAsia="Times New Roman"/>
                <w:color w:val="000000"/>
                <w:sz w:val="24"/>
                <w:szCs w:val="24"/>
                <w:lang w:eastAsia="ru-RU"/>
              </w:rPr>
              <w:b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333,7</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206,9</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800,1</w:t>
            </w:r>
          </w:p>
        </w:tc>
      </w:tr>
      <w:tr w:rsidR="00571BC1" w:rsidRPr="00571BC1" w:rsidTr="00B23B0B">
        <w:trPr>
          <w:trHeight w:val="170"/>
        </w:trPr>
        <w:tc>
          <w:tcPr>
            <w:tcW w:w="3974" w:type="dxa"/>
            <w:hideMark/>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6. Сальдированный финансовый результат (прибыль, убыток) деятельности крупных и средних предприятий</w:t>
            </w:r>
            <w:r w:rsidRPr="00571BC1">
              <w:rPr>
                <w:rFonts w:eastAsia="Times New Roman"/>
                <w:sz w:val="24"/>
                <w:vertAlign w:val="superscript"/>
              </w:rPr>
              <w:footnoteReference w:id="11"/>
            </w:r>
          </w:p>
        </w:tc>
        <w:tc>
          <w:tcPr>
            <w:tcW w:w="1563" w:type="dxa"/>
            <w:hideMark/>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млн. руб.</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15 313,1</w:t>
            </w: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25 847,9</w:t>
            </w: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571BC1">
              <w:rPr>
                <w:rFonts w:eastAsia="Times New Roman"/>
                <w:color w:val="000000"/>
                <w:sz w:val="24"/>
                <w:szCs w:val="24"/>
                <w:lang w:eastAsia="ru-RU"/>
              </w:rPr>
              <w:t>56 130,1</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bCs/>
                <w:sz w:val="24"/>
                <w:szCs w:val="24"/>
              </w:rPr>
            </w:pPr>
            <w:r w:rsidRPr="00571BC1">
              <w:rPr>
                <w:rFonts w:eastAsia="Times New Roman"/>
                <w:bCs/>
                <w:sz w:val="24"/>
                <w:szCs w:val="24"/>
              </w:rPr>
              <w:t>7. Труд и занятость</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414" w:type="dxa"/>
          </w:tcPr>
          <w:p w:rsidR="00571BC1" w:rsidRPr="00571BC1" w:rsidRDefault="00571BC1" w:rsidP="00571BC1">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418" w:type="dxa"/>
          </w:tcPr>
          <w:p w:rsidR="00571BC1" w:rsidRPr="00571BC1" w:rsidRDefault="00571BC1" w:rsidP="00571BC1">
            <w:pPr>
              <w:overflowPunct w:val="0"/>
              <w:autoSpaceDE w:val="0"/>
              <w:autoSpaceDN w:val="0"/>
              <w:adjustRightInd w:val="0"/>
              <w:spacing w:after="0" w:line="240" w:lineRule="auto"/>
              <w:jc w:val="center"/>
              <w:textAlignment w:val="baseline"/>
              <w:rPr>
                <w:rFonts w:ascii="Calibri" w:eastAsia="Times New Roman" w:hAnsi="Calibri"/>
                <w:sz w:val="24"/>
                <w:szCs w:val="24"/>
              </w:rPr>
            </w:pPr>
          </w:p>
        </w:tc>
        <w:tc>
          <w:tcPr>
            <w:tcW w:w="1275" w:type="dxa"/>
          </w:tcPr>
          <w:p w:rsidR="00571BC1" w:rsidRPr="00571BC1" w:rsidRDefault="00571BC1" w:rsidP="00571BC1">
            <w:pPr>
              <w:overflowPunct w:val="0"/>
              <w:autoSpaceDE w:val="0"/>
              <w:autoSpaceDN w:val="0"/>
              <w:adjustRightInd w:val="0"/>
              <w:spacing w:after="0" w:line="240" w:lineRule="auto"/>
              <w:jc w:val="center"/>
              <w:textAlignment w:val="baseline"/>
              <w:rPr>
                <w:rFonts w:ascii="Calibri" w:eastAsia="Times New Roman" w:hAnsi="Calibri"/>
                <w:sz w:val="24"/>
                <w:szCs w:val="24"/>
              </w:rPr>
            </w:pP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Численность населения в трудоспособном возрасте (среднегодовая)</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тыс. 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162,12</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Численность безработных, зарегистрированных в службах занятости, в среднем за год</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тыс. 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3,3</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Уровень зарегистрированной безработицы (к трудоспособному населению)</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2,04</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lastRenderedPageBreak/>
              <w:t xml:space="preserve">Среднесписочная численность работников организаций (без субъектов малого предпринимательства) </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тыс. человек</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87,3</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88,6</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83,6</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Среднемесячная начисленная заработная плата работников организаций (без субъектов малого предпринимательства)</w:t>
            </w:r>
          </w:p>
        </w:tc>
        <w:tc>
          <w:tcPr>
            <w:tcW w:w="1563" w:type="dxa"/>
          </w:tcPr>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 w:val="24"/>
                <w:szCs w:val="24"/>
              </w:rPr>
            </w:pPr>
            <w:r w:rsidRPr="00571BC1">
              <w:rPr>
                <w:rFonts w:eastAsia="Times New Roman"/>
                <w:sz w:val="24"/>
                <w:szCs w:val="24"/>
              </w:rPr>
              <w:t>руб. в ценах соответст-вующих лет</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71 980</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74 946</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77 977</w:t>
            </w:r>
          </w:p>
        </w:tc>
      </w:tr>
      <w:tr w:rsidR="00571BC1" w:rsidRPr="00571BC1" w:rsidTr="00B23B0B">
        <w:trPr>
          <w:trHeight w:val="170"/>
        </w:trPr>
        <w:tc>
          <w:tcPr>
            <w:tcW w:w="3974" w:type="dxa"/>
          </w:tcPr>
          <w:p w:rsidR="00571BC1" w:rsidRPr="00571BC1" w:rsidRDefault="00571BC1" w:rsidP="00571BC1">
            <w:pPr>
              <w:overflowPunct w:val="0"/>
              <w:autoSpaceDE w:val="0"/>
              <w:autoSpaceDN w:val="0"/>
              <w:adjustRightInd w:val="0"/>
              <w:spacing w:after="0" w:line="240" w:lineRule="auto"/>
              <w:textAlignment w:val="baseline"/>
              <w:rPr>
                <w:rFonts w:eastAsia="Times New Roman"/>
                <w:sz w:val="24"/>
                <w:szCs w:val="24"/>
              </w:rPr>
            </w:pPr>
            <w:r w:rsidRPr="00571BC1">
              <w:rPr>
                <w:rFonts w:eastAsia="Times New Roman"/>
                <w:sz w:val="24"/>
                <w:szCs w:val="24"/>
              </w:rPr>
              <w:t>Среднемесячная реальная заработная плата работников организаций (без субъектов малого предпринимательства)</w:t>
            </w:r>
          </w:p>
        </w:tc>
        <w:tc>
          <w:tcPr>
            <w:tcW w:w="1563" w:type="dxa"/>
          </w:tcPr>
          <w:p w:rsidR="00571BC1" w:rsidRPr="00571BC1" w:rsidRDefault="00571BC1" w:rsidP="00571BC1">
            <w:pPr>
              <w:overflowPunct w:val="0"/>
              <w:autoSpaceDE w:val="0"/>
              <w:autoSpaceDN w:val="0"/>
              <w:adjustRightInd w:val="0"/>
              <w:spacing w:after="0" w:line="240" w:lineRule="auto"/>
              <w:ind w:left="-110" w:right="-105"/>
              <w:jc w:val="center"/>
              <w:textAlignment w:val="baseline"/>
              <w:rPr>
                <w:rFonts w:eastAsia="Times New Roman"/>
                <w:sz w:val="24"/>
                <w:szCs w:val="24"/>
              </w:rPr>
            </w:pPr>
            <w:r w:rsidRPr="00571BC1">
              <w:rPr>
                <w:rFonts w:eastAsia="Times New Roman"/>
                <w:sz w:val="24"/>
                <w:szCs w:val="24"/>
              </w:rPr>
              <w:t>в % к предыдущему периоду</w:t>
            </w:r>
          </w:p>
        </w:tc>
        <w:tc>
          <w:tcPr>
            <w:tcW w:w="1414"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418"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х</w:t>
            </w:r>
          </w:p>
        </w:tc>
        <w:tc>
          <w:tcPr>
            <w:tcW w:w="1275" w:type="dxa"/>
          </w:tcPr>
          <w:p w:rsidR="00571BC1" w:rsidRPr="00571BC1" w:rsidRDefault="00571BC1" w:rsidP="00571BC1">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571BC1">
              <w:rPr>
                <w:rFonts w:eastAsia="Times New Roman"/>
                <w:sz w:val="24"/>
                <w:szCs w:val="28"/>
                <w:lang w:eastAsia="ru-RU"/>
              </w:rPr>
              <w:t>100,86</w:t>
            </w:r>
          </w:p>
        </w:tc>
      </w:tr>
    </w:tbl>
    <w:p w:rsidR="00571BC1" w:rsidRPr="00571BC1" w:rsidRDefault="00571BC1" w:rsidP="00571BC1">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571BC1">
        <w:rPr>
          <w:rFonts w:eastAsia="Times New Roman"/>
          <w:bCs/>
          <w:szCs w:val="28"/>
          <w:lang w:eastAsia="ru-RU"/>
        </w:rPr>
        <w:t>Пояснительная записка к предварительным итогам социально-</w:t>
      </w:r>
    </w:p>
    <w:p w:rsidR="00571BC1" w:rsidRPr="00571BC1" w:rsidRDefault="00571BC1" w:rsidP="00571BC1">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571BC1">
        <w:rPr>
          <w:rFonts w:eastAsia="Times New Roman"/>
          <w:bCs/>
          <w:szCs w:val="28"/>
          <w:lang w:eastAsia="ru-RU"/>
        </w:rPr>
        <w:t>экономического развития муниципального образования город Мурманск</w:t>
      </w:r>
    </w:p>
    <w:p w:rsidR="00571BC1" w:rsidRPr="00571BC1" w:rsidRDefault="00571BC1" w:rsidP="00571BC1">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571BC1">
        <w:rPr>
          <w:rFonts w:eastAsia="Times New Roman"/>
          <w:bCs/>
          <w:szCs w:val="28"/>
          <w:lang w:eastAsia="ru-RU"/>
        </w:rPr>
        <w:t>за первое полугодие 2020 года и ожидаемым итогам</w:t>
      </w:r>
    </w:p>
    <w:p w:rsidR="00571BC1" w:rsidRPr="00571BC1" w:rsidRDefault="00571BC1" w:rsidP="00571BC1">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571BC1">
        <w:rPr>
          <w:rFonts w:eastAsia="Times New Roman"/>
          <w:bCs/>
          <w:szCs w:val="28"/>
          <w:lang w:eastAsia="ru-RU"/>
        </w:rPr>
        <w:t>социально-экономического развития за 2020 год</w:t>
      </w: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p>
    <w:p w:rsidR="00571BC1" w:rsidRPr="00571BC1" w:rsidRDefault="00571BC1" w:rsidP="00571BC1">
      <w:pPr>
        <w:keepNext/>
        <w:spacing w:after="0" w:line="240" w:lineRule="auto"/>
        <w:jc w:val="center"/>
        <w:outlineLvl w:val="0"/>
        <w:rPr>
          <w:rFonts w:eastAsia="Times New Roman"/>
          <w:bCs/>
          <w:kern w:val="32"/>
          <w:szCs w:val="28"/>
          <w:lang w:eastAsia="ru-RU"/>
        </w:rPr>
      </w:pPr>
      <w:r w:rsidRPr="00571BC1">
        <w:rPr>
          <w:rFonts w:eastAsia="Times New Roman"/>
          <w:bCs/>
          <w:kern w:val="32"/>
          <w:szCs w:val="28"/>
          <w:lang w:eastAsia="ru-RU"/>
        </w:rPr>
        <w:t>Демографические показатели</w:t>
      </w:r>
    </w:p>
    <w:p w:rsidR="00571BC1" w:rsidRPr="00571BC1" w:rsidRDefault="00571BC1" w:rsidP="00571BC1">
      <w:pPr>
        <w:keepNext/>
        <w:spacing w:after="0" w:line="240" w:lineRule="auto"/>
        <w:ind w:firstLine="709"/>
        <w:jc w:val="both"/>
        <w:outlineLvl w:val="0"/>
        <w:rPr>
          <w:rFonts w:eastAsia="Times New Roman"/>
          <w:bCs/>
          <w:kern w:val="32"/>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Динамика показателей естественного движения населения города Мурманска в 2019 году по отношению к 2018 году характеризуется снижением как числа родившихся, так и числа умерших. При этом показатель естественного прироста населения в 2019 году, как и в 2018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Ожидается, что по итогам 2020 года родится на 26 детей меньше, чем в 2019 году (2606 детей). Коэффициент рождаемости предположительно составит 9,12 человек на 1000 населения, коэффициент смертности – 12,6 человек на 1000 населения. Коэффициент естественного прироста предположительно составит -3,48 человек на 1000 населения.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Основной и наиболее существенной причиной сокращения населения города Мурманска остается миграционный отток.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первом полугодии текущего года количество прибывших сократилось на 356 человек, или на 8,3% по сравнению с аналогичным периодом 2019 года, и составило 3909 человек. Также сократилось количество выбывших - на </w:t>
      </w:r>
      <w:r w:rsidRPr="00571BC1">
        <w:rPr>
          <w:rFonts w:eastAsia="Times New Roman"/>
          <w:szCs w:val="28"/>
          <w:lang w:eastAsia="ru-RU"/>
        </w:rPr>
        <w:br/>
        <w:t>110 человек, или 2,2%. По итогам 2020 года коэффициент миграционного прироста предположительно составит -10,94 человек на 1000 населения.</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Ожидается, что в 2020 году среднегодовое значение численности населения города Мурманска сократится на 1,5% к предыдущему году и составит 285 786 человек.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пр.</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Производство товаров и услуг</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Экономическое развитие города Мурманска, как и экономики России, и мировой экономики, в первой половине 2020 года определялось прежде всего эпидемиологической ситуацией, связанной с распространением новой коронавирусной инфекции (</w:t>
      </w:r>
      <w:r w:rsidRPr="00571BC1">
        <w:rPr>
          <w:rFonts w:eastAsia="Times New Roman"/>
          <w:szCs w:val="28"/>
          <w:lang w:val="en-US" w:eastAsia="ru-RU"/>
        </w:rPr>
        <w:t>COVID</w:t>
      </w:r>
      <w:r w:rsidRPr="00571BC1">
        <w:rPr>
          <w:rFonts w:eastAsia="Times New Roman"/>
          <w:szCs w:val="28"/>
          <w:lang w:eastAsia="ru-RU"/>
        </w:rPr>
        <w:t>–19). Главной стратегией борьбы с эпидемией стало сглаживание пика за счет мер по самоизоляции, социальному дистанцированию, максимальному переходу на удаленную работу и обучение, прекращению или ограничению работы значительной части предприятий и организаций, длительному периоду нерабочих дней с конца марта до середины мая 2020 года. Одновременно разворачивались мощности системы здравоохранения: масштабы тестирования, оборудованный коечный фонд, производство средств индивидуальной защиты. Жесткие ограничения, введенные в России, в том числе и в Мурманской области, своевременно спланированные и реализованные противоэпидемические меры позволили существенно замедлить распространение эпидемии и не допустить высокого уровня смертности.</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результате распространения коронавирусной инфекции экономика России одновременно столкнулась и с ограничением предложения, и с ограничением спроса. Часть отраслей (сфера бытовых услуг, туризм, авиаперевозки, пассажирские перевозки и ряд других) были закрыты полностью.</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Объем отгруженных товаров собственного производства, выполненных работ и услуг собственными силами организаций в действующих ценах в сфере промышленного производства в первом полугодии 2020 года увеличился до 46,5 млрд. руб. (112,3%) за счет роста показателя в сфере обрабатывающих производств до 38,8 млрд. руб. (115,9%). Высокий рост объема отгруженной продукции среди обрабатывающих производств отмечен в производстве прочих транспортных средств и оборудования до 6,6 млрд. руб. (в 7,3 раза) и производстве пищевых продуктов до 30,6 млрд. руб. (103,7%). Увеличение обусловлено плановым ведением производственной деятельности, неритмичным закрытием актов выполненных работ, а также изменением объема заказов. В 42,2 раза по сравнению с предыдущим периодом увеличился объем отгруженной продукции в сфере добычи полезных ископаемых.</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Объем </w:t>
      </w:r>
      <w:r w:rsidRPr="00571BC1">
        <w:rPr>
          <w:rFonts w:eastAsia="Times New Roman"/>
          <w:bCs/>
          <w:szCs w:val="28"/>
          <w:lang w:eastAsia="ru-RU"/>
        </w:rPr>
        <w:t>отгруженных работ и услуг собственными силами организаций в сфере</w:t>
      </w:r>
      <w:r w:rsidRPr="00571BC1">
        <w:rPr>
          <w:rFonts w:eastAsia="Times New Roman"/>
          <w:szCs w:val="28"/>
          <w:lang w:eastAsia="ru-RU"/>
        </w:rPr>
        <w:t xml:space="preserve"> рыболовства и рыбоводства в первом полугодии 2020 года составил </w:t>
      </w:r>
      <w:r w:rsidRPr="00571BC1">
        <w:rPr>
          <w:rFonts w:eastAsia="Times New Roman"/>
          <w:szCs w:val="28"/>
          <w:lang w:eastAsia="ru-RU"/>
        </w:rPr>
        <w:br/>
        <w:t>30,3 млрд. руб. (103,1% к аналогичному периоду 2019 года).</w:t>
      </w:r>
      <w:r w:rsidRPr="00571BC1">
        <w:rPr>
          <w:rFonts w:eastAsia="Times New Roman"/>
          <w:bCs/>
          <w:szCs w:val="28"/>
          <w:lang w:eastAsia="ru-RU"/>
        </w:rPr>
        <w:t xml:space="preserve">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szCs w:val="28"/>
          <w:lang w:eastAsia="ru-RU"/>
        </w:rPr>
        <w:lastRenderedPageBreak/>
        <w:t xml:space="preserve">Высокий рост объема отгруженной продукции по «чистым» видам экономической деятельности среди обрабатывающих производств отмечен в производстве одежды (в 5,8 раза), </w:t>
      </w:r>
      <w:r w:rsidRPr="00571BC1">
        <w:rPr>
          <w:rFonts w:eastAsia="Times New Roman"/>
          <w:color w:val="000000"/>
          <w:szCs w:val="28"/>
          <w:lang w:eastAsia="ru-RU"/>
        </w:rPr>
        <w:t>производстве бумаги и бумажных изделий (в 2,1 раза),</w:t>
      </w:r>
      <w:r w:rsidRPr="00571BC1">
        <w:rPr>
          <w:rFonts w:eastAsia="Times New Roman"/>
          <w:szCs w:val="28"/>
          <w:lang w:eastAsia="ru-RU"/>
        </w:rPr>
        <w:t xml:space="preserve"> </w:t>
      </w:r>
      <w:r w:rsidRPr="00571BC1">
        <w:rPr>
          <w:rFonts w:eastAsia="Times New Roman"/>
          <w:color w:val="000000"/>
          <w:szCs w:val="28"/>
          <w:lang w:eastAsia="ru-RU"/>
        </w:rPr>
        <w:t>ремонте и монтаже машин и оборудования (в 1,5 раза). Отмечен рост объема отгруженной продукции в производстве какао, шоколада и сахаристых кондитерских изделий в 24,7 раза.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По итогам 2020 года ожидается снижение темпа роста промышленного производства до 91,2%, в том числе в сфере обрабатывающей промышленности – 95,6%.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по итогам 2020 года оценочно составит 105,8 млрд. руб.</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 xml:space="preserve">Темп роста по виду деятельности «Обеспечение электрической энергией, газом и паром; кондиционирование воздуха» в первой половине 2020 года по оценочным данным составил 95,2% к соответствующему периоду предыдущего года. Объем отгруженной продукции по данному виду деятельности в первом полугодии 2020 года составил около 5,7 млрд. руб., по итогам 2020 года прогнозируется незначительное снижение до 11,0 млрд. руб.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 xml:space="preserve">Объем промышленного производства по виду деятельности «Водоснабжение; водоотведение, организация сбора и утилизация отходов, деятельность по ликвидации загрязнений» в первом полугодии 2020 года составил около 2,0 млрд. руб., или 102,2% к аналогичному периоду предыдущего года в связи с ростом показателя по классу «Сбор, обработка и утилизация отходов; обработка вторичного сырья» (105,8%). По итогам </w:t>
      </w:r>
      <w:r w:rsidRPr="00571BC1">
        <w:rPr>
          <w:rFonts w:eastAsia="Times New Roman"/>
          <w:color w:val="000000"/>
          <w:szCs w:val="28"/>
          <w:lang w:eastAsia="ru-RU"/>
        </w:rPr>
        <w:br/>
        <w:t xml:space="preserve">2020 года объем отгруженной продукции по данному виду деятельности предположительно составит 4,4 млрд. руб.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bCs/>
          <w:szCs w:val="28"/>
          <w:lang w:eastAsia="ru-RU"/>
        </w:rPr>
        <w:t xml:space="preserve">В первом полугодии 2020 года отмечено снижение показателей в сфере автотранспорта по объему перевезенных грузов грузовыми автомобилями организаций на 19,6% (167,7 тыс. тонн) и их грузообороту на 2,4% </w:t>
      </w:r>
      <w:r w:rsidRPr="00571BC1">
        <w:rPr>
          <w:rFonts w:eastAsia="Times New Roman"/>
          <w:bCs/>
          <w:szCs w:val="28"/>
          <w:lang w:eastAsia="ru-RU"/>
        </w:rPr>
        <w:br/>
        <w:t>(12 609,5 тыс. т-км), числу перевезенных пассажиров автобусным транспортом на 37,4% до 115,0 млн. человек и пассажирообороту на 37,4%. В сфере морского транспорта наблюдается снижение показателей по отправлению грузов (36,7% к первому полугодию 2019 года). По официальным данным Мурманскстата, с июля 2019 года пассажирское судно сдано в бербоут-чартер (договор фрахтования судна без экипажа), в связи с этим данные по пассажирообороту морского транспорта отсутствуют.</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Рынок товаров и услуг</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первом полугодии 2020 года отмечено увеличение в действующих ценах оборота розничной торговли (25,6 млрд. руб., или 135,0% к аналогичному периоду 2019 года). Оборот общественного питания составил 833,1 млн. руб. (76,2%). Стоимость минимального набора продуктов питания, входящих в потребительскую корзину, составила 5680,3 руб. (106,5% к аналогичному периоду 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Общий объем платных услуг населению составил 13,1 млрд. рублей (116,3% к январю-марту 2019 года), из них рост отмечен по коммунальным услугам (в 1,5 раза) и услугам телекоммуникационным (101,6%). Отмечено значительное сокращение в действующих ценах объема жилищных услуг (6,2%), услуг учреждений культуры (47,9%), услуг гостиниц и аналогичных средств размещения (75,0%) и услуг системы образования (82,3%).</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Снижение отдельных показателей по видам экономической деятельности «Розничная торговля», «Оборот общественного питания», «Общий объем платных услуг населению» в марте-июне 2020 года по сравнению с предыдущими месяцами, соответствующими месяцами и периодами 2019 года связано с приостановкой на различные периоды времени работы хозяйствующих субъектов в соответствии с региональными и федеральными нормативно-правовыми актами, направленными на реализацию мер по обеспечению санитарно-эпидемиологического благополучия населения в связи с угрозой распространения новой коронавирусной инфекции (</w:t>
      </w:r>
      <w:r w:rsidRPr="00571BC1">
        <w:rPr>
          <w:rFonts w:eastAsia="Times New Roman"/>
          <w:szCs w:val="28"/>
          <w:lang w:val="en-US" w:eastAsia="ru-RU"/>
        </w:rPr>
        <w:t>COVID</w:t>
      </w:r>
      <w:r w:rsidRPr="00571BC1">
        <w:rPr>
          <w:rFonts w:eastAsia="Times New Roman"/>
          <w:szCs w:val="28"/>
          <w:lang w:eastAsia="ru-RU"/>
        </w:rPr>
        <w:t>-19).</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Сохраняется тенденция роста обеспеченности населения торговыми площадями. Всего в первом полугодии 2020 года введено 12 коммерческих зданий общей площадью 7 626 кв.м.</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571BC1">
        <w:rPr>
          <w:rFonts w:eastAsia="Times New Roman"/>
          <w:color w:val="000000"/>
          <w:szCs w:val="28"/>
          <w:lang w:eastAsia="ru-RU"/>
        </w:rPr>
        <w:t>Сохранение ключевой ставки Центрального банка Российской Федерации на уровне 4,25% и сохранение уровня реальной заработной платы позволяет рассчитывать на сохранение кредитной и потребительской активности населения по итогам 2020 года. Прогнозные значения оборота розничной торговли, оборота общественного питания, объема платных услуг населению по итогам 2020 года составят 41,9 млрд. руб., 1,6 млрд. руб. и 22,4 млрд. руб. соответственно.</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Малое и среднее предпринимательство</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течение первого полугодия 2020 года наблюдается положительная динамика увеличения количества субъектов малого и среднего предпринимательства, общее число которых по данным Единого реестра субъектов малого и среднего предпринимательства составило </w:t>
      </w:r>
      <w:r w:rsidRPr="00571BC1">
        <w:rPr>
          <w:rFonts w:eastAsia="Times New Roman"/>
          <w:szCs w:val="28"/>
          <w:lang w:eastAsia="ru-RU"/>
        </w:rPr>
        <w:br/>
        <w:t>14 678 организаций, или 113,8% к 01.07.2019.</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Количество малых предприятий, включая микропредприятия, учтенных в Едином реестре субъектов малого и среднего предпринимательства, составило 7 173 ед. (106,5% к первому полугодию 2019 года), количество индивидуальных предпринимателей – 7 484 (121,7% к первому полугодию </w:t>
      </w:r>
      <w:r w:rsidRPr="00571BC1">
        <w:rPr>
          <w:rFonts w:eastAsia="Times New Roman"/>
          <w:szCs w:val="28"/>
          <w:lang w:eastAsia="ru-RU"/>
        </w:rPr>
        <w:br/>
        <w:t>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Количество средних предприятий по данным Единого реестра субъектов малого и среднего предпринимательства на первое полугодие 2020 года – </w:t>
      </w:r>
      <w:r w:rsidRPr="00571BC1">
        <w:rPr>
          <w:rFonts w:eastAsia="Times New Roman"/>
          <w:szCs w:val="28"/>
          <w:lang w:eastAsia="ru-RU"/>
        </w:rPr>
        <w:br/>
        <w:t xml:space="preserve">21 организация (116,7% к соответствующему периоду предыдущего года).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Реализация мероприятий по поддержке начинающих и действующих предпринимателей как на муниципальном, так и региональном уровне будет способствовать стабилизации и укреплению позиций субъектов малого и среднего предпринимательства по итогам 2020 года. Количество малых (в том </w:t>
      </w:r>
      <w:r w:rsidRPr="00571BC1">
        <w:rPr>
          <w:rFonts w:eastAsia="Times New Roman"/>
          <w:szCs w:val="28"/>
          <w:lang w:eastAsia="ru-RU"/>
        </w:rPr>
        <w:lastRenderedPageBreak/>
        <w:t>числе микро-) предприятий по итогам 2020 года оценочно составит 6 821 ед., индивидуальных предпринимателей – 6 819 чел., средних предприятий – 21 ед.</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Инвестиции и строительство</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По предварительным данным, объем инвестиций по итогам первого полугодия 2020 года достиг 23,8 млрд. руб. (94,4% к аналогичному показателю прошлого года), в том числе по виду экономической деятельности «Обрабатывающие производства» – 681,4 млн. руб. (в 3,2 раза больше значения аналогичного периода 2019 года), «Торговля оптовая и розничная; ремонт автотранспортных средств и мотоциклов» – 318,8 млн. руб. (174,1% к </w:t>
      </w:r>
      <w:r w:rsidRPr="00571BC1">
        <w:rPr>
          <w:rFonts w:eastAsia="Times New Roman"/>
          <w:szCs w:val="28"/>
          <w:lang w:eastAsia="ru-RU"/>
        </w:rPr>
        <w:br/>
        <w:t>аналогичному периоду 2019 года), «Транспортировка и хранение» – 12,3 млрд. руб. (105,1% к аналогичному периоду 2019 года), «Рыболовство и рыбоводство» – 4,8 млрд. руб. (123,1% к аналогичному периоду 2019 года), «Обеспечение электрической энергией, газом и паром; кондиционирование воздуха – 463 млн. руб. (28,8% к аналогичному периоду 2019 года), «Водоснабжение; водоотведение, организация сбора и утилизации отходов, деятельность по ликвидации загрязнений» - 38 млн. руб. (5,8% к аналогичному периоду 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Наибольший объем инвестиций приходится на сферу транспортировки и хранения (51% от общего объема инвестиций), рыболовство, рыбоводство (20%), деятельность профессиональную, научную и техническую (8%).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структуре источников инвестиций отмечается сокращение объемов бюджетного финансирования до 11,2 млрд. руб. (87% к уровню 2019 года) за счет сокращения до 10,4 млрд. руб. объемов финансирования за счет средств федерального бюджета (84% к уровню 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Объем инвестиций за счет собственных средств организаций увеличился до 10,4 млрд. руб. (160% к январю-июню 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Объем работ строительного подряда в действующих ценах сократился до 206,9 млн. руб., составив 62,0% к аналогичному периоду 2019 года. В первом полугодии 2020 года введено 25 зданий общей площадью 15,1 тыс. кв.м (25,5% к первому полугодию 2019 года),</w:t>
      </w:r>
      <w:r w:rsidRPr="00571BC1">
        <w:rPr>
          <w:rFonts w:eastAsia="Times New Roman"/>
          <w:color w:val="FF0000"/>
          <w:szCs w:val="28"/>
          <w:lang w:eastAsia="ru-RU"/>
        </w:rPr>
        <w:t xml:space="preserve"> </w:t>
      </w:r>
      <w:r w:rsidRPr="00571BC1">
        <w:rPr>
          <w:rFonts w:eastAsia="Times New Roman"/>
          <w:szCs w:val="28"/>
          <w:lang w:eastAsia="ru-RU"/>
        </w:rPr>
        <w:t xml:space="preserve">в том числе семь жилых домов (включая индивидуальные жилые дома, построенные населением, введенные в эксплуатацию в установленном порядке) общей площадью 1,6 тыс. кв.м. Также введено 18 нежилых зданий (81,8% к январю-июню 2019 года) общей площадью 13,5 тыс. кв.м, включая 12 коммерческих, три промышленных и два административных здания.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В июне 2020 года выданы разрешения на ввод в эксплуатацию объектов: «Завод – объект капитального строительства по переработке трески, пикши и иных рыб малой мощности № 4» ООО «КЕДР ПЛЮС» и «Завод – объект капитального строительства по переработке трески, пикши и иных рыб малой мощности № 4» ООО «Парк» общей площадью 799,5 и 1 414,3 кв.м соответственно; «Завод – объект капитального строительства по переработке трески, пикши и иных видов рыб малой мощности» ООО «Причал-Л» общей площадью 829,4 кв.м.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lastRenderedPageBreak/>
        <w:t>С учетом реализуемых и планируемых к реализации на территории города Мурманска инвестиционных проектов объем инвестиций в основной капитал за счет всех источников финансирования по итогам 2020 года оценочно составит 85,4 млрд. руб., в том числе 45,9 млрд. руб. за счет бюджетных средств.</w:t>
      </w:r>
    </w:p>
    <w:p w:rsidR="00571BC1" w:rsidRPr="00571BC1" w:rsidRDefault="00571BC1" w:rsidP="00571BC1">
      <w:pPr>
        <w:overflowPunct w:val="0"/>
        <w:autoSpaceDE w:val="0"/>
        <w:autoSpaceDN w:val="0"/>
        <w:adjustRightInd w:val="0"/>
        <w:spacing w:after="0" w:line="240" w:lineRule="auto"/>
        <w:jc w:val="both"/>
        <w:textAlignment w:val="baseline"/>
        <w:rPr>
          <w:rFonts w:eastAsia="Times New Roman"/>
          <w:sz w:val="20"/>
          <w:szCs w:val="20"/>
          <w:lang w:eastAsia="ru-RU"/>
        </w:rPr>
      </w:pPr>
    </w:p>
    <w:p w:rsidR="00571BC1" w:rsidRPr="00571BC1" w:rsidRDefault="00571BC1" w:rsidP="00571BC1">
      <w:pPr>
        <w:overflowPunct w:val="0"/>
        <w:autoSpaceDE w:val="0"/>
        <w:autoSpaceDN w:val="0"/>
        <w:adjustRightInd w:val="0"/>
        <w:spacing w:after="0" w:line="240" w:lineRule="auto"/>
        <w:jc w:val="center"/>
        <w:textAlignment w:val="baseline"/>
        <w:rPr>
          <w:rFonts w:eastAsia="Times New Roman"/>
          <w:szCs w:val="28"/>
          <w:lang w:eastAsia="ru-RU"/>
        </w:rPr>
      </w:pPr>
      <w:r w:rsidRPr="00571BC1">
        <w:rPr>
          <w:rFonts w:eastAsia="Times New Roman"/>
          <w:szCs w:val="28"/>
          <w:lang w:eastAsia="ru-RU"/>
        </w:rPr>
        <w:t xml:space="preserve">Сальдированный финансовый результат (прибыль, убыток) </w:t>
      </w:r>
      <w:r w:rsidRPr="00571BC1">
        <w:rPr>
          <w:rFonts w:eastAsia="Times New Roman"/>
          <w:szCs w:val="28"/>
          <w:lang w:eastAsia="ru-RU"/>
        </w:rPr>
        <w:br/>
        <w:t>деятельности крупных и средних предприятий</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 w:val="20"/>
          <w:szCs w:val="20"/>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Наблюдается значительное увеличение в январе-мае 2020 года сальдированного финансового результата деятельности организаций до </w:t>
      </w:r>
      <w:r w:rsidRPr="00571BC1">
        <w:rPr>
          <w:rFonts w:eastAsia="Times New Roman"/>
          <w:szCs w:val="28"/>
          <w:lang w:eastAsia="ru-RU"/>
        </w:rPr>
        <w:br/>
        <w:t xml:space="preserve">25,8 млрд. руб. (160,0% к аналогичному периоду 2019 года). Данное увеличение обусловлено ростом прибыли предприятий в сфере обрабатывающих производств (в 94,2 раза к аналогичному периоду 2019 года), что связано с ростом доходов и снижением затрат организаций; деятельности профессиональной, научной и технической (в 7,8 раза к аналогичному периоду 2019 года), деятельности административной (в 6,6 раза к аналогичному периоду </w:t>
      </w:r>
      <w:r w:rsidRPr="00571BC1">
        <w:rPr>
          <w:rFonts w:eastAsia="Times New Roman"/>
          <w:szCs w:val="28"/>
          <w:lang w:eastAsia="ru-RU"/>
        </w:rPr>
        <w:br/>
        <w:t>2019 года), а также в сфере водоснабжения, водоотведения, организации сбора и утилизации отходов, деятельности по ликвидации загрязнений (в 4,8 раза к аналогичному периоду 2019 года).</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Положительный финансовый результат сложился в сфере сельского, лесного хозяйства, охоты, рыболовства и рыбоводства – 15,2 млрд. руб., в сфере обрабатывающих производств - 7,1 млрд. руб., в сфере транспортировки и хранения – 2,3 млн. руб., деятельности по операциям с недвижимым имуществом – 137,6 млн. руб. Общее количество прибыльных организаций составило 77 ед. (113,2% к январю-маю 2019 года), сумма прибыли – 28,5 млрд. руб. (152,3%).</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Отрицательный финансовый результат сложился в деятельности профессиональной, научной и технической в сумме 256,7 млн. руб., у строительных организаций в сумме 146,1 млн. руб., а также в деятельности гостиниц и предприятий общественного питания – 11,6 млн. руб. Общее число убыточных организаций – 44 единицы (100,0% к аналогичному периоду </w:t>
      </w:r>
      <w:r w:rsidRPr="00571BC1">
        <w:rPr>
          <w:rFonts w:eastAsia="Times New Roman"/>
          <w:szCs w:val="28"/>
          <w:lang w:eastAsia="ru-RU"/>
        </w:rPr>
        <w:br/>
        <w:t xml:space="preserve">2019 года), сумма убытка – 2,7 млрд. руб. (78,0%).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январе-мае 2020 года доля прибыльных организаций составила 63,6%. 100% прибыльными являются организации по видам экономической деятельности «Добыча полезных ископаемых», «Водоснабжение; водоотведение, организация сбора и утилизации отходов, деятельности по ликвидации загрязнений» и «Деятельность административная и сопутствующие дополнительные услуги». Доля убыточных организаций составила 36,4%. 100% убыточные организации по виду экономической деятельности «Деятельность в области культуры, спорта, организации досуга и развлечений».</w:t>
      </w:r>
    </w:p>
    <w:p w:rsidR="00571BC1" w:rsidRPr="00571BC1" w:rsidRDefault="00571BC1" w:rsidP="00571BC1">
      <w:pPr>
        <w:keepNext/>
        <w:spacing w:after="0" w:line="240" w:lineRule="auto"/>
        <w:ind w:firstLine="709"/>
        <w:jc w:val="both"/>
        <w:outlineLvl w:val="0"/>
        <w:rPr>
          <w:rFonts w:eastAsia="Times New Roman"/>
          <w:bCs/>
          <w:kern w:val="32"/>
          <w:sz w:val="20"/>
          <w:szCs w:val="20"/>
          <w:lang w:eastAsia="ru-RU"/>
        </w:rPr>
      </w:pPr>
    </w:p>
    <w:p w:rsidR="00571BC1" w:rsidRPr="00571BC1" w:rsidRDefault="00571BC1" w:rsidP="00571BC1">
      <w:pPr>
        <w:keepNext/>
        <w:spacing w:after="0" w:line="240" w:lineRule="auto"/>
        <w:jc w:val="center"/>
        <w:outlineLvl w:val="0"/>
        <w:rPr>
          <w:rFonts w:eastAsia="Times New Roman"/>
          <w:bCs/>
          <w:kern w:val="32"/>
          <w:szCs w:val="28"/>
          <w:lang w:eastAsia="ru-RU"/>
        </w:rPr>
      </w:pPr>
      <w:r w:rsidRPr="00571BC1">
        <w:rPr>
          <w:rFonts w:eastAsia="Times New Roman"/>
          <w:bCs/>
          <w:kern w:val="32"/>
          <w:szCs w:val="28"/>
          <w:lang w:eastAsia="ru-RU"/>
        </w:rPr>
        <w:t>Труд и занятость</w:t>
      </w:r>
    </w:p>
    <w:p w:rsidR="00571BC1" w:rsidRPr="00571BC1" w:rsidRDefault="00571BC1" w:rsidP="00571BC1">
      <w:pPr>
        <w:keepNext/>
        <w:spacing w:after="0" w:line="240" w:lineRule="auto"/>
        <w:ind w:firstLine="709"/>
        <w:jc w:val="both"/>
        <w:outlineLvl w:val="0"/>
        <w:rPr>
          <w:rFonts w:eastAsia="Times New Roman"/>
          <w:bCs/>
          <w:kern w:val="32"/>
          <w:sz w:val="20"/>
          <w:szCs w:val="20"/>
          <w:lang w:eastAsia="ru-RU"/>
        </w:rPr>
      </w:pP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Сложившаяся в городе Мурманске демографическая ситуация характеризуется в частности сокращением численности трудоспособного </w:t>
      </w:r>
      <w:r w:rsidRPr="00571BC1">
        <w:rPr>
          <w:rFonts w:eastAsia="Times New Roman"/>
          <w:szCs w:val="28"/>
          <w:lang w:eastAsia="ru-RU"/>
        </w:rPr>
        <w:lastRenderedPageBreak/>
        <w:t xml:space="preserve">населения. Так в 2019 году численность населения указанной категории сократилась на 4,4 тыс. человек, или на 2,6% к 2018 году, и составила </w:t>
      </w:r>
      <w:r w:rsidRPr="00571BC1">
        <w:rPr>
          <w:rFonts w:eastAsia="Times New Roman"/>
          <w:szCs w:val="28"/>
          <w:lang w:eastAsia="ru-RU"/>
        </w:rPr>
        <w:br/>
        <w:t xml:space="preserve">166,28 тыс. человек.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 2020 году ожидается сохранение отрицательной динамики: среднегодовое значение численности населения в трудоспособном возрасте предположительно составит 162,12 тыс. человек.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 xml:space="preserve">При этом в первом полугодии текущего года отмечено некоторое увеличение по сравнению с аналогичным периодом 2019 года численности работников организаций города Мурманска (без субъектов малого предпринимательства) на 1,5% до 88,6 тыс. человек. </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Вместе с тем, в связи с негативными последствиями пандемии для экономики региона ожидается, что к концу 2020 года численность работников организаций сократится до 83,6 тыс. человек.</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На фоне сокращения численности работников организаций города Мурманска ожидается некоторый рост среднемесячной номинальной начисленной заработной платы. В первом полугодии текущего года ее рост составил 4,2% к соответствующему периоду 2019 года. В 2020 году ожидается увеличение среднемесячной заработной платы до 77 977 рублей.</w:t>
      </w:r>
    </w:p>
    <w:p w:rsidR="00571BC1" w:rsidRPr="00571BC1" w:rsidRDefault="00571BC1" w:rsidP="00571BC1">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571BC1">
        <w:rPr>
          <w:rFonts w:eastAsia="Times New Roman"/>
          <w:szCs w:val="28"/>
          <w:lang w:eastAsia="ru-RU"/>
        </w:rPr>
        <w:t>Ожидается, что в 2020 году среднегодовая численность безработных, зарегистрированных в службах занятости населения, составит 3,3 тыс. человек.</w:t>
      </w:r>
    </w:p>
    <w:p w:rsidR="00571BC1" w:rsidRPr="00571BC1" w:rsidRDefault="00571BC1" w:rsidP="00571BC1">
      <w:pPr>
        <w:overflowPunct w:val="0"/>
        <w:autoSpaceDE w:val="0"/>
        <w:autoSpaceDN w:val="0"/>
        <w:adjustRightInd w:val="0"/>
        <w:spacing w:after="0" w:line="240" w:lineRule="auto"/>
        <w:textAlignment w:val="baseline"/>
        <w:rPr>
          <w:rFonts w:eastAsia="Times New Roman"/>
          <w:szCs w:val="20"/>
          <w:lang w:eastAsia="ru-RU"/>
        </w:rPr>
      </w:pPr>
    </w:p>
    <w:p w:rsidR="00571BC1" w:rsidRPr="00571BC1" w:rsidRDefault="00571BC1" w:rsidP="00571BC1">
      <w:pPr>
        <w:overflowPunct w:val="0"/>
        <w:autoSpaceDE w:val="0"/>
        <w:autoSpaceDN w:val="0"/>
        <w:adjustRightInd w:val="0"/>
        <w:spacing w:after="0" w:line="240" w:lineRule="auto"/>
        <w:textAlignment w:val="baseline"/>
        <w:rPr>
          <w:rFonts w:eastAsia="Times New Roman"/>
          <w:szCs w:val="20"/>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571BC1">
        <w:rPr>
          <w:rFonts w:eastAsia="Times New Roman"/>
          <w:b/>
          <w:bCs/>
          <w:szCs w:val="28"/>
          <w:lang w:eastAsia="ru-RU"/>
        </w:rPr>
        <w:t>____________________________</w:t>
      </w: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571BC1" w:rsidRPr="00571BC1" w:rsidRDefault="00571BC1" w:rsidP="00571BC1">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571BC1" w:rsidRPr="00571BC1" w:rsidRDefault="00571BC1" w:rsidP="00571BC1">
      <w:pPr>
        <w:keepNext/>
        <w:spacing w:after="0" w:line="240" w:lineRule="auto"/>
        <w:jc w:val="right"/>
        <w:outlineLvl w:val="0"/>
        <w:rPr>
          <w:rFonts w:eastAsia="Times New Roman"/>
          <w:bCs/>
          <w:szCs w:val="28"/>
          <w:lang w:eastAsia="ru-RU"/>
        </w:rPr>
        <w:sectPr w:rsidR="00571BC1" w:rsidRPr="00571BC1" w:rsidSect="00AC6BAC">
          <w:headerReference w:type="default" r:id="rId14"/>
          <w:pgSz w:w="11907" w:h="16840" w:code="9"/>
          <w:pgMar w:top="1134" w:right="567" w:bottom="1134" w:left="1701" w:header="709" w:footer="709" w:gutter="0"/>
          <w:pgNumType w:start="13"/>
          <w:cols w:space="708"/>
          <w:docGrid w:linePitch="360"/>
        </w:sectPr>
      </w:pPr>
    </w:p>
    <w:p w:rsidR="00571BC1" w:rsidRPr="00571BC1" w:rsidRDefault="00571BC1" w:rsidP="00571BC1">
      <w:pPr>
        <w:tabs>
          <w:tab w:val="left" w:pos="6300"/>
        </w:tabs>
        <w:spacing w:after="200" w:line="276" w:lineRule="auto"/>
        <w:jc w:val="center"/>
        <w:rPr>
          <w:rFonts w:eastAsia="Times New Roman"/>
          <w:szCs w:val="28"/>
          <w:lang w:eastAsia="ru-RU"/>
        </w:rPr>
      </w:pPr>
      <w:r w:rsidRPr="00571BC1">
        <w:rPr>
          <w:rFonts w:ascii="Calibri" w:hAnsi="Calibri"/>
          <w:sz w:val="22"/>
        </w:rPr>
        <w:lastRenderedPageBreak/>
        <w:t>________________________________________</w:t>
      </w:r>
    </w:p>
    <w:p w:rsidR="00FB0CEE" w:rsidRPr="00FE25FB" w:rsidRDefault="00FB0CEE" w:rsidP="00D80244">
      <w:pPr>
        <w:pStyle w:val="af5"/>
        <w:rPr>
          <w:kern w:val="32"/>
        </w:rPr>
      </w:pPr>
    </w:p>
    <w:sectPr w:rsidR="00FB0CEE" w:rsidRPr="00FE25FB" w:rsidSect="008B2F47">
      <w:pgSz w:w="16840" w:h="11907" w:orient="landscape" w:code="9"/>
      <w:pgMar w:top="851" w:right="1134" w:bottom="1418" w:left="1134"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78" w:rsidRDefault="00AE5678" w:rsidP="00E2695E">
      <w:pPr>
        <w:spacing w:after="0" w:line="240" w:lineRule="auto"/>
      </w:pPr>
      <w:r>
        <w:separator/>
      </w:r>
    </w:p>
  </w:endnote>
  <w:endnote w:type="continuationSeparator" w:id="0">
    <w:p w:rsidR="00AE5678" w:rsidRDefault="00AE5678"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78" w:rsidRDefault="00AE5678" w:rsidP="00E2695E">
      <w:pPr>
        <w:spacing w:after="0" w:line="240" w:lineRule="auto"/>
      </w:pPr>
      <w:r>
        <w:separator/>
      </w:r>
    </w:p>
  </w:footnote>
  <w:footnote w:type="continuationSeparator" w:id="0">
    <w:p w:rsidR="00AE5678" w:rsidRDefault="00AE5678" w:rsidP="00E2695E">
      <w:pPr>
        <w:spacing w:after="0" w:line="240" w:lineRule="auto"/>
      </w:pPr>
      <w:r>
        <w:continuationSeparator/>
      </w:r>
    </w:p>
  </w:footnote>
  <w:footnote w:id="1">
    <w:p w:rsidR="00AE5678" w:rsidRPr="00C965D4" w:rsidRDefault="00AE5678" w:rsidP="00FB0CEE">
      <w:pPr>
        <w:pStyle w:val="ad"/>
      </w:pPr>
      <w:r>
        <w:rPr>
          <w:rStyle w:val="af6"/>
        </w:rPr>
        <w:footnoteRef/>
      </w:r>
      <w:r>
        <w:t xml:space="preserve"> Здесь и далее по сноске оценочные данные.</w:t>
      </w:r>
    </w:p>
  </w:footnote>
  <w:footnote w:id="2">
    <w:p w:rsidR="00AE5678" w:rsidRDefault="00AE5678" w:rsidP="00FB0CEE">
      <w:pPr>
        <w:pStyle w:val="ad"/>
      </w:pPr>
      <w:r>
        <w:rPr>
          <w:rStyle w:val="af6"/>
        </w:rPr>
        <w:footnoteRef/>
      </w:r>
      <w:r>
        <w:t xml:space="preserve"> 1-й вариант – базовый (см. пояснительную записку к прогнозу).</w:t>
      </w:r>
    </w:p>
  </w:footnote>
  <w:footnote w:id="3">
    <w:p w:rsidR="00AE5678" w:rsidRDefault="00AE5678" w:rsidP="00FB0CEE">
      <w:pPr>
        <w:pStyle w:val="ad"/>
      </w:pPr>
      <w:r>
        <w:rPr>
          <w:rStyle w:val="af6"/>
        </w:rPr>
        <w:footnoteRef/>
      </w:r>
      <w:r>
        <w:t xml:space="preserve"> 2-й вариант – целевой (см. пояснительную записку к прогнозу).</w:t>
      </w:r>
    </w:p>
  </w:footnote>
  <w:footnote w:id="4">
    <w:p w:rsidR="00AE5678" w:rsidRPr="00511A7D" w:rsidRDefault="00AE5678" w:rsidP="00FB0CEE">
      <w:pPr>
        <w:pStyle w:val="ad"/>
        <w:jc w:val="both"/>
      </w:pPr>
      <w:r>
        <w:rPr>
          <w:rStyle w:val="af6"/>
        </w:rPr>
        <w:footnoteRef/>
      </w:r>
      <w:r>
        <w:t xml:space="preserve"> По юридическим лицам (их обособленным подразделениям) без субъектов малого предпринимательства, средняя численность работников которых превышает </w:t>
      </w:r>
      <w:r>
        <w:br/>
        <w:t>15 человек (по данным Мурманскстата).</w:t>
      </w:r>
    </w:p>
  </w:footnote>
  <w:footnote w:id="5">
    <w:p w:rsidR="00AE5678" w:rsidRDefault="00AE5678" w:rsidP="00FB0CEE">
      <w:pPr>
        <w:pStyle w:val="ad"/>
        <w:ind w:right="-598"/>
        <w:jc w:val="both"/>
      </w:pPr>
      <w:r>
        <w:rPr>
          <w:rStyle w:val="af6"/>
        </w:rPr>
        <w:footnoteRef/>
      </w:r>
      <w:r>
        <w:t xml:space="preserve"> Отчетные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6">
    <w:p w:rsidR="00AE5678" w:rsidRDefault="00AE5678" w:rsidP="00FB0CEE">
      <w:pPr>
        <w:pStyle w:val="ad"/>
      </w:pPr>
      <w:r>
        <w:rPr>
          <w:rStyle w:val="af6"/>
        </w:rPr>
        <w:footnoteRef/>
      </w:r>
      <w:r>
        <w:t xml:space="preserve"> Экспертная оценка. Статистические данные по городу Мурманску отсутствуют (Мурманскстатом не формируются).</w:t>
      </w:r>
    </w:p>
  </w:footnote>
  <w:footnote w:id="7">
    <w:p w:rsidR="00AE5678" w:rsidRDefault="00AE5678" w:rsidP="00FB0CEE">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2021 год и на плановый период 2022 и 2023 годов данный показатель отсутствует, значение по области не приводится. Произвести экспертную оценку не представляется возможным.</w:t>
      </w:r>
    </w:p>
  </w:footnote>
  <w:footnote w:id="8">
    <w:p w:rsidR="00AE5678" w:rsidRDefault="00AE5678" w:rsidP="00FB0CEE">
      <w:pPr>
        <w:pStyle w:val="ad"/>
        <w:ind w:right="-598"/>
        <w:jc w:val="both"/>
      </w:pPr>
      <w:r>
        <w:rPr>
          <w:rStyle w:val="af6"/>
        </w:rPr>
        <w:footnoteRef/>
      </w:r>
      <w:r>
        <w:t xml:space="preserve"> Статистические данные отсутствуют (Мурманскстатом не формируются). В прогнозе социально-экономического развития Мурманской области на 2021 год и на плановый период 2022 и 2023 годов данный показатель отсутствует, значение по области не приводится. Произвести экспертную оценку не представляется возможным.</w:t>
      </w:r>
    </w:p>
  </w:footnote>
  <w:footnote w:id="9">
    <w:p w:rsidR="00571BC1" w:rsidRDefault="00571BC1" w:rsidP="00571BC1">
      <w:pPr>
        <w:pStyle w:val="ad"/>
        <w:jc w:val="both"/>
      </w:pPr>
      <w:r>
        <w:rPr>
          <w:rStyle w:val="af6"/>
        </w:rPr>
        <w:footnoteRef/>
      </w:r>
      <w:r>
        <w:t xml:space="preserve"> Единый реестр субъектов малого и среднего предпринимательства создан в соответствии с Федеральным законом от 29.12.2015 № 408-ФЗ «О внесении изменений в отдельные законодательные акты Российской Федерации». Ведение Единого реестра субъектов малого и среднего предпринимательства осуществляет Федеральная налоговая служба.</w:t>
      </w:r>
    </w:p>
  </w:footnote>
  <w:footnote w:id="10">
    <w:p w:rsidR="00571BC1" w:rsidRDefault="00571BC1" w:rsidP="00571BC1">
      <w:pPr>
        <w:pStyle w:val="ad"/>
        <w:jc w:val="both"/>
      </w:pPr>
      <w:r>
        <w:rPr>
          <w:rStyle w:val="af6"/>
        </w:rPr>
        <w:footnoteRef/>
      </w:r>
      <w:r>
        <w:t xml:space="preserve"> По данным Единого реестра субъектов малого и среднего предпринимательства Федеральной налоговой службы РФ.</w:t>
      </w:r>
    </w:p>
  </w:footnote>
  <w:footnote w:id="11">
    <w:p w:rsidR="00571BC1" w:rsidRDefault="00571BC1" w:rsidP="00571BC1">
      <w:pPr>
        <w:pStyle w:val="ad"/>
      </w:pPr>
      <w:r>
        <w:rPr>
          <w:rStyle w:val="af6"/>
        </w:rPr>
        <w:footnoteRef/>
      </w:r>
      <w:r>
        <w:t xml:space="preserve"> Отчетные данные за январь-май соответствующего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10084"/>
      <w:docPartObj>
        <w:docPartGallery w:val="Page Numbers (Top of Page)"/>
        <w:docPartUnique/>
      </w:docPartObj>
    </w:sdtPr>
    <w:sdtEndPr/>
    <w:sdtContent>
      <w:p w:rsidR="00AE5678" w:rsidRDefault="001B53F1">
        <w:pPr>
          <w:pStyle w:val="a5"/>
          <w:jc w:val="center"/>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rsidR="00AE5678" w:rsidRDefault="00AE56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78" w:rsidRDefault="00AE5678">
    <w:pPr>
      <w:pStyle w:val="a5"/>
      <w:jc w:val="center"/>
    </w:pPr>
  </w:p>
  <w:p w:rsidR="00AE5678" w:rsidRDefault="00AE56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78" w:rsidRDefault="00AE567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1" w:rsidRDefault="001B53F1">
    <w:pPr>
      <w:pStyle w:val="a5"/>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B1522E"/>
    <w:multiLevelType w:val="hybridMultilevel"/>
    <w:tmpl w:val="4FA4BD92"/>
    <w:lvl w:ilvl="0" w:tplc="9E28D9AC">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39667E"/>
    <w:multiLevelType w:val="hybridMultilevel"/>
    <w:tmpl w:val="441429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D3496"/>
    <w:multiLevelType w:val="hybridMultilevel"/>
    <w:tmpl w:val="6CB4C944"/>
    <w:lvl w:ilvl="0" w:tplc="B34AAD22">
      <w:start w:val="20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42F7D"/>
    <w:multiLevelType w:val="hybridMultilevel"/>
    <w:tmpl w:val="2A2C1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12"/>
  </w:num>
  <w:num w:numId="4">
    <w:abstractNumId w:val="13"/>
  </w:num>
  <w:num w:numId="5">
    <w:abstractNumId w:val="4"/>
  </w:num>
  <w:num w:numId="6">
    <w:abstractNumId w:val="9"/>
  </w:num>
  <w:num w:numId="7">
    <w:abstractNumId w:val="10"/>
  </w:num>
  <w:num w:numId="8">
    <w:abstractNumId w:val="11"/>
  </w:num>
  <w:num w:numId="9">
    <w:abstractNumId w:val="7"/>
  </w:num>
  <w:num w:numId="10">
    <w:abstractNumId w:val="1"/>
  </w:num>
  <w:num w:numId="11">
    <w:abstractNumId w:val="8"/>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2"/>
  </w:compat>
  <w:rsids>
    <w:rsidRoot w:val="00476DDC"/>
    <w:rsid w:val="00005108"/>
    <w:rsid w:val="00010964"/>
    <w:rsid w:val="00042944"/>
    <w:rsid w:val="00071DDC"/>
    <w:rsid w:val="00085407"/>
    <w:rsid w:val="000B4E65"/>
    <w:rsid w:val="000D0DF3"/>
    <w:rsid w:val="000E22ED"/>
    <w:rsid w:val="000E7356"/>
    <w:rsid w:val="0014101A"/>
    <w:rsid w:val="00142712"/>
    <w:rsid w:val="00152276"/>
    <w:rsid w:val="00163B66"/>
    <w:rsid w:val="0018260A"/>
    <w:rsid w:val="001946D4"/>
    <w:rsid w:val="00195971"/>
    <w:rsid w:val="001A6F42"/>
    <w:rsid w:val="001B2076"/>
    <w:rsid w:val="001B53F1"/>
    <w:rsid w:val="001B542C"/>
    <w:rsid w:val="001E4D4B"/>
    <w:rsid w:val="001E73B8"/>
    <w:rsid w:val="001F09EB"/>
    <w:rsid w:val="001F0C7F"/>
    <w:rsid w:val="002115E3"/>
    <w:rsid w:val="0021500C"/>
    <w:rsid w:val="00232AE4"/>
    <w:rsid w:val="002654C7"/>
    <w:rsid w:val="00276000"/>
    <w:rsid w:val="002822C5"/>
    <w:rsid w:val="00290294"/>
    <w:rsid w:val="00295D47"/>
    <w:rsid w:val="002978E0"/>
    <w:rsid w:val="002A23B7"/>
    <w:rsid w:val="002D0E31"/>
    <w:rsid w:val="002D2654"/>
    <w:rsid w:val="002F3602"/>
    <w:rsid w:val="002F6225"/>
    <w:rsid w:val="00330585"/>
    <w:rsid w:val="00340E84"/>
    <w:rsid w:val="00376FCE"/>
    <w:rsid w:val="00381F43"/>
    <w:rsid w:val="003924A9"/>
    <w:rsid w:val="003A63EA"/>
    <w:rsid w:val="003D2416"/>
    <w:rsid w:val="003D4150"/>
    <w:rsid w:val="003F28B4"/>
    <w:rsid w:val="00407776"/>
    <w:rsid w:val="004300E4"/>
    <w:rsid w:val="0044132A"/>
    <w:rsid w:val="004452B1"/>
    <w:rsid w:val="00451028"/>
    <w:rsid w:val="00453B57"/>
    <w:rsid w:val="00454F68"/>
    <w:rsid w:val="00457847"/>
    <w:rsid w:val="00457870"/>
    <w:rsid w:val="00476DDC"/>
    <w:rsid w:val="004869BE"/>
    <w:rsid w:val="0049438E"/>
    <w:rsid w:val="004A5EE3"/>
    <w:rsid w:val="004C56BA"/>
    <w:rsid w:val="00507275"/>
    <w:rsid w:val="00515C99"/>
    <w:rsid w:val="0052343C"/>
    <w:rsid w:val="00525F74"/>
    <w:rsid w:val="0053392A"/>
    <w:rsid w:val="005430F0"/>
    <w:rsid w:val="0054418B"/>
    <w:rsid w:val="00555DFA"/>
    <w:rsid w:val="00571BC1"/>
    <w:rsid w:val="00596557"/>
    <w:rsid w:val="005D76C0"/>
    <w:rsid w:val="006111C0"/>
    <w:rsid w:val="00632BE9"/>
    <w:rsid w:val="0064520C"/>
    <w:rsid w:val="006472C4"/>
    <w:rsid w:val="00676241"/>
    <w:rsid w:val="0067679B"/>
    <w:rsid w:val="00693D62"/>
    <w:rsid w:val="006A50D4"/>
    <w:rsid w:val="006C3A96"/>
    <w:rsid w:val="006C45EE"/>
    <w:rsid w:val="006C5BC5"/>
    <w:rsid w:val="006C7270"/>
    <w:rsid w:val="006D0C08"/>
    <w:rsid w:val="006D228A"/>
    <w:rsid w:val="006D4C40"/>
    <w:rsid w:val="006E4E45"/>
    <w:rsid w:val="006E6827"/>
    <w:rsid w:val="006F1BC7"/>
    <w:rsid w:val="006F47A3"/>
    <w:rsid w:val="006F5244"/>
    <w:rsid w:val="007059B8"/>
    <w:rsid w:val="00705D92"/>
    <w:rsid w:val="007125AF"/>
    <w:rsid w:val="007171C3"/>
    <w:rsid w:val="0073368E"/>
    <w:rsid w:val="00741BD8"/>
    <w:rsid w:val="00741F1E"/>
    <w:rsid w:val="00755869"/>
    <w:rsid w:val="00785D04"/>
    <w:rsid w:val="00795E83"/>
    <w:rsid w:val="00797151"/>
    <w:rsid w:val="007B59A6"/>
    <w:rsid w:val="007C191E"/>
    <w:rsid w:val="007C28EB"/>
    <w:rsid w:val="007F328F"/>
    <w:rsid w:val="0080489D"/>
    <w:rsid w:val="00824EE6"/>
    <w:rsid w:val="00873E06"/>
    <w:rsid w:val="008752B8"/>
    <w:rsid w:val="008C2134"/>
    <w:rsid w:val="008D2B35"/>
    <w:rsid w:val="008E5436"/>
    <w:rsid w:val="008E74D5"/>
    <w:rsid w:val="008F0E3D"/>
    <w:rsid w:val="008F1B6A"/>
    <w:rsid w:val="0096451C"/>
    <w:rsid w:val="0098254A"/>
    <w:rsid w:val="009A393F"/>
    <w:rsid w:val="009D02E9"/>
    <w:rsid w:val="009D0C2D"/>
    <w:rsid w:val="009F548A"/>
    <w:rsid w:val="00A0221B"/>
    <w:rsid w:val="00A11886"/>
    <w:rsid w:val="00A512D5"/>
    <w:rsid w:val="00A55A64"/>
    <w:rsid w:val="00A721CF"/>
    <w:rsid w:val="00A7472F"/>
    <w:rsid w:val="00A7564A"/>
    <w:rsid w:val="00A919EC"/>
    <w:rsid w:val="00AB0FE1"/>
    <w:rsid w:val="00AB4D28"/>
    <w:rsid w:val="00AE5678"/>
    <w:rsid w:val="00AF14FC"/>
    <w:rsid w:val="00B10949"/>
    <w:rsid w:val="00B47C96"/>
    <w:rsid w:val="00B5456A"/>
    <w:rsid w:val="00B558A9"/>
    <w:rsid w:val="00B55EB1"/>
    <w:rsid w:val="00B757CF"/>
    <w:rsid w:val="00B83017"/>
    <w:rsid w:val="00B94D37"/>
    <w:rsid w:val="00B97A2F"/>
    <w:rsid w:val="00BD6851"/>
    <w:rsid w:val="00C22F32"/>
    <w:rsid w:val="00C451FE"/>
    <w:rsid w:val="00C469E6"/>
    <w:rsid w:val="00C71D81"/>
    <w:rsid w:val="00C83519"/>
    <w:rsid w:val="00C91BCC"/>
    <w:rsid w:val="00CB3EAA"/>
    <w:rsid w:val="00CB7967"/>
    <w:rsid w:val="00CD46B3"/>
    <w:rsid w:val="00CD5004"/>
    <w:rsid w:val="00CE1600"/>
    <w:rsid w:val="00CE1D88"/>
    <w:rsid w:val="00CF0AD5"/>
    <w:rsid w:val="00CF5AA2"/>
    <w:rsid w:val="00D01718"/>
    <w:rsid w:val="00D0252B"/>
    <w:rsid w:val="00D14C49"/>
    <w:rsid w:val="00D33E04"/>
    <w:rsid w:val="00D56A3D"/>
    <w:rsid w:val="00D60E85"/>
    <w:rsid w:val="00D63C9A"/>
    <w:rsid w:val="00D8009D"/>
    <w:rsid w:val="00D80244"/>
    <w:rsid w:val="00D82A98"/>
    <w:rsid w:val="00D851F2"/>
    <w:rsid w:val="00D911E8"/>
    <w:rsid w:val="00DB0E9B"/>
    <w:rsid w:val="00DE2E74"/>
    <w:rsid w:val="00E052B1"/>
    <w:rsid w:val="00E20B76"/>
    <w:rsid w:val="00E2391D"/>
    <w:rsid w:val="00E267A3"/>
    <w:rsid w:val="00E2695E"/>
    <w:rsid w:val="00E34C86"/>
    <w:rsid w:val="00E3656B"/>
    <w:rsid w:val="00E423D9"/>
    <w:rsid w:val="00E53E71"/>
    <w:rsid w:val="00E86816"/>
    <w:rsid w:val="00E96D23"/>
    <w:rsid w:val="00EB7B67"/>
    <w:rsid w:val="00EB7C19"/>
    <w:rsid w:val="00EC43D9"/>
    <w:rsid w:val="00ED1910"/>
    <w:rsid w:val="00EE05D6"/>
    <w:rsid w:val="00F007B6"/>
    <w:rsid w:val="00F05638"/>
    <w:rsid w:val="00F07DE2"/>
    <w:rsid w:val="00F1555E"/>
    <w:rsid w:val="00F313D3"/>
    <w:rsid w:val="00F515D9"/>
    <w:rsid w:val="00F55830"/>
    <w:rsid w:val="00F61EE2"/>
    <w:rsid w:val="00F835A7"/>
    <w:rsid w:val="00FA559A"/>
    <w:rsid w:val="00FB0CEE"/>
    <w:rsid w:val="00FD075D"/>
    <w:rsid w:val="00FD36A5"/>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36CB76-A524-4CEE-8244-24A10F9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iPriority w:val="99"/>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uiPriority w:val="99"/>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iPriority w:val="99"/>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 w:type="paragraph" w:styleId="afe">
    <w:name w:val="annotation subject"/>
    <w:basedOn w:val="afc"/>
    <w:next w:val="afc"/>
    <w:link w:val="aff"/>
    <w:uiPriority w:val="99"/>
    <w:semiHidden/>
    <w:unhideWhenUsed/>
    <w:rsid w:val="00FB0CEE"/>
    <w:pPr>
      <w:overflowPunct/>
      <w:autoSpaceDE/>
      <w:autoSpaceDN/>
      <w:adjustRightInd/>
      <w:spacing w:after="160"/>
      <w:textAlignment w:val="auto"/>
    </w:pPr>
    <w:rPr>
      <w:rFonts w:eastAsia="Calibri"/>
      <w:b/>
      <w:bCs/>
      <w:lang w:eastAsia="en-US"/>
    </w:rPr>
  </w:style>
  <w:style w:type="character" w:customStyle="1" w:styleId="aff">
    <w:name w:val="Тема примечания Знак"/>
    <w:basedOn w:val="afd"/>
    <w:link w:val="afe"/>
    <w:uiPriority w:val="99"/>
    <w:semiHidden/>
    <w:rsid w:val="00FB0CEE"/>
    <w:rPr>
      <w:rFonts w:ascii="Times New Roman" w:eastAsia="Calibri" w:hAnsi="Times New Roman" w:cs="Times New Roman"/>
      <w:b/>
      <w:bCs/>
      <w:sz w:val="20"/>
      <w:szCs w:val="20"/>
      <w:lang w:eastAsia="ru-RU"/>
    </w:rPr>
  </w:style>
  <w:style w:type="numbering" w:customStyle="1" w:styleId="31">
    <w:name w:val="Нет списка3"/>
    <w:next w:val="a2"/>
    <w:uiPriority w:val="99"/>
    <w:semiHidden/>
    <w:unhideWhenUsed/>
    <w:rsid w:val="0057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biny.com/murmanskaya_obl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murmansk.ru/img/all/175_reshenie_o_strateg_planir__utv.docx"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7775D"/>
    <w:rsid w:val="00074303"/>
    <w:rsid w:val="000C59EE"/>
    <w:rsid w:val="001C6D26"/>
    <w:rsid w:val="00314765"/>
    <w:rsid w:val="003C4FD3"/>
    <w:rsid w:val="00595723"/>
    <w:rsid w:val="005B164C"/>
    <w:rsid w:val="005C61E8"/>
    <w:rsid w:val="005E60C6"/>
    <w:rsid w:val="0060603F"/>
    <w:rsid w:val="00613FF2"/>
    <w:rsid w:val="00727E60"/>
    <w:rsid w:val="00873073"/>
    <w:rsid w:val="008C7ECE"/>
    <w:rsid w:val="008D58B9"/>
    <w:rsid w:val="008E17B1"/>
    <w:rsid w:val="009E143C"/>
    <w:rsid w:val="00AC2154"/>
    <w:rsid w:val="00AD7AD5"/>
    <w:rsid w:val="00AE75FF"/>
    <w:rsid w:val="00B36CB6"/>
    <w:rsid w:val="00B7775D"/>
    <w:rsid w:val="00BC6EA2"/>
    <w:rsid w:val="00C72AB0"/>
    <w:rsid w:val="00CE63DB"/>
    <w:rsid w:val="00D35D72"/>
    <w:rsid w:val="00E91391"/>
    <w:rsid w:val="00F6047B"/>
    <w:rsid w:val="00FD2E98"/>
    <w:rsid w:val="00FD73FB"/>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1B95-6DC2-44D7-930B-21AD3BA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59</Pages>
  <Words>19059</Words>
  <Characters>108639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Печникова Юлия Владимировна</cp:lastModifiedBy>
  <cp:revision>151</cp:revision>
  <cp:lastPrinted>2019-08-22T09:25:00Z</cp:lastPrinted>
  <dcterms:created xsi:type="dcterms:W3CDTF">2019-07-30T09:02:00Z</dcterms:created>
  <dcterms:modified xsi:type="dcterms:W3CDTF">2020-11-13T09:34:00Z</dcterms:modified>
</cp:coreProperties>
</file>