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3C04">
        <w:rPr>
          <w:rFonts w:ascii="Times New Roman" w:hAnsi="Times New Roman"/>
          <w:sz w:val="28"/>
          <w:szCs w:val="28"/>
        </w:rPr>
        <w:t xml:space="preserve">V. Подпрограмма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на 2018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2024 годы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AB3C04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B93F13" w:rsidRPr="00AB3C04" w:rsidTr="00BF5BB6">
        <w:trPr>
          <w:trHeight w:val="87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AB3C04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»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AB3C04" w:rsidTr="00BF5BB6">
        <w:trPr>
          <w:trHeight w:val="85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93F13" w:rsidRPr="00AB3C04" w:rsidTr="00BF5BB6">
        <w:trPr>
          <w:trHeight w:val="114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93F13" w:rsidRPr="00AB3C04" w:rsidTr="00BF5BB6">
        <w:trPr>
          <w:trHeight w:val="61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B93F13" w:rsidRPr="00AB3C04" w:rsidTr="00BF5BB6">
        <w:trPr>
          <w:trHeight w:val="40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AB3C04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подпрограмме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: 210 000,0 тыс. руб., в том числе: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МБ: 210 000,0 тыс. руб., из них: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руб.; 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AB3C04" w:rsidRDefault="00B93F13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30 000,0 тыс. руб.</w:t>
            </w:r>
          </w:p>
        </w:tc>
      </w:tr>
      <w:tr w:rsidR="00B93F13" w:rsidRPr="00AB3C04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447BD5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  <w:r w:rsidR="00182BAD" w:rsidRPr="00AB3C04">
              <w:rPr>
                <w:rFonts w:ascii="Times New Roman" w:hAnsi="Times New Roman"/>
                <w:sz w:val="24"/>
                <w:szCs w:val="24"/>
              </w:rPr>
              <w:t>,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7610" w:rsidRPr="00AB3C04">
              <w:rPr>
                <w:rFonts w:ascii="Times New Roman" w:hAnsi="Times New Roman"/>
                <w:sz w:val="24"/>
                <w:szCs w:val="24"/>
              </w:rPr>
              <w:t>19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ед. к концу 2024 года</w:t>
            </w:r>
          </w:p>
        </w:tc>
      </w:tr>
    </w:tbl>
    <w:p w:rsidR="002D06F9" w:rsidRPr="00AB3C04" w:rsidRDefault="002D06F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DB7869" w:rsidRPr="00AB3C04" w:rsidRDefault="00DB7869" w:rsidP="00FA7BB0">
      <w:pPr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307610" w:rsidRPr="00AB3C04">
        <w:rPr>
          <w:rFonts w:ascii="Times New Roman" w:hAnsi="Times New Roman"/>
          <w:bCs/>
          <w:sz w:val="28"/>
          <w:szCs w:val="28"/>
        </w:rPr>
        <w:t>23</w:t>
      </w:r>
      <w:r w:rsidRPr="00AB3C04">
        <w:rPr>
          <w:rFonts w:ascii="Times New Roman" w:hAnsi="Times New Roman"/>
          <w:bCs/>
          <w:sz w:val="28"/>
          <w:szCs w:val="28"/>
        </w:rPr>
        <w:t>.</w:t>
      </w:r>
      <w:r w:rsidR="00307610" w:rsidRPr="00AB3C04">
        <w:rPr>
          <w:rFonts w:ascii="Times New Roman" w:hAnsi="Times New Roman"/>
          <w:bCs/>
          <w:sz w:val="28"/>
          <w:szCs w:val="28"/>
        </w:rPr>
        <w:t>10</w:t>
      </w:r>
      <w:r w:rsidRPr="00AB3C04">
        <w:rPr>
          <w:rFonts w:ascii="Times New Roman" w:hAnsi="Times New Roman"/>
          <w:bCs/>
          <w:sz w:val="28"/>
          <w:szCs w:val="28"/>
        </w:rPr>
        <w:t>.201</w:t>
      </w:r>
      <w:r w:rsidR="00B418C9" w:rsidRPr="00AB3C04">
        <w:rPr>
          <w:rFonts w:ascii="Times New Roman" w:hAnsi="Times New Roman"/>
          <w:bCs/>
          <w:sz w:val="28"/>
          <w:szCs w:val="28"/>
        </w:rPr>
        <w:t>8</w:t>
      </w:r>
      <w:r w:rsidRPr="00AB3C04">
        <w:rPr>
          <w:rFonts w:ascii="Times New Roman" w:hAnsi="Times New Roman"/>
          <w:bCs/>
          <w:sz w:val="28"/>
          <w:szCs w:val="28"/>
        </w:rPr>
        <w:t xml:space="preserve"> на учете в качестве нуждающихся состоят 8</w:t>
      </w:r>
      <w:r w:rsidR="00A1694A" w:rsidRPr="00AB3C04">
        <w:rPr>
          <w:rFonts w:ascii="Times New Roman" w:hAnsi="Times New Roman"/>
          <w:bCs/>
          <w:sz w:val="28"/>
          <w:szCs w:val="28"/>
        </w:rPr>
        <w:t>478</w:t>
      </w:r>
      <w:r w:rsidRPr="00AB3C04">
        <w:rPr>
          <w:rFonts w:ascii="Times New Roman" w:hAnsi="Times New Roman"/>
          <w:bCs/>
          <w:sz w:val="28"/>
          <w:szCs w:val="28"/>
        </w:rPr>
        <w:t xml:space="preserve"> семей, из них </w:t>
      </w:r>
      <w:r w:rsidR="00A1694A" w:rsidRPr="00AB3C04">
        <w:rPr>
          <w:rFonts w:ascii="Times New Roman" w:hAnsi="Times New Roman"/>
          <w:bCs/>
          <w:sz w:val="28"/>
          <w:szCs w:val="28"/>
        </w:rPr>
        <w:t>29</w:t>
      </w:r>
      <w:r w:rsidRPr="00AB3C04">
        <w:rPr>
          <w:rFonts w:ascii="Times New Roman" w:hAnsi="Times New Roman"/>
          <w:bCs/>
          <w:sz w:val="28"/>
          <w:szCs w:val="28"/>
        </w:rPr>
        <w:t xml:space="preserve"> очередников располагают правом на внеочередное предоставление жилого помещения.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</w:t>
      </w:r>
      <w:r w:rsidR="00047C76"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Pr="00AB3C04">
        <w:rPr>
          <w:rFonts w:ascii="Times New Roman" w:hAnsi="Times New Roman"/>
          <w:bCs/>
          <w:sz w:val="28"/>
          <w:szCs w:val="28"/>
        </w:rPr>
        <w:t>1986 годах.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Из общего количества граждан, состоящих на учете, только 1</w:t>
      </w:r>
      <w:r w:rsidR="00A1694A" w:rsidRPr="00AB3C04">
        <w:rPr>
          <w:rFonts w:ascii="Times New Roman" w:hAnsi="Times New Roman"/>
          <w:bCs/>
          <w:sz w:val="28"/>
          <w:szCs w:val="28"/>
        </w:rPr>
        <w:t>25</w:t>
      </w:r>
      <w:r w:rsidRPr="00AB3C04">
        <w:rPr>
          <w:rFonts w:ascii="Times New Roman" w:hAnsi="Times New Roman"/>
          <w:bCs/>
          <w:sz w:val="28"/>
          <w:szCs w:val="28"/>
        </w:rPr>
        <w:t xml:space="preserve"> очередников могут рассчитывать на меры социальной поддержки по 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Количества освобождающихся жилых помещений крайне недостаточно для обеспечения жилыми помещениями граждан, нуждающихся в улучшении жилищных условий.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благоустроенным жильем малоимущих граждан и снизить социальную напряженность.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2. </w:t>
      </w:r>
      <w:r w:rsidRPr="00AB3C04">
        <w:rPr>
          <w:rFonts w:ascii="Times New Roman" w:hAnsi="Times New Roman"/>
          <w:bCs/>
          <w:color w:val="000000" w:themeColor="text1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:rsidR="00DB7869" w:rsidRPr="00AB3C04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B76477" w:rsidRPr="00AB3C04" w:rsidTr="00E21FA1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AB3C04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AB3C04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AB3C04" w:rsidTr="00E21FA1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AB3C04" w:rsidTr="00E21FA1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76477" w:rsidRPr="00AB3C04" w:rsidTr="00E21FA1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477" w:rsidRPr="00AB3C04" w:rsidRDefault="00B76477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DB7869" w:rsidRPr="00AB3C04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Pr="00AB3C04">
        <w:rPr>
          <w:rFonts w:ascii="Times New Roman" w:hAnsi="Times New Roman"/>
          <w:bCs/>
          <w:sz w:val="28"/>
          <w:szCs w:val="28"/>
        </w:rPr>
        <w:br/>
      </w:r>
      <w:r w:rsidR="00047C76" w:rsidRPr="00AB3C04">
        <w:rPr>
          <w:rFonts w:ascii="Times New Roman" w:hAnsi="Times New Roman"/>
          <w:sz w:val="28"/>
          <w:szCs w:val="28"/>
        </w:rPr>
        <w:t>–</w:t>
      </w:r>
      <w:r w:rsidRPr="00AB3C04">
        <w:rPr>
          <w:rFonts w:ascii="Times New Roman" w:hAnsi="Times New Roman"/>
          <w:bCs/>
          <w:sz w:val="28"/>
          <w:szCs w:val="28"/>
        </w:rPr>
        <w:t xml:space="preserve">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AB3C04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</w:t>
      </w:r>
      <w:r w:rsidR="00264380" w:rsidRPr="00AB3C04">
        <w:rPr>
          <w:rFonts w:ascii="Times New Roman" w:hAnsi="Times New Roman"/>
          <w:bCs/>
          <w:sz w:val="28"/>
          <w:szCs w:val="28"/>
        </w:rPr>
        <w:t>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(Мурманскстат) о средней цене за один квадратный метр общей площади квартир на вторичном рынке жилья в городе Мурманске в 1 квартале 2015 года.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Для определения объема финансовых средств, необходимых для реализации подпрограммы в части приобретения жилых помещений для малоимущих граждан, состоящих на учете в качестве нуждающихся в жилых помещениях, предоставляемых по договорам социального найма, стоимость одного квадратного метра общей площади благоустроенного жилья установлена в размере 55,0 тыс. руб.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DB7869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первичном рынке жилья </w:t>
      </w:r>
      <w:r w:rsidR="00047C76" w:rsidRPr="00AB3C04">
        <w:rPr>
          <w:rFonts w:ascii="Times New Roman" w:hAnsi="Times New Roman"/>
          <w:sz w:val="28"/>
          <w:szCs w:val="28"/>
        </w:rPr>
        <w:t>–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55,0 тыс. руб.;</w:t>
      </w:r>
    </w:p>
    <w:p w:rsidR="00DB7869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–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вторичном рынке жилья </w:t>
      </w:r>
      <w:r w:rsidR="00DB7869" w:rsidRPr="00AB3C04">
        <w:rPr>
          <w:rFonts w:ascii="Times New Roman" w:hAnsi="Times New Roman"/>
          <w:bCs/>
          <w:sz w:val="28"/>
          <w:szCs w:val="28"/>
        </w:rPr>
        <w:br/>
      </w:r>
      <w:r w:rsidR="00047C76" w:rsidRPr="00AB3C04">
        <w:rPr>
          <w:rFonts w:ascii="Times New Roman" w:hAnsi="Times New Roman"/>
          <w:sz w:val="28"/>
          <w:szCs w:val="28"/>
        </w:rPr>
        <w:t>–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AB3C04">
        <w:rPr>
          <w:rFonts w:ascii="Times New Roman" w:hAnsi="Times New Roman"/>
          <w:bCs/>
          <w:sz w:val="28"/>
          <w:szCs w:val="28"/>
        </w:rPr>
        <w:t>«</w:t>
      </w:r>
      <w:r w:rsidR="00DB7869" w:rsidRPr="00AB3C04">
        <w:rPr>
          <w:rFonts w:ascii="Times New Roman" w:hAnsi="Times New Roman"/>
          <w:bCs/>
          <w:sz w:val="28"/>
          <w:szCs w:val="28"/>
        </w:rPr>
        <w:t>О</w:t>
      </w:r>
      <w:r w:rsidR="00DB7869" w:rsidRPr="00AB3C04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B2D46" w:rsidRPr="00AB3C04">
        <w:rPr>
          <w:rFonts w:ascii="Times New Roman" w:hAnsi="Times New Roman"/>
          <w:bCs/>
          <w:sz w:val="28"/>
          <w:szCs w:val="28"/>
        </w:rPr>
        <w:t>»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(далее</w:t>
      </w:r>
      <w:r w:rsidR="00047C76"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AB3C04">
        <w:rPr>
          <w:rFonts w:ascii="Times New Roman" w:hAnsi="Times New Roman"/>
          <w:bCs/>
          <w:sz w:val="28"/>
          <w:szCs w:val="28"/>
        </w:rPr>
        <w:t>Закон 44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>ФЗ).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44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>ФЗ, на общую площадь жилого помещения, которое требуется приобрести.</w:t>
      </w:r>
    </w:p>
    <w:p w:rsidR="00042D5C" w:rsidRPr="00AB3C04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042D5C" w:rsidRPr="00AB3C04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1142"/>
        <w:gridCol w:w="956"/>
        <w:gridCol w:w="956"/>
        <w:gridCol w:w="956"/>
        <w:gridCol w:w="956"/>
        <w:gridCol w:w="956"/>
        <w:gridCol w:w="956"/>
        <w:gridCol w:w="956"/>
      </w:tblGrid>
      <w:tr w:rsidR="00B76477" w:rsidRPr="00AB3C04" w:rsidTr="00BF5BB6">
        <w:trPr>
          <w:cantSplit/>
          <w:trHeight w:val="20"/>
          <w:tblHeader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76477" w:rsidRPr="00AB3C04" w:rsidTr="00BF5BB6">
        <w:trPr>
          <w:cantSplit/>
          <w:trHeight w:val="20"/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B76477" w:rsidRPr="00AB3C04" w:rsidTr="00BF5BB6">
        <w:trPr>
          <w:cantSplit/>
          <w:trHeight w:val="20"/>
          <w:tblHeader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76477" w:rsidRPr="00AB3C04" w:rsidTr="00BF5BB6">
        <w:trPr>
          <w:cantSplit/>
          <w:trHeight w:val="2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210000,0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</w:tr>
      <w:tr w:rsidR="00E41D17" w:rsidRPr="00AB3C04" w:rsidTr="00BF5BB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AB3C04" w:rsidRDefault="00E41D1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 том числе за счет:</w:t>
            </w:r>
          </w:p>
        </w:tc>
      </w:tr>
      <w:tr w:rsidR="00B76477" w:rsidRPr="00AB3C04" w:rsidTr="00BF5BB6">
        <w:trPr>
          <w:cantSplit/>
          <w:trHeight w:val="119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210000,0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</w:tr>
      <w:tr w:rsidR="00B76477" w:rsidRPr="00AB3C04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AB3C04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AB3C04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AB3C04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AB3C04" w:rsidRDefault="00047C76" w:rsidP="00C353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53463" w:rsidRPr="00AB3C04" w:rsidRDefault="00253463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AB3C04" w:rsidRDefault="0083770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5</w:t>
      </w:r>
      <w:r w:rsidR="00DB7869" w:rsidRPr="00AB3C04">
        <w:rPr>
          <w:rFonts w:ascii="Times New Roman" w:hAnsi="Times New Roman"/>
          <w:bCs/>
          <w:sz w:val="28"/>
          <w:szCs w:val="28"/>
        </w:rPr>
        <w:t>. Оценка эффективности подпрограммы, рисков ее реализации</w:t>
      </w:r>
    </w:p>
    <w:p w:rsidR="00DB7869" w:rsidRPr="00AB3C04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67558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Планируемым р</w:t>
      </w:r>
      <w:r w:rsidR="00DB7869" w:rsidRPr="00AB3C04">
        <w:rPr>
          <w:rFonts w:ascii="Times New Roman" w:hAnsi="Times New Roman"/>
          <w:bCs/>
          <w:sz w:val="28"/>
          <w:szCs w:val="28"/>
        </w:rPr>
        <w:t>езультатом реализации подпрограммы является обеспечение благоустроенным жильем 105 семей малоимущих граждан.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Внешние риски </w:t>
      </w:r>
      <w:r w:rsidRPr="00AB3C04">
        <w:rPr>
          <w:rFonts w:ascii="Times New Roman" w:hAnsi="Times New Roman"/>
          <w:bCs/>
          <w:sz w:val="28"/>
          <w:szCs w:val="28"/>
        </w:rPr>
        <w:t>подпрограммы</w:t>
      </w:r>
      <w:r w:rsidRPr="00AB3C04">
        <w:rPr>
          <w:rFonts w:ascii="Times New Roman" w:hAnsi="Times New Roman"/>
          <w:sz w:val="28"/>
          <w:szCs w:val="28"/>
        </w:rPr>
        <w:t>: изменения федерального и/или регионального законодательства.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правовых актов.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Внутренние риски подпрограммы: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своевременное и качественное составление документации при размещении муниципальн</w:t>
      </w:r>
      <w:r w:rsidR="0067558C" w:rsidRPr="00AB3C04">
        <w:rPr>
          <w:rFonts w:ascii="Times New Roman" w:hAnsi="Times New Roman"/>
          <w:sz w:val="28"/>
          <w:szCs w:val="28"/>
        </w:rPr>
        <w:t>ого заказа</w:t>
      </w:r>
      <w:r w:rsidRPr="00AB3C04">
        <w:rPr>
          <w:rFonts w:ascii="Times New Roman" w:hAnsi="Times New Roman"/>
          <w:sz w:val="28"/>
          <w:szCs w:val="28"/>
        </w:rPr>
        <w:t>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Pr="00AB3C04">
        <w:rPr>
          <w:rFonts w:ascii="Times New Roman" w:hAnsi="Times New Roman"/>
          <w:bCs/>
          <w:sz w:val="28"/>
          <w:szCs w:val="28"/>
        </w:rPr>
        <w:t>подпрограммы</w:t>
      </w:r>
      <w:r w:rsidRPr="00AB3C04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042D5C" w:rsidRPr="00AB3C04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42D5C" w:rsidRPr="00AB3C04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B7869" w:rsidRPr="00AB3C04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AB3C04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AB3C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E11E97" w:rsidRPr="00AB3C04" w:rsidRDefault="00E11E9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2667"/>
        <w:gridCol w:w="1120"/>
        <w:gridCol w:w="1144"/>
        <w:gridCol w:w="851"/>
        <w:gridCol w:w="851"/>
        <w:gridCol w:w="709"/>
        <w:gridCol w:w="708"/>
        <w:gridCol w:w="727"/>
        <w:gridCol w:w="2168"/>
        <w:gridCol w:w="606"/>
        <w:gridCol w:w="606"/>
        <w:gridCol w:w="605"/>
        <w:gridCol w:w="605"/>
        <w:gridCol w:w="1468"/>
      </w:tblGrid>
      <w:tr w:rsidR="00CB3364" w:rsidRPr="00AB3C04" w:rsidTr="00CB3364">
        <w:trPr>
          <w:cantSplit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3364" w:rsidRPr="00AB3C04" w:rsidTr="00CB3364">
        <w:trPr>
          <w:cantSplit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64" w:rsidRPr="00AB3C04" w:rsidTr="00CB3364">
        <w:trPr>
          <w:cantSplit/>
          <w:tblHeader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74C6C" w:rsidRPr="00AB3C04" w:rsidTr="00CB3364">
        <w:trPr>
          <w:cantSplit/>
        </w:trPr>
        <w:tc>
          <w:tcPr>
            <w:tcW w:w="15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CB3364" w:rsidRPr="00AB3C04" w:rsidTr="00CB3364">
        <w:trPr>
          <w:cantSplit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B3364" w:rsidRPr="00AB3C04" w:rsidTr="00CB3364">
        <w:trPr>
          <w:cantSplit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64" w:rsidRPr="00AB3C04" w:rsidTr="00CB3364">
        <w:trPr>
          <w:cantSplit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CB3364" w:rsidRPr="00AB3C04" w:rsidTr="00856B5A">
        <w:trPr>
          <w:cantSplit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AB3C04" w:rsidRDefault="00674C6C" w:rsidP="00856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5B110B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B3364" w:rsidRPr="00AB3C04" w:rsidTr="00CB3364">
        <w:trPr>
          <w:cantSplit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364" w:rsidRPr="00AB3C04" w:rsidTr="00CB3364">
        <w:trPr>
          <w:cantSplit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AB3C04" w:rsidRDefault="00674C6C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05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C" w:rsidRPr="00AB3C04" w:rsidRDefault="00674C6C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2CA5" w:rsidRPr="00AB3C04" w:rsidRDefault="00102CA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AB3C04" w:rsidRDefault="00E56E4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364" w:rsidRPr="00AB3C04" w:rsidRDefault="00CB3364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8C3967" w:rsidRPr="00AB3C04" w:rsidRDefault="008C39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3334"/>
        <w:gridCol w:w="931"/>
        <w:gridCol w:w="1156"/>
        <w:gridCol w:w="781"/>
        <w:gridCol w:w="766"/>
        <w:gridCol w:w="766"/>
        <w:gridCol w:w="766"/>
        <w:gridCol w:w="2508"/>
        <w:gridCol w:w="702"/>
        <w:gridCol w:w="701"/>
        <w:gridCol w:w="700"/>
        <w:gridCol w:w="1656"/>
      </w:tblGrid>
      <w:tr w:rsidR="00102CA5" w:rsidRPr="00AB3C04" w:rsidTr="00A01FA5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E11E97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r w:rsidR="00102CA5"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2CA5" w:rsidRPr="00AB3C04" w:rsidTr="00A01FA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AB3C04" w:rsidTr="00A01FA5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2CA5" w:rsidRPr="00AB3C04" w:rsidTr="005B110B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02CA5" w:rsidRPr="00AB3C04" w:rsidTr="005B110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AB3C04" w:rsidTr="005B110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AB3C04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102CA5" w:rsidRPr="00AB3C04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AB3C04" w:rsidTr="005B110B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A5" w:rsidRPr="00AB3C04" w:rsidTr="005B110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AB3C04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AB3C04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2CA5" w:rsidRPr="00AB3C04" w:rsidRDefault="00102CA5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3967" w:rsidRPr="00AB3C04" w:rsidRDefault="00B7399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64DA9" w:rsidRPr="00AB3C04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headerReference w:type="default" r:id="rId10"/>
      <w:headerReference w:type="first" r:id="rId11"/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2259E8" w:rsidRDefault="001F0B71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C8199E">
      <w:rPr>
        <w:noProof/>
        <w:sz w:val="24"/>
      </w:rPr>
      <w:t>1</w:t>
    </w:r>
    <w:r w:rsidRPr="002259E8">
      <w:rPr>
        <w:sz w:val="24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C8199E">
      <w:rPr>
        <w:noProof/>
        <w:color w:val="000000"/>
      </w:rPr>
      <w:t>6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199E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E9CBB4-AA4D-4922-8F99-D1AF0E0E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2019-09-02T08:24:00Z</dcterms:modified>
</cp:coreProperties>
</file>