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96649C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A78F9" w:rsidRDefault="0096649C" w:rsidP="00BA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 xml:space="preserve">Всего по подпрограмме: 28 586 194,0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МБ: 11 911 139,8 тыс. руб., из них: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2018 год –1 462 467,0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2019 год – 1 609 672,0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2020 год – 1 664 417,8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2021 год – 1 711 205,1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2022 год – 1 767 399,2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2023 год – 1 820 419,0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2024 год – 1 875 559,7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ОБ: 16 675 054,2 тыс. руб., из них: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2018 год – 2 165 761,4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2019 год – 2 223 824,6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2020 год – 2 296 424,4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2021 год – 2 409 320,6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2022 год – 2 526 574,4 тыс. руб.;</w:t>
            </w:r>
          </w:p>
          <w:p w:rsidR="0096649C" w:rsidRDefault="0096649C" w:rsidP="00BA48DB">
            <w:pPr>
              <w:tabs>
                <w:tab w:val="left" w:pos="709"/>
              </w:tabs>
              <w:jc w:val="both"/>
            </w:pPr>
            <w:r>
              <w:t>2023 год – 2 526 574,4 тыс. руб.;</w:t>
            </w:r>
          </w:p>
          <w:p w:rsidR="0096649C" w:rsidRPr="000A78F9" w:rsidRDefault="0096649C" w:rsidP="00BA48DB">
            <w:pPr>
              <w:tabs>
                <w:tab w:val="left" w:pos="709"/>
              </w:tabs>
              <w:jc w:val="both"/>
            </w:pPr>
            <w:r>
              <w:t>2024 год – 2 526 574,4 тыс. руб.</w:t>
            </w:r>
          </w:p>
        </w:tc>
      </w:tr>
      <w:tr w:rsidR="0096649C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96649C" w:rsidRPr="00CB7011" w:rsidRDefault="0096649C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6B7A4C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C7646B" w:rsidRDefault="00C7646B" w:rsidP="00C7646B">
      <w:pPr>
        <w:ind w:left="720"/>
        <w:jc w:val="center"/>
        <w:rPr>
          <w:bCs/>
          <w:szCs w:val="28"/>
          <w:lang w:eastAsia="en-US"/>
        </w:rPr>
      </w:pPr>
      <w:r w:rsidRPr="00C7646B">
        <w:rPr>
          <w:bCs/>
          <w:szCs w:val="28"/>
          <w:lang w:eastAsia="en-US"/>
        </w:rPr>
        <w:t>3. Перечень основных мероприятий подпрограммы</w:t>
      </w:r>
    </w:p>
    <w:p w:rsidR="0096649C" w:rsidRPr="00C7646B" w:rsidRDefault="0096649C" w:rsidP="00C7646B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96649C" w:rsidRPr="0096649C" w:rsidTr="0096649C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96649C" w:rsidRPr="0096649C" w:rsidRDefault="0096649C" w:rsidP="0096649C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квар</w:t>
            </w:r>
            <w:proofErr w:type="spellEnd"/>
            <w:r w:rsidRPr="0096649C">
              <w:rPr>
                <w:sz w:val="15"/>
                <w:szCs w:val="15"/>
              </w:rPr>
              <w:t>-тал</w:t>
            </w:r>
            <w:proofErr w:type="gramEnd"/>
            <w:r w:rsidRPr="0096649C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96649C" w:rsidTr="0096649C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2020</w:t>
            </w:r>
          </w:p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2020</w:t>
            </w:r>
          </w:p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96649C" w:rsidRPr="0096649C" w:rsidTr="0096649C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96649C" w:rsidRPr="0096649C" w:rsidTr="0096649C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96649C" w:rsidRPr="0096649C" w:rsidTr="0096649C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21624873,3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2993992,4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16654157,3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96649C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96649C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96649C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96649C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96649C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96649C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96649C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96649C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1.4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</w:t>
            </w:r>
            <w:r w:rsidRPr="0096649C">
              <w:t xml:space="preserve"> </w:t>
            </w:r>
            <w:r w:rsidRPr="0096649C">
              <w:rPr>
                <w:sz w:val="15"/>
                <w:szCs w:val="15"/>
              </w:rPr>
              <w:t xml:space="preserve">МБОУ 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г. Мурманска ММЛ, МБОУ МПЛ</w:t>
            </w: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4509659,2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637868,2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</w:t>
            </w:r>
          </w:p>
        </w:tc>
      </w:tr>
      <w:tr w:rsidR="0096649C" w:rsidRPr="0096649C" w:rsidTr="0096649C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4488762,3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</w:t>
            </w:r>
          </w:p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proofErr w:type="gramStart"/>
            <w:r w:rsidRPr="0096649C">
              <w:rPr>
                <w:sz w:val="15"/>
                <w:szCs w:val="15"/>
              </w:rPr>
              <w:t>дополни-тельного</w:t>
            </w:r>
            <w:proofErr w:type="gramEnd"/>
            <w:r w:rsidRPr="0096649C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96649C" w:rsidRPr="0096649C" w:rsidTr="0096649C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обучающихся муниципальных</w:t>
            </w:r>
            <w:r w:rsidRPr="0096649C">
              <w:t xml:space="preserve"> </w:t>
            </w:r>
            <w:r w:rsidRPr="0096649C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6"/>
                <w:szCs w:val="16"/>
              </w:rPr>
            </w:pPr>
            <w:r w:rsidRPr="0096649C">
              <w:rPr>
                <w:sz w:val="16"/>
                <w:szCs w:val="16"/>
              </w:rPr>
              <w:t>14444</w:t>
            </w:r>
          </w:p>
          <w:p w:rsidR="0096649C" w:rsidRPr="0096649C" w:rsidRDefault="0096649C" w:rsidP="0096649C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</w:t>
            </w:r>
          </w:p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proofErr w:type="gramStart"/>
            <w:r w:rsidRPr="0096649C">
              <w:rPr>
                <w:sz w:val="15"/>
                <w:szCs w:val="15"/>
              </w:rPr>
              <w:t>дополни-тельного</w:t>
            </w:r>
            <w:proofErr w:type="gramEnd"/>
            <w:r w:rsidRPr="0096649C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96649C" w:rsidRPr="0096649C" w:rsidTr="0096649C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96649C" w:rsidRPr="0096649C" w:rsidTr="0096649C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96649C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,</w:t>
            </w:r>
            <w:r w:rsidRPr="0096649C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96649C" w:rsidRPr="0096649C" w:rsidTr="0096649C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96649C" w:rsidRPr="0096649C" w:rsidTr="0096649C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6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2.5.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образователь-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96649C">
              <w:rPr>
                <w:sz w:val="15"/>
                <w:szCs w:val="15"/>
              </w:rPr>
              <w:t>ные</w:t>
            </w:r>
            <w:proofErr w:type="spellEnd"/>
            <w:r w:rsidRPr="0096649C">
              <w:rPr>
                <w:sz w:val="15"/>
                <w:szCs w:val="15"/>
              </w:rPr>
              <w:t xml:space="preserve"> учреждений и учреждения образования</w:t>
            </w:r>
          </w:p>
        </w:tc>
      </w:tr>
      <w:tr w:rsidR="0096649C" w:rsidRPr="0096649C" w:rsidTr="0096649C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96649C" w:rsidRPr="0096649C" w:rsidTr="0096649C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96649C" w:rsidRPr="0096649C" w:rsidTr="0096649C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proofErr w:type="gramStart"/>
            <w:r w:rsidRPr="0096649C">
              <w:rPr>
                <w:sz w:val="15"/>
                <w:szCs w:val="15"/>
                <w:lang w:eastAsia="en-US"/>
              </w:rPr>
              <w:t>учреждениями ,</w:t>
            </w:r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96649C" w:rsidRPr="0096649C" w:rsidTr="0096649C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МБУО ЦБ</w:t>
            </w:r>
          </w:p>
        </w:tc>
      </w:tr>
      <w:tr w:rsidR="0096649C" w:rsidRPr="0096649C" w:rsidTr="0096649C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96649C" w:rsidRPr="0096649C" w:rsidTr="0096649C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28586194,0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3960842,2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11911139,8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1664417,8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16675054,2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2296424,4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96649C">
        <w:rPr>
          <w:szCs w:val="28"/>
        </w:rPr>
        <w:t>Детализация направлений расходов</w:t>
      </w:r>
    </w:p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310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96649C" w:rsidRPr="0096649C" w:rsidTr="0096649C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96649C" w:rsidRPr="0096649C" w:rsidTr="0096649C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2024 год</w:t>
            </w:r>
          </w:p>
        </w:tc>
      </w:tr>
      <w:tr w:rsidR="0096649C" w:rsidRPr="0096649C" w:rsidTr="0096649C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96649C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379 149,2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379 149,2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53 815,1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ind w:left="-96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249 413,6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75 920,5</w:t>
            </w: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6B7A4C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96649C" w:rsidRPr="00640411" w:rsidRDefault="0096649C" w:rsidP="0096649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6649C" w:rsidRPr="00640411" w:rsidTr="00BA48DB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6649C" w:rsidRPr="00640411" w:rsidTr="00BA48DB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6649C" w:rsidRPr="00640411" w:rsidTr="00BA48D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6649C" w:rsidRPr="00640411" w:rsidTr="00BA48DB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28 586 194,0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3 960 842,2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4 120 525,7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4 293 973,6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4 346 993,4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4 402 134,1</w:t>
            </w:r>
          </w:p>
        </w:tc>
      </w:tr>
      <w:tr w:rsidR="0096649C" w:rsidRPr="00640411" w:rsidTr="00BA48D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96649C" w:rsidRPr="00640411" w:rsidTr="00BA48D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575F6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8575F6">
              <w:rPr>
                <w:sz w:val="15"/>
                <w:szCs w:val="15"/>
              </w:rPr>
              <w:t>911</w:t>
            </w:r>
            <w:r>
              <w:rPr>
                <w:sz w:val="15"/>
                <w:szCs w:val="15"/>
              </w:rPr>
              <w:t xml:space="preserve"> </w:t>
            </w:r>
            <w:r w:rsidRPr="008575F6">
              <w:rPr>
                <w:sz w:val="15"/>
                <w:szCs w:val="15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1 664 417,8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1 711 205,1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1 767 399,2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1 820 419,0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1 875 559,7</w:t>
            </w:r>
          </w:p>
        </w:tc>
      </w:tr>
      <w:tr w:rsidR="0096649C" w:rsidRPr="00640411" w:rsidTr="00BA48DB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16 675 054,2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2 296 424,4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2 409 320,6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</w:tr>
    </w:tbl>
    <w:p w:rsidR="0096649C" w:rsidRPr="00640411" w:rsidRDefault="0096649C" w:rsidP="0096649C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6B7A4C">
          <w:pgSz w:w="11905" w:h="16837" w:code="9"/>
          <w:pgMar w:top="1134" w:right="851" w:bottom="1134" w:left="1418" w:header="720" w:footer="720" w:gutter="0"/>
          <w:pgNumType w:start="73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sectPr w:rsidR="00AF0833" w:rsidSect="007A63D5">
      <w:type w:val="continuous"/>
      <w:pgSz w:w="11905" w:h="16837"/>
      <w:pgMar w:top="851" w:right="851" w:bottom="1134" w:left="1418" w:header="425" w:footer="720" w:gutter="0"/>
      <w:pgNumType w:start="74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Pr="006E27C6" w:rsidRDefault="001F642B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3D5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B5F66E-5DD3-4A71-BF04-0DF2D641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F95-2B8C-40A2-919E-EA7D9DF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27731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2020-04-28T13:55:00Z</dcterms:modified>
</cp:coreProperties>
</file>