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40" w:rsidRDefault="00791940" w:rsidP="00791940">
      <w:pPr>
        <w:rPr>
          <w:szCs w:val="28"/>
          <w:lang w:eastAsia="en-US"/>
        </w:rPr>
      </w:pPr>
      <w:bookmarkStart w:id="0" w:name="_GoBack"/>
      <w:bookmarkEnd w:id="0"/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8B2D7D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8B2D7D" w:rsidRPr="00D81401" w:rsidTr="00DC38D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B2D7D" w:rsidRPr="00D81401" w:rsidTr="00DC38D0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8B2D7D" w:rsidRPr="00D81401" w:rsidTr="00DC38D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Всего по подпрограмме: 570 819,3 тыс. руб., в т. ч.: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МБ: 570 819,3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74 530,7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 86 300,0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85 567,2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77 924,3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79 910,8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82 136,0 тыс. руб.,</w:t>
            </w:r>
          </w:p>
          <w:p w:rsidR="008B2D7D" w:rsidRPr="00D81401" w:rsidRDefault="00C7646B" w:rsidP="00C7646B">
            <w:pPr>
              <w:jc w:val="both"/>
              <w:rPr>
                <w:szCs w:val="28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84 450,3 тыс. руб.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</w:t>
            </w:r>
            <w:r w:rsidR="00C97D0D">
              <w:rPr>
                <w:szCs w:val="28"/>
              </w:rPr>
              <w:t>,0</w:t>
            </w:r>
            <w:r w:rsidRPr="00D81401">
              <w:rPr>
                <w:szCs w:val="28"/>
              </w:rPr>
              <w:t xml:space="preserve"> % к концу периода реализации подпрограммы;</w:t>
            </w:r>
          </w:p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8B2D7D" w:rsidRPr="00D81401" w:rsidRDefault="008B2D7D" w:rsidP="00DC38D0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F86A0E" w:rsidRDefault="0042146A" w:rsidP="00F86A0E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="00F86A0E" w:rsidRPr="0042403A">
        <w:rPr>
          <w:szCs w:val="28"/>
        </w:rPr>
        <w:t>Характеристика проблемы, на решение которой направлена</w:t>
      </w:r>
      <w:r w:rsidR="00F86A0E">
        <w:rPr>
          <w:szCs w:val="28"/>
        </w:rPr>
        <w:t xml:space="preserve"> подпрограмма</w:t>
      </w:r>
    </w:p>
    <w:p w:rsidR="00F86A0E" w:rsidRPr="0042403A" w:rsidRDefault="00F86A0E" w:rsidP="00F86A0E">
      <w:pPr>
        <w:ind w:firstLine="708"/>
        <w:jc w:val="center"/>
        <w:rPr>
          <w:szCs w:val="28"/>
        </w:rPr>
      </w:pP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Развитие молодого поколения горожан не может не рассматриваться как важнейшее направление социально-экономического развития города, определяющее картину не только его будущего состояния, но качества жизни сегодня, поскольку 20% населения города - это молодежь в возрасте от 14 до 30 лет (на начало 2018 года - 56071 человек),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низкая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Оказание своевременной поддержки молодёжи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молодежи и стимулы для включения молодых людей в общественные процессы.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Система молодежной политики города Мурманска представлена двумя муни</w:t>
      </w:r>
      <w:r>
        <w:rPr>
          <w:szCs w:val="28"/>
        </w:rPr>
        <w:t>ципальными учреждениями, имеющими</w:t>
      </w:r>
      <w:r w:rsidRPr="0042403A">
        <w:rPr>
          <w:szCs w:val="28"/>
        </w:rPr>
        <w:t xml:space="preserve"> структурные подразделения, которые осуществляют работу с молодежью по различным направлениям –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 (далее – учреждения).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27,8 % до 74 %.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1) 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3) сложилось и развивается социальное партнерство с общественными молодежными организациями;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Данные положительные результаты требуют дальнейшего продолжения работы в рамках новой программы.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Применение программно-целевого метода позволит: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выявить круг приоритетных объектов и субъектов целевого инвестирования подпрограммы;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- граждане Российской Федерации в возрасте от 14 до 30 лет, проживающие в городе Мурманске;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семьи, в которых возраст каждого из супругов, либо одного родителя в неполной семье, не превышает 30 лет;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органы городского самоуправления, реализующие мероприятия в сфере молодежной политики;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иные юридические и физические лица, принимающие участие в осуществлении госуд</w:t>
      </w:r>
      <w:r>
        <w:rPr>
          <w:szCs w:val="28"/>
        </w:rPr>
        <w:t>арственной молодежной политики.</w:t>
      </w:r>
    </w:p>
    <w:p w:rsidR="00AF0833" w:rsidRDefault="00AF0833" w:rsidP="00AF0833">
      <w:pPr>
        <w:ind w:firstLine="708"/>
        <w:jc w:val="center"/>
        <w:rPr>
          <w:szCs w:val="28"/>
        </w:rPr>
      </w:pPr>
    </w:p>
    <w:p w:rsidR="00EA4E8E" w:rsidRPr="00640411" w:rsidRDefault="00EA4E8E" w:rsidP="00EA4E8E">
      <w:pPr>
        <w:ind w:firstLine="708"/>
        <w:jc w:val="center"/>
        <w:rPr>
          <w:szCs w:val="28"/>
        </w:rPr>
      </w:pPr>
      <w:r w:rsidRPr="00640411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EA4E8E" w:rsidRPr="00640411" w:rsidRDefault="00EA4E8E" w:rsidP="00EA4E8E">
      <w:pPr>
        <w:ind w:firstLine="708"/>
        <w:jc w:val="center"/>
        <w:rPr>
          <w:sz w:val="20"/>
          <w:szCs w:val="28"/>
        </w:rPr>
      </w:pPr>
    </w:p>
    <w:tbl>
      <w:tblPr>
        <w:tblW w:w="9503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567"/>
      </w:tblGrid>
      <w:tr w:rsidR="00EA4E8E" w:rsidRPr="00640411" w:rsidTr="001F642B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№ </w:t>
            </w:r>
            <w:r w:rsidRPr="00640411">
              <w:rPr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EA4E8E" w:rsidRPr="00640411" w:rsidTr="001F642B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Отчетный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Текущий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45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EA4E8E" w:rsidRPr="00640411" w:rsidTr="001F642B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EA4E8E" w:rsidRPr="00640411" w:rsidTr="001F642B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A4E8E" w:rsidRPr="00640411" w:rsidTr="001F642B">
        <w:tc>
          <w:tcPr>
            <w:tcW w:w="95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EA4E8E" w:rsidRPr="00640411" w:rsidTr="001F642B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</w:tr>
      <w:tr w:rsidR="00EA4E8E" w:rsidRPr="00640411" w:rsidTr="001F64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EA4E8E" w:rsidRPr="00640411" w:rsidTr="001F64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молодежи, привлеченной в учреждения молодежной политики, от общей численности молодежи города</w:t>
            </w:r>
            <w:r>
              <w:rPr>
                <w:sz w:val="16"/>
                <w:szCs w:val="16"/>
                <w:lang w:eastAsia="en-US"/>
              </w:rPr>
              <w:t xml:space="preserve"> Мурманска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</w:tr>
    </w:tbl>
    <w:p w:rsidR="00F86A0E" w:rsidRDefault="00F86A0E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6B7A4C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09" w:right="851" w:bottom="851" w:left="1134" w:header="284" w:footer="449" w:gutter="0"/>
          <w:pgNumType w:start="80"/>
          <w:cols w:space="720"/>
        </w:sectPr>
      </w:pPr>
    </w:p>
    <w:p w:rsidR="00EA4E8E" w:rsidRDefault="00EA4E8E" w:rsidP="00EA4E8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96649C" w:rsidRPr="00640411" w:rsidRDefault="0096649C" w:rsidP="00EA4E8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9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0"/>
        <w:gridCol w:w="852"/>
        <w:gridCol w:w="855"/>
        <w:gridCol w:w="696"/>
        <w:gridCol w:w="708"/>
        <w:gridCol w:w="709"/>
        <w:gridCol w:w="709"/>
        <w:gridCol w:w="711"/>
        <w:gridCol w:w="711"/>
        <w:gridCol w:w="710"/>
        <w:gridCol w:w="715"/>
        <w:gridCol w:w="1264"/>
        <w:gridCol w:w="627"/>
        <w:gridCol w:w="569"/>
        <w:gridCol w:w="569"/>
        <w:gridCol w:w="569"/>
        <w:gridCol w:w="569"/>
        <w:gridCol w:w="569"/>
        <w:gridCol w:w="570"/>
        <w:gridCol w:w="1167"/>
      </w:tblGrid>
      <w:tr w:rsidR="0096649C" w:rsidRPr="00640411" w:rsidTr="00BA48DB">
        <w:trPr>
          <w:trHeight w:val="20"/>
          <w:tblHeader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№ п/п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выпол</w:t>
            </w:r>
            <w:proofErr w:type="spellEnd"/>
            <w:r w:rsidRPr="00640411">
              <w:rPr>
                <w:sz w:val="14"/>
                <w:szCs w:val="14"/>
              </w:rPr>
              <w:t>-нения</w:t>
            </w:r>
            <w:proofErr w:type="gramEnd"/>
            <w:r w:rsidRPr="00640411">
              <w:rPr>
                <w:sz w:val="14"/>
                <w:szCs w:val="14"/>
              </w:rPr>
              <w:t xml:space="preserve"> (квартал, год)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07"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669" w:type="dxa"/>
            <w:gridSpan w:val="8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06" w:type="dxa"/>
            <w:gridSpan w:val="8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649C" w:rsidRPr="00640411" w:rsidTr="00BA48DB">
        <w:trPr>
          <w:trHeight w:val="20"/>
          <w:tblHeader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20"/>
          <w:tblHeader/>
        </w:trPr>
        <w:tc>
          <w:tcPr>
            <w:tcW w:w="454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13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14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16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17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18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19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</w:t>
            </w:r>
          </w:p>
        </w:tc>
        <w:tc>
          <w:tcPr>
            <w:tcW w:w="1167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21</w:t>
            </w:r>
          </w:p>
        </w:tc>
      </w:tr>
      <w:tr w:rsidR="0096649C" w:rsidRPr="00640411" w:rsidTr="00BA48DB">
        <w:trPr>
          <w:trHeight w:val="20"/>
        </w:trPr>
        <w:tc>
          <w:tcPr>
            <w:tcW w:w="15983" w:type="dxa"/>
            <w:gridSpan w:val="21"/>
            <w:shd w:val="clear" w:color="auto" w:fill="auto"/>
            <w:hideMark/>
          </w:tcPr>
          <w:p w:rsidR="0096649C" w:rsidRPr="00640411" w:rsidRDefault="0096649C" w:rsidP="00BA48DB">
            <w:pPr>
              <w:jc w:val="both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96649C" w:rsidRPr="00640411" w:rsidTr="00BA48DB">
        <w:trPr>
          <w:trHeight w:val="218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BA48DB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26000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25000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КСПВООДМ, МАУ МП «Дом молодежи», МАУ МП «Объединение молодежных центров»</w:t>
            </w:r>
          </w:p>
        </w:tc>
      </w:tr>
      <w:tr w:rsidR="0096649C" w:rsidRPr="00640411" w:rsidTr="00BA48DB">
        <w:trPr>
          <w:trHeight w:val="11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 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677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BA48DB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123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1.1.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вовлеченной в мероприятия,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BA48DB">
        <w:trPr>
          <w:trHeight w:val="14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277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218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1.2.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Стипендии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стипендиатов главы муниципаль</w:t>
            </w:r>
            <w:r>
              <w:rPr>
                <w:sz w:val="14"/>
                <w:szCs w:val="14"/>
              </w:rPr>
              <w:t>но</w:t>
            </w:r>
            <w:r w:rsidRPr="00640411">
              <w:rPr>
                <w:sz w:val="14"/>
                <w:szCs w:val="14"/>
              </w:rPr>
              <w:t>го образования город Мурманск,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66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68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BA48DB">
        <w:trPr>
          <w:trHeight w:val="218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BA48DB">
            <w:pPr>
              <w:ind w:right="-119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448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162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1.3. 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7500,0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Количество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профинанси-рованных</w:t>
            </w:r>
            <w:proofErr w:type="spellEnd"/>
            <w:proofErr w:type="gramEnd"/>
            <w:r w:rsidRPr="00640411">
              <w:rPr>
                <w:sz w:val="14"/>
                <w:szCs w:val="14"/>
              </w:rPr>
              <w:t xml:space="preserve"> проектов, ед.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BA48DB">
        <w:trPr>
          <w:trHeight w:val="16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 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BA48D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BA48D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13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7500,0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162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1.4.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Премии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Количество получателей премии, чел.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BA48DB">
        <w:trPr>
          <w:trHeight w:val="16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13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251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BA48DB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BA48DB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BA48DB">
            <w:pPr>
              <w:ind w:left="-5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МАУ МП «Дом молодежи», МАУ МП «Объединение молодежных центров»</w:t>
            </w:r>
          </w:p>
        </w:tc>
      </w:tr>
      <w:tr w:rsidR="0096649C" w:rsidRPr="00640411" w:rsidTr="00BA48DB">
        <w:trPr>
          <w:trHeight w:val="139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BA48DB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561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96649C" w:rsidRPr="00640411" w:rsidRDefault="0096649C" w:rsidP="00BA48DB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BA48DB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привлеченной в МАУ МП «Дом молодежи», чел.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BA48DB">
            <w:pPr>
              <w:ind w:left="-187"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19000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BA48DB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371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BA48DB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4280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4150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70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4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BA48DB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молодежных общественных объединений,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81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BA48DB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</w:tr>
      <w:tr w:rsidR="0096649C" w:rsidRPr="00640411" w:rsidTr="00BA48DB">
        <w:trPr>
          <w:trHeight w:val="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</w:tr>
      <w:tr w:rsidR="0096649C" w:rsidRPr="00640411" w:rsidTr="00BA48DB">
        <w:trPr>
          <w:trHeight w:val="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BA48DB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BA48DB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BA48DB">
            <w:pPr>
              <w:rPr>
                <w:bCs/>
                <w:sz w:val="14"/>
                <w:szCs w:val="14"/>
              </w:rPr>
            </w:pPr>
          </w:p>
        </w:tc>
      </w:tr>
    </w:tbl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Детализация направлений расходов</w:t>
      </w:r>
    </w:p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tbl>
      <w:tblPr>
        <w:tblW w:w="158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1134"/>
        <w:gridCol w:w="878"/>
        <w:gridCol w:w="922"/>
        <w:gridCol w:w="922"/>
        <w:gridCol w:w="922"/>
        <w:gridCol w:w="922"/>
        <w:gridCol w:w="923"/>
      </w:tblGrid>
      <w:tr w:rsidR="0096649C" w:rsidRPr="00640411" w:rsidTr="00BA48DB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Объемы финансирования, тыс. руб.</w:t>
            </w:r>
          </w:p>
        </w:tc>
      </w:tr>
      <w:tr w:rsidR="0096649C" w:rsidRPr="00640411" w:rsidTr="00BA48DB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</w:tr>
      <w:tr w:rsidR="0096649C" w:rsidRPr="00640411" w:rsidTr="00BA48DB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11</w:t>
            </w:r>
          </w:p>
        </w:tc>
      </w:tr>
      <w:tr w:rsidR="0096649C" w:rsidRPr="00640411" w:rsidTr="00BA48DB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</w:tr>
      <w:tr w:rsidR="0096649C" w:rsidRPr="00640411" w:rsidTr="00BA48DB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</w:tr>
      <w:tr w:rsidR="0096649C" w:rsidRPr="00640411" w:rsidTr="00BA48DB">
        <w:trPr>
          <w:trHeight w:val="2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387758,6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49832,1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53991,6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52769,2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54860,0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56635,1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58860,3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60810,3</w:t>
            </w:r>
          </w:p>
        </w:tc>
      </w:tr>
      <w:tr w:rsidR="0096649C" w:rsidRPr="00640411" w:rsidTr="00BA48DB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BA48DB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МАУ МП «Дом молодежи»</w:t>
            </w:r>
          </w:p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164176,3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22266,3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29501,1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30058,0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20079,5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20635,7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20635,7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BA48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21000,0</w:t>
            </w:r>
          </w:p>
        </w:tc>
      </w:tr>
    </w:tbl>
    <w:p w:rsidR="008B2D7D" w:rsidRPr="00D81401" w:rsidRDefault="008B2D7D" w:rsidP="008B2D7D">
      <w:pPr>
        <w:rPr>
          <w:color w:val="000000"/>
          <w:sz w:val="16"/>
          <w:szCs w:val="16"/>
        </w:rPr>
        <w:sectPr w:rsidR="008B2D7D" w:rsidRPr="00D81401">
          <w:pgSz w:w="16838" w:h="11906" w:orient="landscape"/>
          <w:pgMar w:top="1131" w:right="1134" w:bottom="284" w:left="993" w:header="709" w:footer="709" w:gutter="0"/>
          <w:cols w:space="720"/>
        </w:sectPr>
      </w:pPr>
    </w:p>
    <w:p w:rsidR="007115F3" w:rsidRDefault="007115F3" w:rsidP="007115F3">
      <w:pPr>
        <w:ind w:firstLine="720"/>
        <w:jc w:val="center"/>
        <w:rPr>
          <w:szCs w:val="28"/>
        </w:rPr>
      </w:pPr>
      <w:r w:rsidRPr="00992230">
        <w:rPr>
          <w:szCs w:val="28"/>
        </w:rPr>
        <w:t>4. Обоснование ресурсного обеспечения подпрограммы</w:t>
      </w:r>
    </w:p>
    <w:p w:rsidR="007115F3" w:rsidRPr="00E60DEB" w:rsidRDefault="007115F3" w:rsidP="007115F3">
      <w:pPr>
        <w:ind w:firstLine="720"/>
        <w:jc w:val="center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EA4E8E" w:rsidRPr="00640411" w:rsidTr="001F642B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EA4E8E" w:rsidRPr="00640411" w:rsidTr="001F642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</w:t>
            </w:r>
          </w:p>
        </w:tc>
      </w:tr>
      <w:tr w:rsidR="00EA4E8E" w:rsidRPr="00640411" w:rsidTr="001F642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EA4E8E" w:rsidRPr="00640411" w:rsidTr="001F642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570 819,3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ind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85 567,2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79 910,8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84 450,3</w:t>
            </w:r>
          </w:p>
        </w:tc>
      </w:tr>
      <w:tr w:rsidR="00EA4E8E" w:rsidRPr="00640411" w:rsidTr="001F642B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570 819,3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ind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85 567,2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79 910,8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84 450,3</w:t>
            </w:r>
          </w:p>
        </w:tc>
      </w:tr>
    </w:tbl>
    <w:p w:rsidR="00EA4E8E" w:rsidRPr="00640411" w:rsidRDefault="00EA4E8E" w:rsidP="00EA4E8E">
      <w:pPr>
        <w:widowControl w:val="0"/>
        <w:suppressAutoHyphens/>
        <w:autoSpaceDE w:val="0"/>
        <w:ind w:firstLine="851"/>
        <w:jc w:val="center"/>
        <w:rPr>
          <w:rFonts w:eastAsia="Calibri"/>
          <w:szCs w:val="28"/>
          <w:lang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 видам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8B2D7D" w:rsidRPr="00D81401" w:rsidRDefault="008B2D7D" w:rsidP="008B2D7D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791940" w:rsidRDefault="00791940" w:rsidP="00791940">
      <w:pPr>
        <w:rPr>
          <w:szCs w:val="28"/>
          <w:lang w:eastAsia="en-US"/>
        </w:rPr>
      </w:pPr>
    </w:p>
    <w:sectPr w:rsidR="00791940" w:rsidSect="00EA08D2">
      <w:pgSz w:w="11905" w:h="16837"/>
      <w:pgMar w:top="1134" w:right="851" w:bottom="1134" w:left="1418" w:header="720" w:footer="720" w:gutter="0"/>
      <w:pgNumType w:start="88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2B" w:rsidRDefault="006D7F2B">
      <w:r>
        <w:separator/>
      </w:r>
    </w:p>
  </w:endnote>
  <w:endnote w:type="continuationSeparator" w:id="0">
    <w:p w:rsidR="006D7F2B" w:rsidRDefault="006D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Default="001F642B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1F642B" w:rsidRDefault="001F642B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Pr="00F16BBE" w:rsidRDefault="001F642B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2B" w:rsidRDefault="006D7F2B">
      <w:r>
        <w:separator/>
      </w:r>
    </w:p>
  </w:footnote>
  <w:footnote w:type="continuationSeparator" w:id="0">
    <w:p w:rsidR="006D7F2B" w:rsidRDefault="006D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Default="001F642B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1F642B" w:rsidRDefault="001F64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Pr="00CB00AA" w:rsidRDefault="001F642B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8D2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F59CBC-FB3C-45C3-B84C-C1C3C95B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3508-1154-413C-B712-27C99762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18922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104</cp:revision>
  <cp:lastPrinted>2018-12-17T13:51:00Z</cp:lastPrinted>
  <dcterms:created xsi:type="dcterms:W3CDTF">2018-12-17T06:27:00Z</dcterms:created>
  <dcterms:modified xsi:type="dcterms:W3CDTF">2020-04-28T13:47:00Z</dcterms:modified>
</cp:coreProperties>
</file>