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II.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«Развитие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3837F0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362"/>
      <w:bookmarkEnd w:id="0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656A9" w:rsidRPr="00AF2F5A" w:rsidTr="003656A9">
        <w:trPr>
          <w:trHeight w:val="80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мма города Мурманска «Развитие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8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(индикаторы)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3656A9" w:rsidRPr="00AF2F5A" w:rsidTr="003656A9">
        <w:trPr>
          <w:trHeight w:val="593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КИО</w:t>
            </w:r>
          </w:p>
        </w:tc>
      </w:tr>
      <w:tr w:rsidR="003656A9" w:rsidRPr="00AF2F5A" w:rsidTr="003656A9">
        <w:trPr>
          <w:trHeight w:val="559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</w:p>
        </w:tc>
      </w:tr>
      <w:tr w:rsidR="003656A9" w:rsidRPr="00AF2F5A" w:rsidTr="003656A9">
        <w:trPr>
          <w:trHeight w:val="854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D6E80" w:rsidTr="003656A9">
        <w:trPr>
          <w:trHeight w:val="2965"/>
          <w:tblCellSpacing w:w="5" w:type="nil"/>
        </w:trPr>
        <w:tc>
          <w:tcPr>
            <w:tcW w:w="283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программе: 38 880,9 тыс. руб., в т.ч.: 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МБ: 37 913,1 тыс. руб., из них: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5 502,6 тыс. руб., 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5 424,8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4 999,7 тыс. руб., 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4 999,7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5 579,5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5 650,8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5 756,0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ОБ: 967,8 тыс. руб., из них: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500,0 тыс. руб.,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467,8 тыс. руб.</w:t>
            </w:r>
          </w:p>
        </w:tc>
      </w:tr>
      <w:tr w:rsidR="003656A9" w:rsidRPr="00AD6E80" w:rsidTr="003656A9">
        <w:trPr>
          <w:trHeight w:val="1693"/>
          <w:tblCellSpacing w:w="5" w:type="nil"/>
        </w:trPr>
        <w:tc>
          <w:tcPr>
            <w:tcW w:w="283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690,0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412"/>
      <w:bookmarkEnd w:id="1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проблемы,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</w:p>
    <w:p w:rsidR="003656A9" w:rsidRPr="00186923" w:rsidRDefault="003656A9" w:rsidP="003656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Мурманске</w:t>
      </w:r>
      <w:r>
        <w:rPr>
          <w:rFonts w:ascii="Times New Roman" w:hAnsi="Times New Roman"/>
          <w:sz w:val="28"/>
          <w:szCs w:val="28"/>
        </w:rPr>
        <w:t xml:space="preserve"> в соответствии с данными Единого реестра субъектов малого и среднего предпринимательства (далее – Реестр) Федеральной налоговой службы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конец 2017 года </w:t>
      </w:r>
      <w:r w:rsidRPr="001264CA">
        <w:rPr>
          <w:rFonts w:ascii="Times New Roman" w:hAnsi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порядка 16 </w:t>
      </w:r>
      <w:r w:rsidRPr="001264CA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МСП.</w:t>
      </w:r>
      <w:r>
        <w:rPr>
          <w:rFonts w:ascii="Times New Roman" w:hAnsi="Times New Roman"/>
          <w:sz w:val="28"/>
          <w:szCs w:val="28"/>
        </w:rPr>
        <w:t xml:space="preserve"> Из них количество средних предприятий составляет 32 единицы, малых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(в т.ч. микро)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0201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666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иниц. Количество </w:t>
      </w:r>
      <w:r>
        <w:rPr>
          <w:rFonts w:ascii="Times New Roman" w:hAnsi="Times New Roman"/>
          <w:sz w:val="28"/>
          <w:szCs w:val="28"/>
        </w:rPr>
        <w:lastRenderedPageBreak/>
        <w:t>ин</w:t>
      </w:r>
      <w:r w:rsidRPr="001264CA">
        <w:rPr>
          <w:rFonts w:ascii="Times New Roman" w:hAnsi="Times New Roman"/>
          <w:sz w:val="28"/>
          <w:szCs w:val="28"/>
        </w:rPr>
        <w:t>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составляет 7 123 единицы.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Реестра число вновь созданных в 2017 году субъектов МСП составляет 2 093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единицы, из них ин</w:t>
      </w:r>
      <w:r w:rsidRPr="001264CA">
        <w:rPr>
          <w:rFonts w:ascii="Times New Roman" w:hAnsi="Times New Roman"/>
          <w:sz w:val="28"/>
          <w:szCs w:val="28"/>
        </w:rPr>
        <w:t>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1 319 единиц.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Потребительский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являясь</w:t>
      </w:r>
      <w:r>
        <w:rPr>
          <w:rFonts w:ascii="Times New Roman" w:hAnsi="Times New Roman"/>
          <w:sz w:val="28"/>
          <w:szCs w:val="28"/>
        </w:rPr>
        <w:t xml:space="preserve"> значительной </w:t>
      </w:r>
      <w:r w:rsidRPr="00DE4342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города,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своевременного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удовлетворения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потребительские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безопасность,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доступность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инфраструктура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потребительского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представлена: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1535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магазинами,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комплексами,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крупными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торгово-развлекательными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центрами;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нестационарными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(павильоны,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198;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павильоны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торгово-остановочных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комплексах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91;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автолавки,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автоприцепы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33).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действующими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ярмарками;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универсальным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розничным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 Мурманск федеральная продовольственных сеть представлена следующими организациями: «ДИКСИ», «Тандер», «О`КЕЙ», «БЭСТ ПРАЙС», «ТД «Интерторг», «X5 Retail Group», </w:t>
      </w:r>
      <w:r w:rsidRPr="00DE4342">
        <w:rPr>
          <w:rFonts w:ascii="Times New Roman" w:hAnsi="Times New Roman"/>
          <w:sz w:val="28"/>
          <w:szCs w:val="28"/>
        </w:rPr>
        <w:t>сеть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E4342">
        <w:rPr>
          <w:rFonts w:ascii="Times New Roman" w:hAnsi="Times New Roman"/>
          <w:sz w:val="28"/>
          <w:szCs w:val="28"/>
        </w:rPr>
        <w:t>магазинов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японской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китайской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кухни</w:t>
      </w:r>
      <w:r>
        <w:rPr>
          <w:rFonts w:ascii="Times New Roman" w:hAnsi="Times New Roman"/>
          <w:sz w:val="28"/>
          <w:szCs w:val="28"/>
        </w:rPr>
        <w:t>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 xml:space="preserve">ональная продовольственная сеть представлена </w:t>
      </w:r>
      <w:r w:rsidRPr="00DE4342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DE4342">
        <w:rPr>
          <w:rFonts w:ascii="Times New Roman" w:hAnsi="Times New Roman"/>
          <w:sz w:val="28"/>
          <w:szCs w:val="28"/>
        </w:rPr>
        <w:t>«Евророс»</w:t>
      </w:r>
      <w:r>
        <w:rPr>
          <w:rFonts w:ascii="Times New Roman" w:hAnsi="Times New Roman"/>
          <w:sz w:val="28"/>
          <w:szCs w:val="28"/>
        </w:rPr>
        <w:t xml:space="preserve">, «Яблочко», </w:t>
      </w:r>
      <w:r w:rsidRPr="00DE4342">
        <w:rPr>
          <w:rFonts w:ascii="Times New Roman" w:hAnsi="Times New Roman"/>
          <w:sz w:val="28"/>
          <w:szCs w:val="28"/>
        </w:rPr>
        <w:t>«7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дней»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4342">
        <w:rPr>
          <w:rFonts w:ascii="Times New Roman" w:hAnsi="Times New Roman"/>
          <w:sz w:val="28"/>
          <w:szCs w:val="28"/>
        </w:rPr>
        <w:t>«Твой»</w:t>
      </w:r>
      <w:r>
        <w:rPr>
          <w:rFonts w:ascii="Times New Roman" w:hAnsi="Times New Roman"/>
          <w:sz w:val="28"/>
          <w:szCs w:val="28"/>
        </w:rPr>
        <w:t>, «Сити Гурмэ»</w:t>
      </w:r>
      <w:r w:rsidRPr="00DE4342">
        <w:rPr>
          <w:rFonts w:ascii="Times New Roman" w:hAnsi="Times New Roman"/>
          <w:sz w:val="28"/>
          <w:szCs w:val="28"/>
        </w:rPr>
        <w:t>.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Фактическая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площадями</w:t>
      </w:r>
      <w:r>
        <w:rPr>
          <w:rFonts w:ascii="Times New Roman" w:hAnsi="Times New Roman"/>
          <w:sz w:val="28"/>
          <w:szCs w:val="28"/>
        </w:rPr>
        <w:t xml:space="preserve"> – 977,33 кв.м на 1000 жителей</w:t>
      </w:r>
      <w:r w:rsidRPr="00DE4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т.ч: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непродовольственных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628,81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продовольственных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348,52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603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(без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приёмных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обслуживания,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принимающих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заказы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населения);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питания.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Вовлечение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росту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благосостояния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обществе,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социально-политической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стабильности,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увеличению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бюджеты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уровней.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264C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факторам,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сдерживающим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отнести: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ограниченный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отраслях,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внутреннее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(как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крупных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предприятий);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ресурсов: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энерго-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теплоресурсов,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помещений;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4CA">
        <w:rPr>
          <w:rFonts w:ascii="Times New Roman" w:hAnsi="Times New Roman"/>
          <w:sz w:val="28"/>
          <w:szCs w:val="28"/>
        </w:rPr>
        <w:t>недостаток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Кредитные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недоступными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lastRenderedPageBreak/>
        <w:t>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начинающих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инновационных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свободных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обеспечения.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требует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системного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основанного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разработанной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всестороннее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14-</w:t>
      </w:r>
      <w:r w:rsidRPr="001264C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264CA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осуществлялась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43" w:history="1">
        <w:r w:rsidRPr="001264CA">
          <w:rPr>
            <w:rFonts w:ascii="Times New Roman" w:hAnsi="Times New Roman"/>
            <w:sz w:val="28"/>
            <w:szCs w:val="28"/>
          </w:rPr>
          <w:t>программ</w:t>
        </w:r>
      </w:hyperlink>
      <w:r w:rsidRPr="001264C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конкурентоспособной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-2019 годы, </w:t>
      </w:r>
      <w:r w:rsidRPr="001264CA">
        <w:rPr>
          <w:rFonts w:ascii="Times New Roman" w:hAnsi="Times New Roman"/>
          <w:sz w:val="28"/>
          <w:szCs w:val="28"/>
        </w:rPr>
        <w:t>утвержденной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08.11.2013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3186.</w:t>
      </w:r>
      <w:r>
        <w:rPr>
          <w:rFonts w:ascii="Times New Roman" w:hAnsi="Times New Roman"/>
          <w:sz w:val="28"/>
          <w:szCs w:val="28"/>
        </w:rPr>
        <w:t xml:space="preserve"> В период реализации программы все виды поддержки субъектам МСП были реализованы в полном объеме.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«Развитие и поддержка малого и среднего предпринимательства в городе Мурманске» на 2018-2024 </w:t>
      </w:r>
      <w:r w:rsidRPr="001264C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города.</w:t>
      </w:r>
      <w:r>
        <w:rPr>
          <w:rFonts w:ascii="Times New Roman" w:hAnsi="Times New Roman"/>
          <w:sz w:val="28"/>
          <w:szCs w:val="28"/>
        </w:rPr>
        <w:t xml:space="preserve"> Мероприятия реализуют </w:t>
      </w:r>
      <w:r w:rsidRPr="001264C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264C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264C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, созданной в соответствии с </w:t>
      </w:r>
      <w:r w:rsidRPr="003F7C4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F7C4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F7C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24.07.2007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F7C4B">
        <w:rPr>
          <w:rFonts w:ascii="Times New Roman" w:hAnsi="Times New Roman"/>
          <w:sz w:val="28"/>
          <w:szCs w:val="28"/>
        </w:rPr>
        <w:t>209-ФЗ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F7C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». В период действия подпрограммы запланированы мероприятия информационно-консультационной, финансовой и имущественной поддержки. </w:t>
      </w:r>
    </w:p>
    <w:p w:rsidR="003656A9" w:rsidRPr="00186923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tbl>
      <w:tblPr>
        <w:tblW w:w="1034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8"/>
        <w:gridCol w:w="1135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3656A9" w:rsidRPr="00AF2F5A" w:rsidTr="003656A9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229" w:type="dxa"/>
            <w:gridSpan w:val="9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3656A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992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5102" w:type="dxa"/>
            <w:gridSpan w:val="7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426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3656A9" w:rsidRPr="00AF2F5A" w:rsidTr="003656A9">
        <w:trPr>
          <w:trHeight w:val="320"/>
          <w:tblCellSpacing w:w="5" w:type="nil"/>
        </w:trPr>
        <w:tc>
          <w:tcPr>
            <w:tcW w:w="10347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6A9" w:rsidRPr="00AF2F5A" w:rsidTr="003656A9">
        <w:trPr>
          <w:trHeight w:val="681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F2F5A" w:rsidTr="003656A9">
        <w:trPr>
          <w:trHeight w:val="973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населения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367,3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512,8</w:t>
            </w:r>
          </w:p>
        </w:tc>
        <w:tc>
          <w:tcPr>
            <w:tcW w:w="850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562,0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690,0</w:t>
            </w:r>
          </w:p>
        </w:tc>
      </w:tr>
      <w:tr w:rsidR="003656A9" w:rsidRPr="00AF2F5A" w:rsidTr="003656A9">
        <w:trPr>
          <w:trHeight w:val="252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</w:tbl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3656A9" w:rsidRPr="00AF2F5A" w:rsidSect="003656A9">
          <w:headerReference w:type="default" r:id="rId7"/>
          <w:pgSz w:w="11905" w:h="16838"/>
          <w:pgMar w:top="1134" w:right="848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hAnsi="Times New Roman"/>
          <w:sz w:val="28"/>
          <w:szCs w:val="24"/>
        </w:rPr>
        <w:t>3.1. Перечень основных мероприятий подпрограммы на 2018-2020 годы</w:t>
      </w:r>
    </w:p>
    <w:p w:rsidR="003656A9" w:rsidRPr="008A44F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691"/>
        <w:gridCol w:w="142"/>
        <w:gridCol w:w="709"/>
        <w:gridCol w:w="141"/>
        <w:gridCol w:w="851"/>
        <w:gridCol w:w="141"/>
        <w:gridCol w:w="993"/>
        <w:gridCol w:w="2268"/>
      </w:tblGrid>
      <w:tr w:rsidR="003656A9" w:rsidRPr="00876EE8" w:rsidTr="003656A9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 ники финан сирования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656A9" w:rsidRPr="00876EE8" w:rsidTr="003656A9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876EE8" w:rsidTr="003656A9">
        <w:trPr>
          <w:trHeight w:val="355"/>
        </w:trPr>
        <w:tc>
          <w:tcPr>
            <w:tcW w:w="1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Основное мероприятие: развитие МСП в городе Мурманске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16 894,9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5 892,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15 927,1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9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15 927,1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Функционирование информационного портала Координационного совета (далее - КС), да - 1, нет - 0</w:t>
            </w: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3656A9" w:rsidRPr="00876EE8" w:rsidTr="003656A9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Pr="00AD6E80" w:rsidRDefault="003656A9" w:rsidP="003656A9">
      <w:pPr>
        <w:rPr>
          <w:rFonts w:ascii="Times New Roman" w:hAnsi="Times New Roman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833"/>
        <w:gridCol w:w="709"/>
        <w:gridCol w:w="992"/>
        <w:gridCol w:w="1134"/>
        <w:gridCol w:w="2268"/>
      </w:tblGrid>
      <w:tr w:rsidR="003656A9" w:rsidRPr="00876EE8" w:rsidTr="003656A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конкурсов, выставок, ярмарок,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новых объектов, включенных в перечень муниципального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имущества города Мурманска, предназначенного для оказания имущественной поддержки субъектам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16 894,9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5 892,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15 927,1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56A9" w:rsidRP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lastRenderedPageBreak/>
        <w:t>3.2.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основных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2021-2024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92682D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3656A9" w:rsidRPr="00876EE8" w:rsidTr="003656A9">
        <w:trPr>
          <w:trHeight w:val="7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876EE8" w:rsidTr="003656A9">
        <w:trPr>
          <w:trHeight w:val="10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345"/>
        </w:trPr>
        <w:tc>
          <w:tcPr>
            <w:tcW w:w="1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начинающих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которым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были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оказаны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информационно-консультационной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</w:tr>
      <w:tr w:rsidR="003656A9" w:rsidRPr="00876EE8" w:rsidTr="003656A9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255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9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1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E7149D" w:rsidTr="003656A9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656A9" w:rsidRPr="00E7149D" w:rsidTr="003656A9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156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Pr="00A1142D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76EE8">
        <w:rPr>
          <w:rFonts w:ascii="Times New Roman" w:eastAsia="Times New Roman" w:hAnsi="Times New Roman"/>
          <w:bCs/>
          <w:sz w:val="28"/>
          <w:szCs w:val="24"/>
          <w:lang w:eastAsia="ru-RU"/>
        </w:rPr>
        <w:t>Детализация основных мероприятий на 2018-2024 годы</w:t>
      </w:r>
    </w:p>
    <w:p w:rsidR="003656A9" w:rsidRPr="00A95D61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3"/>
        <w:gridCol w:w="1276"/>
        <w:gridCol w:w="1135"/>
        <w:gridCol w:w="992"/>
        <w:gridCol w:w="992"/>
        <w:gridCol w:w="992"/>
        <w:gridCol w:w="993"/>
        <w:gridCol w:w="992"/>
        <w:gridCol w:w="992"/>
        <w:gridCol w:w="1134"/>
      </w:tblGrid>
      <w:tr w:rsidR="003656A9" w:rsidRPr="00A83330" w:rsidTr="003656A9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Объемы финансирования (тыс. руб.)</w:t>
            </w:r>
          </w:p>
        </w:tc>
      </w:tr>
      <w:tr w:rsidR="003656A9" w:rsidRPr="00A83330" w:rsidTr="003656A9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3656A9" w:rsidRPr="00A83330" w:rsidTr="003656A9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Основное мероприятие: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оказание информационно-консультационной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и финансовой поддержки субъектам МСП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в т.ч.: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38 88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A75E5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6 002,6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5 892,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5 756,0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37 913,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5 502,6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5 424,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5 756,0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947,8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659"/>
        </w:trPr>
        <w:tc>
          <w:tcPr>
            <w:tcW w:w="851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1.1.1.</w:t>
            </w:r>
          </w:p>
        </w:tc>
        <w:tc>
          <w:tcPr>
            <w:tcW w:w="4253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133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4 140,1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415,1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530,0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530,0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715,0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720,0</w:t>
            </w:r>
          </w:p>
        </w:tc>
      </w:tr>
      <w:tr w:rsidR="003656A9" w:rsidRPr="00A83330" w:rsidTr="003656A9">
        <w:trPr>
          <w:trHeight w:val="502"/>
        </w:trPr>
        <w:tc>
          <w:tcPr>
            <w:tcW w:w="851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25 205,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3 900,0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3 455,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3 450,0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3 450,0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3 600,0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3 650,0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3 700,0</w:t>
            </w:r>
          </w:p>
        </w:tc>
      </w:tr>
      <w:tr w:rsidR="003656A9" w:rsidRPr="00A83330" w:rsidTr="003656A9">
        <w:trPr>
          <w:trHeight w:val="313"/>
        </w:trPr>
        <w:tc>
          <w:tcPr>
            <w:tcW w:w="851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947,8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263"/>
        </w:trPr>
        <w:tc>
          <w:tcPr>
            <w:tcW w:w="851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516"/>
        </w:trPr>
        <w:tc>
          <w:tcPr>
            <w:tcW w:w="851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lastRenderedPageBreak/>
              <w:t>1.1.3.</w:t>
            </w:r>
          </w:p>
        </w:tc>
        <w:tc>
          <w:tcPr>
            <w:tcW w:w="4253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>Проведение городских конкурсов, выставок, ярмарок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 567,3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1 187,5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1 439,1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1 019,7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1 019,7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1 279,5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1 285,8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1 33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  <w:sectPr w:rsidR="003656A9" w:rsidRPr="00AF2F5A" w:rsidSect="003656A9">
          <w:headerReference w:type="first" r:id="rId8"/>
          <w:pgSz w:w="16838" w:h="11905" w:orient="landscape"/>
          <w:pgMar w:top="1418" w:right="1134" w:bottom="851" w:left="1134" w:header="680" w:footer="720" w:gutter="0"/>
          <w:cols w:space="720"/>
          <w:noEndnote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Детализация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информационно-справочных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функционирования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сенсорных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терминалов,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совместно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вузами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круглых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столов,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семинаров,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конференций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мастер-классов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Дополнительно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Соглашения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базе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Сбербанк.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«КПД»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собственного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корректируются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зависимости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необходимости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соответствующий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частичной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компенсации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отдельным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финансово-хозяйственной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включают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договорам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кредитования,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лизинга,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патента,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экспертизы,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присоединение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сетям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инженерно-технического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недвижимости,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выставочно-ярмарочных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затрат.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9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п.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4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статьи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8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24.07.2007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209-ФЗ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получателей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ознакомления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физических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юридических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лиц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</w:t>
      </w:r>
      <w:r>
        <w:rPr>
          <w:rFonts w:ascii="Times New Roman" w:eastAsia="Calibri" w:hAnsi="Times New Roman" w:cs="Times New Roman"/>
          <w:sz w:val="28"/>
          <w:szCs w:val="24"/>
        </w:rPr>
        <w:t>а официальном сайте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</w:t>
      </w:r>
      <w:r>
        <w:rPr>
          <w:rFonts w:ascii="Times New Roman" w:eastAsia="Calibri" w:hAnsi="Times New Roman" w:cs="Times New Roman"/>
          <w:sz w:val="28"/>
          <w:szCs w:val="24"/>
        </w:rPr>
        <w:t xml:space="preserve">ства </w:t>
      </w:r>
      <w:r>
        <w:rPr>
          <w:rFonts w:ascii="Times New Roman" w:eastAsia="Calibri" w:hAnsi="Times New Roman" w:cs="Times New Roman"/>
          <w:sz w:val="28"/>
          <w:szCs w:val="24"/>
        </w:rPr>
        <w:lastRenderedPageBreak/>
        <w:t>КС в сети Интернет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www.mp.murman.ru).</w:t>
      </w:r>
    </w:p>
    <w:p w:rsidR="003656A9" w:rsidRPr="00EB059E" w:rsidRDefault="003656A9" w:rsidP="003656A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аренду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социально-значимых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без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преференции,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главой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26.07.2006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135-ФЗ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защите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конкуренции».</w:t>
      </w:r>
    </w:p>
    <w:p w:rsidR="003656A9" w:rsidRPr="00EB059E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значимых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МСП</w:t>
      </w:r>
    </w:p>
    <w:p w:rsidR="003656A9" w:rsidRPr="00AF2F5A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156"/>
      </w:tblGrid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плетения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отходов)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  <w:vAlign w:val="center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56" w:type="dxa"/>
            <w:vAlign w:val="center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3656A9" w:rsidRPr="00AF2F5A" w:rsidTr="003656A9">
        <w:trPr>
          <w:trHeight w:val="83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(аптеках).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3656A9" w:rsidRPr="00AF2F5A" w:rsidTr="003656A9">
        <w:trPr>
          <w:trHeight w:val="562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ценам)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74.30.12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переводу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79.90.1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79.90.2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выставок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меховых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79.1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туроператоров</w:t>
            </w:r>
          </w:p>
        </w:tc>
      </w:tr>
    </w:tbl>
    <w:p w:rsidR="003656A9" w:rsidRPr="00C5247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МСП</w:t>
      </w:r>
    </w:p>
    <w:p w:rsidR="003656A9" w:rsidRPr="00AF2F5A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8318"/>
      </w:tblGrid>
      <w:tr w:rsidR="003656A9" w:rsidRPr="00AF2F5A" w:rsidTr="003656A9">
        <w:tc>
          <w:tcPr>
            <w:tcW w:w="1713" w:type="dxa"/>
            <w:shd w:val="clear" w:color="auto" w:fill="auto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Кодовое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318" w:type="dxa"/>
            <w:shd w:val="clear" w:color="auto" w:fill="auto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656A9" w:rsidRPr="00AF2F5A" w:rsidTr="003656A9">
        <w:tc>
          <w:tcPr>
            <w:tcW w:w="1713" w:type="dxa"/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8" w:type="dxa"/>
            <w:shd w:val="clear" w:color="auto" w:fill="auto"/>
          </w:tcPr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исключением: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напитками,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напитками,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моторным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топливом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рынках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палаток,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рынков)</w:t>
            </w:r>
          </w:p>
        </w:tc>
      </w:tr>
    </w:tbl>
    <w:p w:rsidR="003656A9" w:rsidRPr="00EB059E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наименование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указанных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Общероссийским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0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классификатором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(ОКВЭД2)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029-2014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(КДЭС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РЕД.2),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введенным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приказом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агентства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регулированию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метрологии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31</w:t>
      </w:r>
      <w:r>
        <w:rPr>
          <w:rFonts w:ascii="Times New Roman" w:eastAsia="Calibri" w:hAnsi="Times New Roman" w:cs="Times New Roman"/>
          <w:sz w:val="28"/>
          <w:szCs w:val="24"/>
        </w:rPr>
        <w:t>.01.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14-ст.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1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ст.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18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24.07.2007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209-ФЗ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Порядок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опубликования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предназначенного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депутатов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02.12.2009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12-158).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18.12.2009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1423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предназначенного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официальном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йте АГМ </w:t>
      </w:r>
      <w:r>
        <w:rPr>
          <w:rFonts w:ascii="Times New Roman" w:eastAsia="Calibri" w:hAnsi="Times New Roman" w:cs="Times New Roman"/>
          <w:sz w:val="28"/>
          <w:szCs w:val="24"/>
        </w:rPr>
        <w:lastRenderedPageBreak/>
        <w:t>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</w:t>
      </w:r>
      <w:r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hyperlink r:id="rId12" w:history="1">
        <w:r w:rsidRPr="006310F3">
          <w:rPr>
            <w:rFonts w:ascii="Times New Roman" w:eastAsia="Calibri" w:hAnsi="Times New Roman" w:cs="Times New Roman"/>
            <w:sz w:val="28"/>
            <w:szCs w:val="24"/>
          </w:rPr>
          <w:t>www.mp.murman.ru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B2DDB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соответствии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3" w:history="1">
        <w:r w:rsidRPr="00FB2DDB">
          <w:rPr>
            <w:rFonts w:ascii="Times New Roman" w:hAnsi="Times New Roman"/>
            <w:sz w:val="28"/>
            <w:szCs w:val="24"/>
          </w:rPr>
          <w:t>п.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4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ст.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8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закона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24.07.2007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209-ФЗ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развитии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Федерации»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приказом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Министерства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экономического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развития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31</w:t>
      </w:r>
      <w:r>
        <w:rPr>
          <w:rFonts w:ascii="Times New Roman" w:hAnsi="Times New Roman"/>
          <w:sz w:val="28"/>
          <w:szCs w:val="24"/>
        </w:rPr>
        <w:t>.05.2017 № 262 «Об утверждении П</w:t>
      </w:r>
      <w:r w:rsidRPr="00FB2DDB">
        <w:rPr>
          <w:rFonts w:ascii="Times New Roman" w:hAnsi="Times New Roman"/>
          <w:sz w:val="28"/>
          <w:szCs w:val="24"/>
        </w:rPr>
        <w:t>орядка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ведения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субъектов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и среднего предпринимательства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получателей поддержки и Т</w:t>
      </w:r>
      <w:r w:rsidRPr="00FB2DDB">
        <w:rPr>
          <w:rFonts w:ascii="Times New Roman" w:hAnsi="Times New Roman"/>
          <w:sz w:val="28"/>
          <w:szCs w:val="24"/>
        </w:rPr>
        <w:t>ребований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технологическим,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программным,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лингвистическим,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правовым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организационным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средствам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обеспечения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пользования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указанными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реестрами»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КИО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ведется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субъектов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предпринимательства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получателей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имущественной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поддержки.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Данный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размещен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для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ознакомления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ним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физических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юридических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лиц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а официальном сайте АГМ (</w:t>
      </w:r>
      <w:r w:rsidRPr="00FB2DDB">
        <w:rPr>
          <w:rFonts w:ascii="Times New Roman" w:hAnsi="Times New Roman"/>
          <w:sz w:val="28"/>
          <w:szCs w:val="24"/>
        </w:rPr>
        <w:t>www.citymurmansk.ru)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портале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информационной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поддержки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</w:t>
      </w:r>
      <w:r>
        <w:rPr>
          <w:rFonts w:ascii="Times New Roman" w:hAnsi="Times New Roman"/>
          <w:sz w:val="28"/>
          <w:szCs w:val="24"/>
        </w:rPr>
        <w:t>ства КС в сети Интернет (</w:t>
      </w:r>
      <w:r w:rsidRPr="00FB2DDB">
        <w:rPr>
          <w:rFonts w:ascii="Times New Roman" w:hAnsi="Times New Roman"/>
          <w:sz w:val="28"/>
          <w:szCs w:val="24"/>
        </w:rPr>
        <w:t>www.mp.murman.ru).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ярмарок.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проводятся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ярмарки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конкурсы: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«КПД»;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возмещения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затрат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общегородской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«Гермес»;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ярмарка «Арктическая кухня» в рамках фестиваля «Гольфстрим»;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ярмарочная торговля «Новогодний базар».</w:t>
      </w:r>
    </w:p>
    <w:p w:rsidR="003656A9" w:rsidRPr="009502AA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851"/>
        <w:gridCol w:w="850"/>
        <w:gridCol w:w="850"/>
        <w:gridCol w:w="851"/>
        <w:gridCol w:w="850"/>
        <w:gridCol w:w="992"/>
      </w:tblGrid>
      <w:tr w:rsidR="003656A9" w:rsidRPr="00876EE8" w:rsidTr="003656A9">
        <w:trPr>
          <w:trHeight w:val="540"/>
          <w:tblCellSpacing w:w="5" w:type="nil"/>
        </w:trPr>
        <w:tc>
          <w:tcPr>
            <w:tcW w:w="2410" w:type="dxa"/>
            <w:vMerge w:val="restart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Всего,</w:t>
            </w:r>
          </w:p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 том числе по годам</w:t>
            </w:r>
          </w:p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реализации, тыс. руб.</w:t>
            </w:r>
          </w:p>
        </w:tc>
      </w:tr>
      <w:tr w:rsidR="003656A9" w:rsidRPr="00876EE8" w:rsidTr="003656A9">
        <w:trPr>
          <w:tblCellSpacing w:w="5" w:type="nil"/>
        </w:trPr>
        <w:tc>
          <w:tcPr>
            <w:tcW w:w="2410" w:type="dxa"/>
            <w:vMerge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2024</w:t>
            </w:r>
          </w:p>
        </w:tc>
      </w:tr>
      <w:tr w:rsidR="003656A9" w:rsidRPr="008A7009" w:rsidTr="003656A9">
        <w:trPr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Всего по подпрограмме: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38 88</w:t>
            </w:r>
            <w:r>
              <w:rPr>
                <w:rFonts w:ascii="Times New Roman" w:hAnsi="Times New Roman"/>
              </w:rPr>
              <w:t>0</w:t>
            </w:r>
            <w:r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6 002,6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5 892,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 том числе за счет: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656A9" w:rsidRPr="008A7009" w:rsidTr="003656A9">
        <w:trPr>
          <w:trHeight w:val="951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бюджета муниципального образования город Мурманск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37 913,2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5 502,6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5 424,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rHeight w:val="162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областного бюджета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967,8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467,8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федерального бюджета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 том числе по заказчикам: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КЭР АГМ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38 88</w:t>
            </w:r>
            <w:r>
              <w:rPr>
                <w:rFonts w:ascii="Times New Roman" w:hAnsi="Times New Roman"/>
              </w:rPr>
              <w:t>0</w:t>
            </w:r>
            <w:r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6 002,6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5 892,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КИО</w:t>
            </w:r>
          </w:p>
        </w:tc>
        <w:tc>
          <w:tcPr>
            <w:tcW w:w="1134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</w:tbl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8A7009">
        <w:rPr>
          <w:rFonts w:ascii="Times New Roman" w:eastAsia="Calibri" w:hAnsi="Times New Roman" w:cs="Times New Roman"/>
          <w:sz w:val="28"/>
          <w:szCs w:val="24"/>
        </w:rPr>
        <w:t>Софинансирование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счет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средств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областного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случае проведения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Министерством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промышленности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предпринимательства.</w:t>
      </w:r>
    </w:p>
    <w:p w:rsidR="003656A9" w:rsidRPr="008A700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587"/>
      <w:bookmarkEnd w:id="2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Координатором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участники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КИО;</w:t>
      </w:r>
    </w:p>
    <w:p w:rsidR="003656A9" w:rsidRPr="00EB059E" w:rsidRDefault="003656A9" w:rsidP="003656A9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МСП;</w:t>
      </w:r>
    </w:p>
    <w:p w:rsidR="003656A9" w:rsidRPr="00EB059E" w:rsidRDefault="003656A9" w:rsidP="003656A9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кредитные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  <w:r w:rsidRPr="00EB059E">
        <w:rPr>
          <w:rFonts w:ascii="Times New Roman" w:eastAsia="Calibri" w:hAnsi="Times New Roman" w:cs="Times New Roman"/>
          <w:sz w:val="28"/>
          <w:szCs w:val="24"/>
        </w:rPr>
        <w:tab/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участники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взаимодействуют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(семинары,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конференции,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тренинги)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работе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Координационного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заседаниях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комиссий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полугодие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месяцев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текущего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(нарастающим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итогом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месяца,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бумажном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электронном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носителях.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готовит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годовые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февраля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отчетным,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программы.</w:t>
      </w:r>
    </w:p>
    <w:p w:rsidR="003656A9" w:rsidRPr="00BF2B2C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599"/>
      <w:bookmarkEnd w:id="3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B41597">
        <w:rPr>
          <w:rFonts w:ascii="Times New Roman" w:eastAsia="Calibri" w:hAnsi="Times New Roman" w:cs="Times New Roman"/>
          <w:sz w:val="28"/>
          <w:szCs w:val="24"/>
        </w:rPr>
        <w:t>6.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реализации</w:t>
      </w:r>
    </w:p>
    <w:p w:rsidR="003656A9" w:rsidRPr="00BF2B2C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позволит: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в том числе посредством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КС,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5000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граждан;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обучить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5000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граждан,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желающих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открыть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собственное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дело,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семинарах,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мастер-классах,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курсах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квалификации;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100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ов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популяризации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пропаганде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путем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менее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хозяйствующих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потребительского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рынка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благодаря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бытового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обслуживания,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менее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двух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выставочно-ярмарочных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свыше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производится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Методикой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и/или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внешних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реагирование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нормативно-правовых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договорных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обязательств,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победителем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аукциона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может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дальнейшем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расторжение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из-за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</w:p>
    <w:p w:rsidR="001D49D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внутренних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заказов.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объемов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приведет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минимуму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финансовых,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рисков.</w:t>
      </w: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P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1D49D9" w:rsidRDefault="001D49D9" w:rsidP="001D49D9">
      <w:pPr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1D49D9" w:rsidP="001D49D9">
      <w:pPr>
        <w:tabs>
          <w:tab w:val="left" w:pos="46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bookmarkStart w:id="4" w:name="_GoBack"/>
      <w:bookmarkEnd w:id="4"/>
    </w:p>
    <w:sectPr w:rsidR="003656A9" w:rsidSect="001D49D9">
      <w:pgSz w:w="11905" w:h="16838"/>
      <w:pgMar w:top="1134" w:right="851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  <w:footnote w:id="1">
    <w:p w:rsidR="003656A9" w:rsidRPr="00D91724" w:rsidRDefault="003656A9" w:rsidP="003656A9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расчет показателя осуществляется на основании данных Мурманскстата и Единого реестра субъектов малого и среднего предпринимательства (</w:t>
      </w:r>
      <w:hyperlink r:id="rId1" w:history="1"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rmsp.nalog.ru/search.html?mode=extended</w:t>
        </w:r>
      </w:hyperlink>
      <w:r w:rsidRPr="00D91724">
        <w:rPr>
          <w:rFonts w:ascii="Times New Roman" w:hAnsi="Times New Roman"/>
          <w:sz w:val="18"/>
          <w:szCs w:val="18"/>
        </w:rPr>
        <w:t xml:space="preserve">). </w:t>
      </w:r>
    </w:p>
  </w:footnote>
  <w:footnote w:id="2">
    <w:p w:rsidR="003656A9" w:rsidRPr="00340CF6" w:rsidRDefault="003656A9" w:rsidP="003656A9">
      <w:pPr>
        <w:pStyle w:val="af0"/>
        <w:spacing w:after="0" w:line="240" w:lineRule="auto"/>
        <w:jc w:val="both"/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2016 - в соответствии с данными Единого реестра субъектов малого и среднего предпринимательства (</w:t>
      </w:r>
      <w:hyperlink r:id="rId2" w:history="1"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rmsp.nalog.ru/search.html?mode=extended</w:t>
        </w:r>
      </w:hyperlink>
      <w:r w:rsidRPr="00D91724">
        <w:rPr>
          <w:rFonts w:ascii="Times New Roman" w:hAnsi="Times New Roman"/>
          <w:sz w:val="18"/>
          <w:szCs w:val="18"/>
        </w:rPr>
        <w:t>).</w:t>
      </w:r>
      <w:r w:rsidRPr="00340CF6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99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56A9" w:rsidRPr="003656A9" w:rsidRDefault="003656A9" w:rsidP="003656A9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656A9">
          <w:rPr>
            <w:rFonts w:ascii="Times New Roman" w:hAnsi="Times New Roman"/>
            <w:sz w:val="28"/>
            <w:szCs w:val="28"/>
          </w:rPr>
          <w:fldChar w:fldCharType="begin"/>
        </w:r>
        <w:r w:rsidRPr="003656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56A9">
          <w:rPr>
            <w:rFonts w:ascii="Times New Roman" w:hAnsi="Times New Roman"/>
            <w:sz w:val="28"/>
            <w:szCs w:val="28"/>
          </w:rPr>
          <w:fldChar w:fldCharType="separate"/>
        </w:r>
        <w:r w:rsidR="001D49D9">
          <w:rPr>
            <w:rFonts w:ascii="Times New Roman" w:hAnsi="Times New Roman"/>
            <w:noProof/>
            <w:sz w:val="28"/>
            <w:szCs w:val="28"/>
          </w:rPr>
          <w:t>6</w:t>
        </w:r>
        <w:r w:rsidRPr="003656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A9"/>
    <w:rsid w:val="001D49D9"/>
    <w:rsid w:val="003656A9"/>
    <w:rsid w:val="006C441C"/>
    <w:rsid w:val="009B4E7B"/>
    <w:rsid w:val="00E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249F5-7144-4BD3-9C17-3B68ACB2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C0862AFD6666DB49BE8F0AD013A229E414277258B009936C863C9A688CC2EDA7E02D64EM3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p.mur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0862AFD6666DB49BE8F0AD013A229E414277258B009936C863C9A688CC2EDA7E02D64EM3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C0C29D3ACB32B49018F93B36B60F6F3C6FFE459F0C65319529F421C4H1o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862AFD6666DB49BE8F0AD013A229E414277258B009936C863C9A688CC2EDA7E02D64EM3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msp.nalog.ru/search.html?mode=extended" TargetMode="External"/><Relationship Id="rId1" Type="http://schemas.openxmlformats.org/officeDocument/2006/relationships/hyperlink" Target="https://rmsp.nalog.ru/search.html?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</cp:revision>
  <dcterms:created xsi:type="dcterms:W3CDTF">2019-06-28T06:57:00Z</dcterms:created>
  <dcterms:modified xsi:type="dcterms:W3CDTF">2019-06-28T07:57:00Z</dcterms:modified>
</cp:coreProperties>
</file>