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V. Подпрограмма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на 2018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2024 годы</w:t>
      </w: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1F6E0C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7"/>
      </w:tblGrid>
      <w:tr w:rsidR="00B93F13" w:rsidRPr="001F6E0C" w:rsidTr="00BF5BB6">
        <w:trPr>
          <w:trHeight w:val="872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1F6E0C" w:rsidRDefault="00B93F13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1F6E0C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1F6E0C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1F6E0C" w:rsidTr="00BF5BB6">
        <w:trPr>
          <w:trHeight w:val="85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93F13" w:rsidRPr="001F6E0C" w:rsidTr="00BF5BB6">
        <w:trPr>
          <w:trHeight w:val="1144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</w:tr>
      <w:tr w:rsidR="00B93F13" w:rsidRPr="001F6E0C" w:rsidTr="00BF5BB6">
        <w:trPr>
          <w:trHeight w:val="619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B93F13" w:rsidRPr="001F6E0C" w:rsidTr="00BF5BB6">
        <w:trPr>
          <w:trHeight w:val="40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1F6E0C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3" w:rsidRPr="001F6E0C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198 994,5 тыс. руб., в том числе:</w:t>
            </w:r>
          </w:p>
          <w:p w:rsidR="00542F13" w:rsidRPr="001F6E0C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198 994,5 тыс. руб., из них:</w:t>
            </w:r>
          </w:p>
          <w:p w:rsidR="00542F13" w:rsidRPr="001F6E0C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30 000,0 тыс. руб.; </w:t>
            </w:r>
          </w:p>
          <w:p w:rsidR="00542F13" w:rsidRPr="001F6E0C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18 994,5 тыс. руб.; </w:t>
            </w:r>
          </w:p>
          <w:p w:rsidR="00542F13" w:rsidRPr="001F6E0C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30 000,0 тыс. руб.; </w:t>
            </w:r>
          </w:p>
          <w:p w:rsidR="00542F13" w:rsidRPr="001F6E0C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30 000,0 тыс. руб.; </w:t>
            </w:r>
          </w:p>
          <w:p w:rsidR="00542F13" w:rsidRPr="001F6E0C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30 000,0 тыс. руб.; </w:t>
            </w:r>
          </w:p>
          <w:p w:rsidR="00542F13" w:rsidRPr="001F6E0C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30 000,0 тыс. руб.; </w:t>
            </w:r>
          </w:p>
          <w:p w:rsidR="00B93F13" w:rsidRPr="001F6E0C" w:rsidRDefault="00542F13" w:rsidP="00542F13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30 000,0 тыс. руб.</w:t>
            </w:r>
          </w:p>
        </w:tc>
      </w:tr>
      <w:tr w:rsidR="00B93F13" w:rsidRPr="001F6E0C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447BD5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  <w:r w:rsidR="00182BAD" w:rsidRPr="001F6E0C">
              <w:rPr>
                <w:rFonts w:ascii="Times New Roman" w:hAnsi="Times New Roman"/>
                <w:sz w:val="24"/>
                <w:szCs w:val="24"/>
              </w:rPr>
              <w:t>,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07610" w:rsidRPr="001F6E0C">
              <w:rPr>
                <w:rFonts w:ascii="Times New Roman" w:hAnsi="Times New Roman"/>
                <w:sz w:val="24"/>
                <w:szCs w:val="24"/>
              </w:rPr>
              <w:t>19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 xml:space="preserve"> ед. к концу 2024 года</w:t>
            </w:r>
          </w:p>
        </w:tc>
      </w:tr>
    </w:tbl>
    <w:p w:rsidR="002D06F9" w:rsidRPr="001F6E0C" w:rsidRDefault="002D06F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DB7869" w:rsidRPr="001F6E0C" w:rsidRDefault="00DB7869" w:rsidP="00FA7BB0">
      <w:pPr>
        <w:tabs>
          <w:tab w:val="left" w:pos="1594"/>
          <w:tab w:val="left" w:pos="2470"/>
          <w:tab w:val="left" w:pos="3590"/>
          <w:tab w:val="left" w:pos="564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Особенно остро в городе Мурманске стоит проблема обеспечения жильем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307610" w:rsidRPr="001F6E0C">
        <w:rPr>
          <w:rFonts w:ascii="Times New Roman" w:hAnsi="Times New Roman"/>
          <w:bCs/>
          <w:sz w:val="28"/>
          <w:szCs w:val="28"/>
        </w:rPr>
        <w:t>23</w:t>
      </w:r>
      <w:r w:rsidRPr="001F6E0C">
        <w:rPr>
          <w:rFonts w:ascii="Times New Roman" w:hAnsi="Times New Roman"/>
          <w:bCs/>
          <w:sz w:val="28"/>
          <w:szCs w:val="28"/>
        </w:rPr>
        <w:t>.</w:t>
      </w:r>
      <w:r w:rsidR="00307610" w:rsidRPr="001F6E0C">
        <w:rPr>
          <w:rFonts w:ascii="Times New Roman" w:hAnsi="Times New Roman"/>
          <w:bCs/>
          <w:sz w:val="28"/>
          <w:szCs w:val="28"/>
        </w:rPr>
        <w:t>10</w:t>
      </w:r>
      <w:r w:rsidRPr="001F6E0C">
        <w:rPr>
          <w:rFonts w:ascii="Times New Roman" w:hAnsi="Times New Roman"/>
          <w:bCs/>
          <w:sz w:val="28"/>
          <w:szCs w:val="28"/>
        </w:rPr>
        <w:t>.201</w:t>
      </w:r>
      <w:r w:rsidR="00B418C9" w:rsidRPr="001F6E0C">
        <w:rPr>
          <w:rFonts w:ascii="Times New Roman" w:hAnsi="Times New Roman"/>
          <w:bCs/>
          <w:sz w:val="28"/>
          <w:szCs w:val="28"/>
        </w:rPr>
        <w:t>8</w:t>
      </w:r>
      <w:r w:rsidRPr="001F6E0C">
        <w:rPr>
          <w:rFonts w:ascii="Times New Roman" w:hAnsi="Times New Roman"/>
          <w:bCs/>
          <w:sz w:val="28"/>
          <w:szCs w:val="28"/>
        </w:rPr>
        <w:t xml:space="preserve"> на учете в качестве нуждающихся состоят 8</w:t>
      </w:r>
      <w:r w:rsidR="00A1694A" w:rsidRPr="001F6E0C">
        <w:rPr>
          <w:rFonts w:ascii="Times New Roman" w:hAnsi="Times New Roman"/>
          <w:bCs/>
          <w:sz w:val="28"/>
          <w:szCs w:val="28"/>
        </w:rPr>
        <w:t>478</w:t>
      </w:r>
      <w:r w:rsidRPr="001F6E0C">
        <w:rPr>
          <w:rFonts w:ascii="Times New Roman" w:hAnsi="Times New Roman"/>
          <w:bCs/>
          <w:sz w:val="28"/>
          <w:szCs w:val="28"/>
        </w:rPr>
        <w:t xml:space="preserve"> семей, из них </w:t>
      </w:r>
      <w:r w:rsidR="00A1694A" w:rsidRPr="001F6E0C">
        <w:rPr>
          <w:rFonts w:ascii="Times New Roman" w:hAnsi="Times New Roman"/>
          <w:bCs/>
          <w:sz w:val="28"/>
          <w:szCs w:val="28"/>
        </w:rPr>
        <w:t>29</w:t>
      </w:r>
      <w:r w:rsidRPr="001F6E0C">
        <w:rPr>
          <w:rFonts w:ascii="Times New Roman" w:hAnsi="Times New Roman"/>
          <w:bCs/>
          <w:sz w:val="28"/>
          <w:szCs w:val="28"/>
        </w:rPr>
        <w:t xml:space="preserve"> очередников располагают правом на внеочередное предоставление жилого помещения.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течение последних 10 лет жилые помещения предоставляются гражданам, принятым на учет в качестве нуждающихся в жилых помещениях в 1985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Pr="001F6E0C">
        <w:rPr>
          <w:rFonts w:ascii="Times New Roman" w:hAnsi="Times New Roman"/>
          <w:bCs/>
          <w:sz w:val="28"/>
          <w:szCs w:val="28"/>
        </w:rPr>
        <w:t>1986 годах.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Из общего количества граждан, состоящих на учете, только 1</w:t>
      </w:r>
      <w:r w:rsidR="00A1694A" w:rsidRPr="001F6E0C">
        <w:rPr>
          <w:rFonts w:ascii="Times New Roman" w:hAnsi="Times New Roman"/>
          <w:bCs/>
          <w:sz w:val="28"/>
          <w:szCs w:val="28"/>
        </w:rPr>
        <w:t>25</w:t>
      </w:r>
      <w:r w:rsidRPr="001F6E0C">
        <w:rPr>
          <w:rFonts w:ascii="Times New Roman" w:hAnsi="Times New Roman"/>
          <w:bCs/>
          <w:sz w:val="28"/>
          <w:szCs w:val="28"/>
        </w:rPr>
        <w:t xml:space="preserve"> очередников могут рассчитывать на меры социальной поддержки по обеспечению жильем за счет средств федерального бюджета, остальные граждане подлежат обеспечению за счет средств муниципалитета.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связи с длительным отсутствием в городе жилищного строительства очередники обеспечивались жилыми помещениями, освобождающимися по различным причинам (в связи высвобождением жилых помещений гражданами, выезжающими из районов Крайнего Севера, в связи со смертью нанимателей и собственников жилых помещений).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Количества освобождающихся жилых помещений крайне недостаточно для обеспечения жилыми помещениями граждан, нуждающихся в улучшении жилищных условий.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благоустроенным жильем малоимущих граждан и снизить социальную напряженность.</w:t>
      </w: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2. </w:t>
      </w:r>
      <w:r w:rsidRPr="001F6E0C">
        <w:rPr>
          <w:rFonts w:ascii="Times New Roman" w:hAnsi="Times New Roman"/>
          <w:bCs/>
          <w:color w:val="000000" w:themeColor="text1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</w:p>
    <w:p w:rsidR="00DB7869" w:rsidRPr="001F6E0C" w:rsidRDefault="00DB7869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7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B76477" w:rsidRPr="001F6E0C" w:rsidTr="00E21FA1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1F6E0C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1F6E0C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52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1F6E0C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1F6E0C" w:rsidTr="00E21FA1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1F6E0C" w:rsidTr="00E21FA1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76477" w:rsidRPr="001F6E0C" w:rsidTr="00E21FA1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A40EB3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A40EB3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1F6E0C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6477" w:rsidRPr="001F6E0C" w:rsidRDefault="00B76477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DB7869" w:rsidRPr="001F6E0C" w:rsidRDefault="00DB7869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Малоимущим гражданам жилые помещения предоставляются в соответствии со статьей 57 Жилищного кодекса Российской Федерации </w:t>
      </w:r>
      <w:r w:rsidRPr="001F6E0C">
        <w:rPr>
          <w:rFonts w:ascii="Times New Roman" w:hAnsi="Times New Roman"/>
          <w:bCs/>
          <w:sz w:val="28"/>
          <w:szCs w:val="28"/>
        </w:rPr>
        <w:br/>
      </w:r>
      <w:r w:rsidR="00047C76" w:rsidRPr="001F6E0C">
        <w:rPr>
          <w:rFonts w:ascii="Times New Roman" w:hAnsi="Times New Roman"/>
          <w:sz w:val="28"/>
          <w:szCs w:val="28"/>
        </w:rPr>
        <w:t>–</w:t>
      </w:r>
      <w:r w:rsidRPr="001F6E0C">
        <w:rPr>
          <w:rFonts w:ascii="Times New Roman" w:hAnsi="Times New Roman"/>
          <w:bCs/>
          <w:sz w:val="28"/>
          <w:szCs w:val="28"/>
        </w:rPr>
        <w:t xml:space="preserve"> в порядке очередности исходя из времени принятия на учет нуждающихся в предоставлении жилых помещений по договору социального найма.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1F6E0C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приобретения жилья для малоимущих граждан, состоящих на учете в качестве нуждающихся в жилых помещениях, предоставляемых по договорам социального найма, произведен с использованием стоимости одного квадратного метра общей площади благоустроенного жилья на </w:t>
      </w:r>
      <w:r w:rsidR="00264380" w:rsidRPr="001F6E0C">
        <w:rPr>
          <w:rFonts w:ascii="Times New Roman" w:hAnsi="Times New Roman"/>
          <w:bCs/>
          <w:sz w:val="28"/>
          <w:szCs w:val="28"/>
        </w:rPr>
        <w:t>рынке недвижимости города Мурманска, установленной на основании официальных данных Территориального органа Федеральной службы государственной статистики по Мурманской области (</w:t>
      </w:r>
      <w:proofErr w:type="spellStart"/>
      <w:r w:rsidR="00264380" w:rsidRPr="001F6E0C">
        <w:rPr>
          <w:rFonts w:ascii="Times New Roman" w:hAnsi="Times New Roman"/>
          <w:bCs/>
          <w:sz w:val="28"/>
          <w:szCs w:val="28"/>
        </w:rPr>
        <w:t>Мурманскстат</w:t>
      </w:r>
      <w:proofErr w:type="spellEnd"/>
      <w:r w:rsidR="00264380" w:rsidRPr="001F6E0C">
        <w:rPr>
          <w:rFonts w:ascii="Times New Roman" w:hAnsi="Times New Roman"/>
          <w:bCs/>
          <w:sz w:val="28"/>
          <w:szCs w:val="28"/>
        </w:rPr>
        <w:t>) о средней цене за один квадратный метр общей площади квартир на вторичном рынке жилья в городе Мурманске в 1 квартале 2015 года.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Для определения объема финансовых средств, необходимых для реализации подпрограммы в части приобретения жилых помещений для малоимущих граждан, состоящих на учете в качестве нуждающихся в жилых помещениях, предоставляемых по договорам социального найма, стоимость одного квадратного метра общей площади благоустроенного жилья установлена в размере 55,0 тыс. руб. 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При этом 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DB7869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при приобретении жилых помещений на первичном рынке жилья </w:t>
      </w:r>
      <w:r w:rsidR="00047C76" w:rsidRPr="001F6E0C">
        <w:rPr>
          <w:rFonts w:ascii="Times New Roman" w:hAnsi="Times New Roman"/>
          <w:sz w:val="28"/>
          <w:szCs w:val="28"/>
        </w:rPr>
        <w:t>–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55,0 тыс. руб.;</w:t>
      </w:r>
    </w:p>
    <w:p w:rsidR="00DB7869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при приобретении жилых помещений на вторичном рынке жилья </w:t>
      </w:r>
      <w:r w:rsidR="00DB7869" w:rsidRPr="001F6E0C">
        <w:rPr>
          <w:rFonts w:ascii="Times New Roman" w:hAnsi="Times New Roman"/>
          <w:bCs/>
          <w:sz w:val="28"/>
          <w:szCs w:val="28"/>
        </w:rPr>
        <w:br/>
      </w:r>
      <w:r w:rsidR="00047C76" w:rsidRPr="001F6E0C">
        <w:rPr>
          <w:rFonts w:ascii="Times New Roman" w:hAnsi="Times New Roman"/>
          <w:sz w:val="28"/>
          <w:szCs w:val="28"/>
        </w:rPr>
        <w:t>–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05.04.2013 № 44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1F6E0C">
        <w:rPr>
          <w:rFonts w:ascii="Times New Roman" w:hAnsi="Times New Roman"/>
          <w:bCs/>
          <w:sz w:val="28"/>
          <w:szCs w:val="28"/>
        </w:rPr>
        <w:t>«</w:t>
      </w:r>
      <w:r w:rsidR="00DB7869" w:rsidRPr="001F6E0C">
        <w:rPr>
          <w:rFonts w:ascii="Times New Roman" w:hAnsi="Times New Roman"/>
          <w:bCs/>
          <w:sz w:val="28"/>
          <w:szCs w:val="28"/>
        </w:rPr>
        <w:t>О</w:t>
      </w:r>
      <w:r w:rsidR="00DB7869" w:rsidRPr="001F6E0C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FB2D46" w:rsidRPr="001F6E0C">
        <w:rPr>
          <w:rFonts w:ascii="Times New Roman" w:hAnsi="Times New Roman"/>
          <w:bCs/>
          <w:sz w:val="28"/>
          <w:szCs w:val="28"/>
        </w:rPr>
        <w:t>»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(далее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1F6E0C">
        <w:rPr>
          <w:rFonts w:ascii="Times New Roman" w:hAnsi="Times New Roman"/>
          <w:bCs/>
          <w:sz w:val="28"/>
          <w:szCs w:val="28"/>
        </w:rPr>
        <w:t>Закон 44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>ФЗ).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жилья, установленной подпрограммой или определенной в соответствии с требованиями Закона 44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Pr="001F6E0C">
        <w:rPr>
          <w:rFonts w:ascii="Times New Roman" w:hAnsi="Times New Roman"/>
          <w:bCs/>
          <w:sz w:val="28"/>
          <w:szCs w:val="28"/>
        </w:rPr>
        <w:t>ФЗ, на общую площадь жилого помещения, которое требуется приобрести.</w:t>
      </w:r>
    </w:p>
    <w:p w:rsidR="00042D5C" w:rsidRPr="001F6E0C" w:rsidRDefault="00042D5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042D5C" w:rsidRPr="001F6E0C" w:rsidRDefault="00042D5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083"/>
        <w:gridCol w:w="854"/>
        <w:gridCol w:w="854"/>
        <w:gridCol w:w="854"/>
        <w:gridCol w:w="854"/>
        <w:gridCol w:w="854"/>
        <w:gridCol w:w="854"/>
        <w:gridCol w:w="854"/>
      </w:tblGrid>
      <w:tr w:rsidR="00542F13" w:rsidRPr="001F6E0C" w:rsidTr="00A20264">
        <w:trPr>
          <w:tblHeader/>
        </w:trPr>
        <w:tc>
          <w:tcPr>
            <w:tcW w:w="2633" w:type="dxa"/>
            <w:vMerge w:val="restart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978" w:type="dxa"/>
            <w:gridSpan w:val="7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542F13" w:rsidRPr="001F6E0C" w:rsidTr="00A20264">
        <w:trPr>
          <w:trHeight w:val="53"/>
          <w:tblHeader/>
        </w:trPr>
        <w:tc>
          <w:tcPr>
            <w:tcW w:w="2633" w:type="dxa"/>
            <w:vMerge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2018 год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2019 год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2020 год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2021 год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2022 год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2024 год</w:t>
            </w:r>
          </w:p>
        </w:tc>
      </w:tr>
      <w:tr w:rsidR="00542F13" w:rsidRPr="001F6E0C" w:rsidTr="00A20264">
        <w:trPr>
          <w:tblHeader/>
        </w:trPr>
        <w:tc>
          <w:tcPr>
            <w:tcW w:w="263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542F13" w:rsidRPr="001F6E0C" w:rsidTr="00A20264">
        <w:tc>
          <w:tcPr>
            <w:tcW w:w="263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08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198994,5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</w:tr>
      <w:tr w:rsidR="00542F13" w:rsidRPr="001F6E0C" w:rsidTr="00A20264">
        <w:tc>
          <w:tcPr>
            <w:tcW w:w="9694" w:type="dxa"/>
            <w:gridSpan w:val="9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в том числе за счет:</w:t>
            </w:r>
          </w:p>
        </w:tc>
      </w:tr>
      <w:tr w:rsidR="00542F13" w:rsidRPr="001F6E0C" w:rsidTr="00A20264">
        <w:tc>
          <w:tcPr>
            <w:tcW w:w="263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8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198994,5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</w:tr>
      <w:tr w:rsidR="00542F13" w:rsidRPr="001F6E0C" w:rsidTr="00A20264">
        <w:tc>
          <w:tcPr>
            <w:tcW w:w="263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08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42F13" w:rsidRPr="001F6E0C" w:rsidTr="00A20264">
        <w:tc>
          <w:tcPr>
            <w:tcW w:w="263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08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42F13" w:rsidRPr="001F6E0C" w:rsidTr="00A20264">
        <w:tc>
          <w:tcPr>
            <w:tcW w:w="263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08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42F13" w:rsidRPr="001F6E0C" w:rsidTr="00A20264">
        <w:tc>
          <w:tcPr>
            <w:tcW w:w="263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083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1F6E0C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53463" w:rsidRPr="001F6E0C" w:rsidRDefault="00253463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1F6E0C" w:rsidRDefault="0083770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5</w:t>
      </w:r>
      <w:r w:rsidR="00DB7869" w:rsidRPr="001F6E0C">
        <w:rPr>
          <w:rFonts w:ascii="Times New Roman" w:hAnsi="Times New Roman"/>
          <w:bCs/>
          <w:sz w:val="28"/>
          <w:szCs w:val="28"/>
        </w:rPr>
        <w:t>. Оценка эффективности подпрограммы, рисков ее реализации</w:t>
      </w:r>
    </w:p>
    <w:p w:rsidR="00DB7869" w:rsidRPr="001F6E0C" w:rsidRDefault="00DB7869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67558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Планируемым р</w:t>
      </w:r>
      <w:r w:rsidR="00DB7869" w:rsidRPr="001F6E0C">
        <w:rPr>
          <w:rFonts w:ascii="Times New Roman" w:hAnsi="Times New Roman"/>
          <w:bCs/>
          <w:sz w:val="28"/>
          <w:szCs w:val="28"/>
        </w:rPr>
        <w:t>езультатом реализации подпрограммы является обеспечение благоустроенным жильем 105 семей малоимущих граждан.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Мурманска, утвержденным постановлением администрации города Мурманска от 21.08.2013 № 2143.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Внешние риски </w:t>
      </w:r>
      <w:r w:rsidRPr="001F6E0C">
        <w:rPr>
          <w:rFonts w:ascii="Times New Roman" w:hAnsi="Times New Roman"/>
          <w:bCs/>
          <w:sz w:val="28"/>
          <w:szCs w:val="28"/>
        </w:rPr>
        <w:t>подпрограммы</w:t>
      </w:r>
      <w:r w:rsidRPr="001F6E0C">
        <w:rPr>
          <w:rFonts w:ascii="Times New Roman" w:hAnsi="Times New Roman"/>
          <w:sz w:val="28"/>
          <w:szCs w:val="28"/>
        </w:rPr>
        <w:t>: изменения федерального и/или регионального законодательства.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правовых актов.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Внутренние риски подпрограммы: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 связи с тем, что гражданам должны быть предоставлены жилые помещения с определенными характеристиками,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Pr="001F6E0C">
        <w:rPr>
          <w:rFonts w:ascii="Times New Roman" w:hAnsi="Times New Roman"/>
          <w:sz w:val="28"/>
          <w:szCs w:val="28"/>
        </w:rPr>
        <w:t>своевременное и качественное составление документации при размещении муниципальн</w:t>
      </w:r>
      <w:r w:rsidR="0067558C" w:rsidRPr="001F6E0C">
        <w:rPr>
          <w:rFonts w:ascii="Times New Roman" w:hAnsi="Times New Roman"/>
          <w:sz w:val="28"/>
          <w:szCs w:val="28"/>
        </w:rPr>
        <w:t>ого заказа</w:t>
      </w:r>
      <w:r w:rsidRPr="001F6E0C">
        <w:rPr>
          <w:rFonts w:ascii="Times New Roman" w:hAnsi="Times New Roman"/>
          <w:sz w:val="28"/>
          <w:szCs w:val="28"/>
        </w:rPr>
        <w:t>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 w:rsidRPr="001F6E0C">
        <w:rPr>
          <w:rFonts w:ascii="Times New Roman" w:hAnsi="Times New Roman"/>
          <w:bCs/>
          <w:sz w:val="28"/>
          <w:szCs w:val="28"/>
        </w:rPr>
        <w:t>подпрограммы</w:t>
      </w:r>
      <w:r w:rsidRPr="001F6E0C">
        <w:rPr>
          <w:rFonts w:ascii="Times New Roman" w:hAnsi="Times New Roman"/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042D5C" w:rsidRPr="001F6E0C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042D5C" w:rsidRPr="001F6E0C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DB7869" w:rsidRPr="001F6E0C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1F6E0C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1F6E0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E11E97" w:rsidRPr="001F6E0C" w:rsidRDefault="00E11E9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91A" w:rsidRPr="001F6E0C" w:rsidRDefault="0024791A" w:rsidP="002479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</w:t>
      </w: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2521"/>
        <w:gridCol w:w="1189"/>
        <w:gridCol w:w="1189"/>
        <w:gridCol w:w="962"/>
        <w:gridCol w:w="766"/>
        <w:gridCol w:w="766"/>
        <w:gridCol w:w="766"/>
        <w:gridCol w:w="769"/>
        <w:gridCol w:w="2112"/>
        <w:gridCol w:w="602"/>
        <w:gridCol w:w="552"/>
        <w:gridCol w:w="602"/>
        <w:gridCol w:w="602"/>
        <w:gridCol w:w="1445"/>
      </w:tblGrid>
      <w:tr w:rsidR="0024791A" w:rsidRPr="001F6E0C" w:rsidTr="0024791A">
        <w:trPr>
          <w:cantSplit/>
          <w:tblHeader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15" w:type="pct"/>
            <w:gridSpan w:val="5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58" w:type="pct"/>
            <w:gridSpan w:val="5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4791A" w:rsidRPr="001F6E0C" w:rsidTr="0024791A">
        <w:trPr>
          <w:cantSplit/>
          <w:tblHeader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73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791A" w:rsidRPr="001F6E0C" w:rsidTr="0024791A">
        <w:trPr>
          <w:cantSplit/>
          <w:tblHeader/>
        </w:trPr>
        <w:tc>
          <w:tcPr>
            <w:tcW w:w="155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4791A" w:rsidRPr="001F6E0C" w:rsidTr="0024791A">
        <w:trPr>
          <w:cantSplit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24791A" w:rsidRPr="001F6E0C" w:rsidTr="0024791A">
        <w:trPr>
          <w:cantSplit/>
        </w:trPr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388" w:type="pct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4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196" w:type="pct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" w:type="pct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24791A" w:rsidRPr="001F6E0C" w:rsidTr="0024791A">
        <w:trPr>
          <w:cantSplit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4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91A" w:rsidRPr="001F6E0C" w:rsidTr="0024791A">
        <w:trPr>
          <w:cantSplit/>
        </w:trPr>
        <w:tc>
          <w:tcPr>
            <w:tcW w:w="155" w:type="pct"/>
            <w:shd w:val="clear" w:color="auto" w:fill="auto"/>
            <w:noWrap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24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4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69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жилых помещений, приобретенных с целью предоставления малоимущим гражданам,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96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8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6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96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473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24791A" w:rsidRPr="001F6E0C" w:rsidTr="0024791A">
        <w:trPr>
          <w:cantSplit/>
        </w:trPr>
        <w:tc>
          <w:tcPr>
            <w:tcW w:w="155" w:type="pct"/>
            <w:shd w:val="clear" w:color="auto" w:fill="auto"/>
            <w:noWrap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24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15" w:type="pct"/>
            <w:gridSpan w:val="5"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9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196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24791A" w:rsidRPr="001F6E0C" w:rsidTr="0024791A">
        <w:trPr>
          <w:cantSplit/>
        </w:trPr>
        <w:tc>
          <w:tcPr>
            <w:tcW w:w="1366" w:type="pct"/>
            <w:gridSpan w:val="3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4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931" w:type="pct"/>
            <w:gridSpan w:val="6"/>
            <w:vMerge w:val="restar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91A" w:rsidRPr="001F6E0C" w:rsidTr="0024791A">
        <w:trPr>
          <w:cantSplit/>
        </w:trPr>
        <w:tc>
          <w:tcPr>
            <w:tcW w:w="1366" w:type="pct"/>
            <w:gridSpan w:val="3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4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shd w:val="clear" w:color="auto" w:fill="auto"/>
            <w:hideMark/>
          </w:tcPr>
          <w:p w:rsidR="0024791A" w:rsidRPr="001F6E0C" w:rsidRDefault="0024791A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931" w:type="pct"/>
            <w:gridSpan w:val="6"/>
            <w:vMerge/>
            <w:shd w:val="clear" w:color="auto" w:fill="auto"/>
            <w:vAlign w:val="center"/>
            <w:hideMark/>
          </w:tcPr>
          <w:p w:rsidR="0024791A" w:rsidRPr="001F6E0C" w:rsidRDefault="0024791A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4791A" w:rsidRPr="001F6E0C" w:rsidRDefault="0024791A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1F6E0C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8C3967" w:rsidRPr="001F6E0C" w:rsidRDefault="008C396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3334"/>
        <w:gridCol w:w="931"/>
        <w:gridCol w:w="1156"/>
        <w:gridCol w:w="781"/>
        <w:gridCol w:w="766"/>
        <w:gridCol w:w="766"/>
        <w:gridCol w:w="766"/>
        <w:gridCol w:w="2508"/>
        <w:gridCol w:w="702"/>
        <w:gridCol w:w="701"/>
        <w:gridCol w:w="700"/>
        <w:gridCol w:w="1656"/>
      </w:tblGrid>
      <w:tr w:rsidR="00102CA5" w:rsidRPr="001F6E0C" w:rsidTr="00A01FA5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E11E97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="00102CA5"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02CA5" w:rsidRPr="001F6E0C" w:rsidTr="00A01FA5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1F6E0C" w:rsidTr="00A01FA5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02CA5" w:rsidRPr="001F6E0C" w:rsidTr="005B110B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102CA5" w:rsidRPr="001F6E0C" w:rsidTr="005B110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1F6E0C" w:rsidTr="005B110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1F6E0C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жилых помещений, приобретенных с целью предоставления малоимущим гражданам,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102CA5" w:rsidRPr="001F6E0C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1F6E0C" w:rsidTr="005B110B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2CA5" w:rsidRPr="001F6E0C" w:rsidTr="005B110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1F6E0C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1F6E0C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2CA5" w:rsidRPr="001F6E0C" w:rsidRDefault="00102CA5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0ED9" w:rsidRPr="001F6E0C" w:rsidRDefault="002B0ED9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3967" w:rsidRPr="001F6E0C" w:rsidRDefault="00B73997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64DA9" w:rsidRPr="001F6E0C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8C3967" w:rsidRPr="001F6E0C" w:rsidRDefault="008C396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C3967" w:rsidRPr="001F6E0C" w:rsidSect="00E56E47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</w:p>
    <w:p w:rsidR="009A6C50" w:rsidRPr="00FA7BB0" w:rsidRDefault="009A6C50" w:rsidP="00D36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D36B4C"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2259E8" w:rsidRDefault="00A20264">
    <w:pPr>
      <w:pStyle w:val="a4"/>
      <w:jc w:val="center"/>
      <w:rPr>
        <w:sz w:val="24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6B4C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B579A0-163E-4A3D-906B-3BBBF590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2019-12-30T07:56:00Z</dcterms:modified>
</cp:coreProperties>
</file>