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 xml:space="preserve">252 986,2 </w:t>
            </w:r>
            <w:r w:rsidRPr="00D72227">
              <w:rPr>
                <w:szCs w:val="28"/>
              </w:rPr>
              <w:t>тыс. руб., в т.ч.: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МБ: 200 042,8 </w:t>
            </w:r>
            <w:r w:rsidRPr="00D72227">
              <w:rPr>
                <w:szCs w:val="28"/>
              </w:rPr>
              <w:t>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30 731,8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2019 год – 31 194,7</w:t>
            </w:r>
            <w:r w:rsidRPr="00D72227">
              <w:rPr>
                <w:szCs w:val="28"/>
              </w:rPr>
              <w:t xml:space="preserve"> 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FD56DF">
              <w:rPr>
                <w:szCs w:val="28"/>
              </w:rPr>
              <w:t>31 194,7</w:t>
            </w:r>
            <w:r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 xml:space="preserve">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2021 год – 31 194,7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2022 год – 25 242,3 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ОБ: 52 943,4</w:t>
            </w:r>
            <w:r w:rsidRPr="00D72227">
              <w:rPr>
                <w:szCs w:val="28"/>
              </w:rPr>
              <w:t xml:space="preserve"> 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6 921,4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2019 год –</w:t>
            </w:r>
            <w:r>
              <w:rPr>
                <w:szCs w:val="28"/>
              </w:rPr>
              <w:t xml:space="preserve"> 6 552,0 </w:t>
            </w:r>
            <w:r w:rsidRPr="00D72227">
              <w:rPr>
                <w:szCs w:val="28"/>
              </w:rPr>
              <w:t>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2022 год – 8 788,6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8 788,6 тыс. руб.;</w:t>
            </w:r>
          </w:p>
          <w:p w:rsidR="009A2214" w:rsidRPr="00CB7011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8 788,6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6E4600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14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</w:tr>
      <w:tr w:rsidR="006E4600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9A2214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833CD1" w:rsidRDefault="00833CD1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833CD1" w:rsidRPr="009D3C5C" w:rsidTr="00140519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Срок выполне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9D3C5C">
              <w:rPr>
                <w:rFonts w:eastAsia="Calibri"/>
                <w:sz w:val="16"/>
                <w:szCs w:val="16"/>
              </w:rPr>
              <w:t>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Источ- ники финан сирова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9D3C5C">
              <w:rPr>
                <w:rFonts w:eastAsia="Calibri"/>
                <w:sz w:val="16"/>
                <w:szCs w:val="16"/>
              </w:rPr>
              <w:t>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833CD1" w:rsidRPr="009D3C5C" w:rsidTr="00140519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833CD1" w:rsidRPr="009D3C5C" w:rsidRDefault="00833CD1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833CD1" w:rsidRPr="009D3C5C" w:rsidRDefault="00833CD1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833CD1" w:rsidRPr="009D3C5C" w:rsidRDefault="00833CD1" w:rsidP="0014051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140519">
            <w:pPr>
              <w:rPr>
                <w:sz w:val="16"/>
                <w:szCs w:val="16"/>
              </w:rPr>
            </w:pPr>
          </w:p>
        </w:tc>
      </w:tr>
      <w:tr w:rsidR="00833CD1" w:rsidRPr="009D3C5C" w:rsidTr="00140519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833CD1" w:rsidRPr="009D3C5C" w:rsidTr="00140519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833CD1" w:rsidRPr="009D3C5C" w:rsidTr="00140519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КО, ОУ, </w:t>
            </w: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33CD1" w:rsidRPr="009D3C5C" w:rsidTr="0014051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C7BAF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8C7BAF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</w:t>
            </w:r>
            <w:r w:rsidRPr="008C7BAF">
              <w:rPr>
                <w:rFonts w:eastAsia="Calibri"/>
                <w:sz w:val="16"/>
                <w:szCs w:val="16"/>
              </w:rPr>
              <w:lastRenderedPageBreak/>
              <w:t>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C7BAF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7BAF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833CD1" w:rsidRPr="009D3C5C" w:rsidTr="00140519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83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33CD1" w:rsidRPr="009D3C5C" w:rsidTr="00140519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9D3C5C">
              <w:rPr>
                <w:sz w:val="16"/>
                <w:szCs w:val="16"/>
              </w:rPr>
              <w:t xml:space="preserve"> созданию </w:t>
            </w:r>
            <w:r w:rsidRPr="009D3C5C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833CD1" w:rsidRPr="009D3C5C" w:rsidTr="00140519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833CD1" w:rsidRPr="009D3C5C" w:rsidTr="00140519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140519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9D3C5C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140519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833CD1" w:rsidRDefault="00833CD1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D3276" w:rsidRDefault="00FD3276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833CD1" w:rsidRPr="00D72227" w:rsidRDefault="00833CD1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D72227">
        <w:rPr>
          <w:bCs/>
          <w:szCs w:val="28"/>
          <w:lang w:eastAsia="en-US"/>
        </w:rPr>
        <w:lastRenderedPageBreak/>
        <w:t>Детализация направлений расходов</w:t>
      </w:r>
    </w:p>
    <w:p w:rsidR="00833CD1" w:rsidRPr="00D72227" w:rsidRDefault="00833CD1" w:rsidP="00833CD1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833CD1" w:rsidRPr="00BA42CA" w:rsidTr="00140519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833CD1" w:rsidRPr="00BA42CA" w:rsidTr="00140519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1405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833CD1" w:rsidRPr="00BA42CA" w:rsidTr="00140519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833CD1" w:rsidRPr="00BA42CA" w:rsidTr="00140519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252 986,2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200 042,8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</w:tr>
      <w:tr w:rsidR="00833CD1" w:rsidRPr="00BA42CA" w:rsidTr="00140519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52 943,4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</w:tr>
      <w:tr w:rsidR="00833CD1" w:rsidRPr="00BA42CA" w:rsidTr="001405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52 244,4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2 710,3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BA42CA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9 565,6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13 262,2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BA42CA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3 230,0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</w:tr>
      <w:tr w:rsidR="00833CD1" w:rsidRPr="00BA42CA" w:rsidTr="0014051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 xml:space="preserve">в </w:t>
            </w:r>
            <w:r w:rsidRPr="00BA42CA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BA42CA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7 734,3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962153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962153" w:rsidRPr="00D72227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62153" w:rsidRPr="00D72227" w:rsidTr="00515F1F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962153" w:rsidRPr="00D72227" w:rsidTr="00515F1F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2024 год</w:t>
            </w:r>
          </w:p>
        </w:tc>
      </w:tr>
      <w:tr w:rsidR="00962153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9</w:t>
            </w:r>
          </w:p>
        </w:tc>
      </w:tr>
      <w:tr w:rsidR="00AD4B71" w:rsidRPr="00D72227" w:rsidTr="00515F1F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 w:rsidR="00CB6DA0">
              <w:rPr>
                <w:rFonts w:eastAsia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 w:rsidR="00CB6DA0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AD4B71" w:rsidRPr="00D72227" w:rsidTr="00E970B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CB6DA0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242 021</w:t>
            </w:r>
            <w:r w:rsidR="00AD4B7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35 826,</w:t>
            </w:r>
            <w:r w:rsidR="00CB6DA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35 826,7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189 078,5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29 274,6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AD4B71">
              <w:rPr>
                <w:color w:val="000000"/>
                <w:sz w:val="20"/>
              </w:rPr>
              <w:t>10 964,3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</w:tbl>
    <w:p w:rsidR="00962153" w:rsidRDefault="00962153" w:rsidP="000A1A55">
      <w:pPr>
        <w:ind w:firstLine="709"/>
        <w:jc w:val="center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FD3276">
      <w:pgSz w:w="11905" w:h="16838" w:code="9"/>
      <w:pgMar w:top="814" w:right="851" w:bottom="1134" w:left="1134" w:header="397" w:footer="198" w:gutter="0"/>
      <w:pgNumType w:start="4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65724" w:rsidRDefault="004E633D" w:rsidP="00F65724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FD3276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276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560AA3-D8E0-46CE-9C12-A55005C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5C7-F530-4623-9275-8CD413D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17252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2019-07-05T07:59:00Z</dcterms:modified>
</cp:coreProperties>
</file>