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 xml:space="preserve">Всего по подпрограмме: 1 497 615,9 тыс. руб., в </w:t>
            </w:r>
            <w:proofErr w:type="spellStart"/>
            <w:r w:rsidRPr="00C7646B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C7646B">
              <w:rPr>
                <w:rFonts w:eastAsia="Calibri"/>
                <w:szCs w:val="22"/>
                <w:lang w:eastAsia="en-US"/>
              </w:rPr>
              <w:t>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211 276,1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25 501,9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–41 552,0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28 720,0тыс.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28 697,0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28 673,0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28 931,6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29 200,6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ОБ: 1 286 339,8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167 327,0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166 477,2тыс.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180 094,0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187 527,7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194 971,3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194 971,3 тыс. руб.;</w:t>
            </w:r>
          </w:p>
          <w:p w:rsidR="00713157" w:rsidRPr="007126F7" w:rsidRDefault="00C7646B" w:rsidP="00C7646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194 971,3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6B7A4C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74"/>
          <w:cols w:space="60"/>
          <w:noEndnote/>
          <w:docGrid w:linePitch="381"/>
        </w:sectPr>
      </w:pP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3. Перечень основных мероприятий подпрограммы</w:t>
      </w: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C7646B" w:rsidRPr="00640411" w:rsidTr="00C7646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C7646B" w:rsidRPr="00640411" w:rsidTr="00C7646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C7646B" w:rsidRPr="00640411" w:rsidTr="00C7646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C7646B" w:rsidRPr="00640411" w:rsidTr="00C7646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</w:rPr>
              <w:t>т.ч</w:t>
            </w:r>
            <w:proofErr w:type="spellEnd"/>
            <w:r w:rsidRPr="0064041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4E6476" w:rsidRPr="002A3A3C" w:rsidRDefault="004E6476" w:rsidP="004E647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6B7A4C">
          <w:pgSz w:w="16840" w:h="11907" w:orient="landscape" w:code="9"/>
          <w:pgMar w:top="986" w:right="851" w:bottom="1134" w:left="567" w:header="567" w:footer="476" w:gutter="0"/>
          <w:pgNumType w:start="78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C7646B" w:rsidRPr="00640411" w:rsidTr="00C7646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7646B" w:rsidRPr="00640411" w:rsidTr="00C7646B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7646B" w:rsidRPr="00640411" w:rsidTr="00C7646B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1 497 615,9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216 224,7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224 171,9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211 276,1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29 200,6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1 286 339,8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187 527,7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</w:tr>
    </w:tbl>
    <w:p w:rsidR="009B5C6D" w:rsidRDefault="009B5C6D" w:rsidP="00AF083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sectPr w:rsidR="00791940" w:rsidSect="003C6108">
      <w:pgSz w:w="11906" w:h="16838"/>
      <w:pgMar w:top="709" w:right="851" w:bottom="851" w:left="1134" w:header="284" w:footer="449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F16BBE" w:rsidRDefault="00C7646B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D40473" w:rsidRDefault="00C7646B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08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13C496C-6EF4-4A30-8B7D-88D21BD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27D5-3760-4762-AC95-7351F82F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11931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2019-12-17T11:47:00Z</dcterms:modified>
</cp:coreProperties>
</file>