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</w:t>
            </w:r>
            <w:r w:rsidR="005453F3">
              <w:rPr>
                <w:szCs w:val="28"/>
                <w:lang w:eastAsia="ar-SA"/>
              </w:rPr>
              <w:t xml:space="preserve"> администрации города Мурманска</w:t>
            </w:r>
          </w:p>
          <w:p w:rsidR="00770C79" w:rsidRDefault="00BA78A3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</w:p>
          <w:p w:rsidR="00BA78A3" w:rsidRPr="00433055" w:rsidRDefault="00770C79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FB28B6">
              <w:rPr>
                <w:szCs w:val="28"/>
              </w:rPr>
              <w:t>Комитет имущественных отношений города Мурманска</w:t>
            </w:r>
            <w:r w:rsidR="00BA78A3" w:rsidRPr="00433055">
              <w:rPr>
                <w:szCs w:val="28"/>
                <w:lang w:eastAsia="ar-SA"/>
              </w:rPr>
              <w:t xml:space="preserve">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770C7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Всего по подпрограмме: 4 908 693,1 тыс. руб., в т.ч.: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МБ: 3</w:t>
            </w:r>
            <w:r>
              <w:t xml:space="preserve"> </w:t>
            </w:r>
            <w:r w:rsidRPr="00925073">
              <w:t>757</w:t>
            </w:r>
            <w:r>
              <w:t xml:space="preserve"> </w:t>
            </w:r>
            <w:r w:rsidRPr="00925073">
              <w:t>137,6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2018 год – 659 312,2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2019 год – 526 597,9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565 281,0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615 166,9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543 814,7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2023 год – 393 431,5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2024 год – 453 533,4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ОБ: 171</w:t>
            </w:r>
            <w:r>
              <w:t xml:space="preserve"> </w:t>
            </w:r>
            <w:r w:rsidRPr="00925073">
              <w:t>077,6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57 735,4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2021 год – 88 153,3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25 188,9 тыс. руб.;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ФБ: 980 477,9 тыс. руб., из них:</w:t>
            </w:r>
          </w:p>
          <w:p w:rsidR="00872BFB" w:rsidRPr="00925073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2020 год – 126 195,8 тыс. руб.;</w:t>
            </w:r>
          </w:p>
          <w:p w:rsidR="00872BFB" w:rsidRPr="00925073" w:rsidRDefault="00872BFB" w:rsidP="001F642B">
            <w:pPr>
              <w:jc w:val="both"/>
            </w:pPr>
            <w:r w:rsidRPr="00925073">
              <w:t>2021 год – 490 084,9 тыс. руб.;</w:t>
            </w:r>
          </w:p>
          <w:p w:rsidR="00872BFB" w:rsidRPr="000A78F9" w:rsidRDefault="00872BFB" w:rsidP="001F642B">
            <w:pPr>
              <w:tabs>
                <w:tab w:val="left" w:pos="709"/>
              </w:tabs>
              <w:jc w:val="both"/>
            </w:pPr>
            <w:r w:rsidRPr="00925073">
              <w:t>2022 год – 364 197,2 тыс. руб.</w:t>
            </w:r>
          </w:p>
        </w:tc>
      </w:tr>
      <w:tr w:rsidR="00872BFB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>
              <w:rPr>
                <w:szCs w:val="28"/>
                <w:lang w:eastAsia="ar-SA"/>
              </w:rPr>
              <w:t xml:space="preserve"> </w:t>
            </w:r>
            <w:r w:rsidRPr="00433055">
              <w:rPr>
                <w:szCs w:val="28"/>
                <w:lang w:eastAsia="ar-SA"/>
              </w:rPr>
              <w:t>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дошкольных образовательных учреждениях, </w:t>
            </w:r>
            <w:r w:rsidR="00757E76">
              <w:rPr>
                <w:szCs w:val="28"/>
                <w:lang w:eastAsia="ar-SA"/>
              </w:rPr>
              <w:t>471</w:t>
            </w:r>
            <w:r>
              <w:rPr>
                <w:szCs w:val="28"/>
                <w:lang w:eastAsia="ar-SA"/>
              </w:rPr>
              <w:t xml:space="preserve">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01.11.2019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</w:t>
      </w:r>
      <w:r>
        <w:rPr>
          <w:bCs/>
          <w:szCs w:val="28"/>
          <w:lang w:eastAsia="ar-SA"/>
        </w:rPr>
        <w:t xml:space="preserve"> и учреждения образования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образовательные учреждения – 70</w:t>
      </w:r>
      <w:r w:rsidRPr="00433055">
        <w:rPr>
          <w:bCs/>
          <w:szCs w:val="28"/>
          <w:lang w:eastAsia="ar-SA"/>
        </w:rPr>
        <w:t xml:space="preserve"> единиц</w:t>
      </w:r>
      <w:r>
        <w:rPr>
          <w:bCs/>
          <w:szCs w:val="28"/>
          <w:lang w:eastAsia="ar-SA"/>
        </w:rPr>
        <w:t xml:space="preserve"> (с 01.01.2019 на базе частного дошкольного образовательного учреждения «Детский сад № 26» открытого акционерного общества «Российские железные дороги» создано муниципальное дошкольное образовательное учреждение)</w:t>
      </w:r>
      <w:r w:rsidRPr="00433055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20</w:t>
      </w:r>
      <w:r w:rsidRPr="00433055">
        <w:rPr>
          <w:bCs/>
          <w:szCs w:val="28"/>
          <w:lang w:eastAsia="ar-SA"/>
        </w:rPr>
        <w:t xml:space="preserve">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>
        <w:rPr>
          <w:bCs/>
          <w:szCs w:val="28"/>
          <w:lang w:eastAsia="ar-SA"/>
        </w:rPr>
        <w:t>тр патриотического воспитания «</w:t>
      </w:r>
      <w:r w:rsidRPr="00433055">
        <w:rPr>
          <w:bCs/>
          <w:szCs w:val="28"/>
          <w:lang w:eastAsia="ar-SA"/>
        </w:rPr>
        <w:t>Юная Гвардия» – 1; центр профессиональной ориентации «ПрофСтар</w:t>
      </w:r>
      <w:r>
        <w:rPr>
          <w:bCs/>
          <w:szCs w:val="28"/>
          <w:lang w:eastAsia="ar-SA"/>
        </w:rPr>
        <w:t>т</w:t>
      </w:r>
      <w:r w:rsidRPr="00433055">
        <w:rPr>
          <w:bCs/>
          <w:szCs w:val="28"/>
          <w:lang w:eastAsia="ar-SA"/>
        </w:rPr>
        <w:t xml:space="preserve">» – 1; </w:t>
      </w:r>
      <w:r w:rsidRPr="00A73CA3">
        <w:rPr>
          <w:bCs/>
          <w:szCs w:val="28"/>
          <w:lang w:eastAsia="ar-SA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>
        <w:rPr>
          <w:bCs/>
          <w:szCs w:val="28"/>
          <w:lang w:eastAsia="ar-SA"/>
        </w:rPr>
        <w:t xml:space="preserve">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1;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3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образовательных учреждений 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9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образовательных учреждений,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6B7A4C">
          <w:headerReference w:type="even" r:id="rId8"/>
          <w:headerReference w:type="default" r:id="rId9"/>
          <w:headerReference w:type="first" r:id="rId10"/>
          <w:pgSz w:w="11906" w:h="16838"/>
          <w:pgMar w:top="1134" w:right="851" w:bottom="993" w:left="1418" w:header="709" w:footer="709" w:gutter="0"/>
          <w:pgNumType w:start="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3. Перечень основных мероприятий подпрограммы</w:t>
      </w: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72BFB" w:rsidRPr="00872BFB" w:rsidTr="001F642B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</w:tr>
      <w:tr w:rsidR="00872BFB" w:rsidRPr="00872BFB" w:rsidTr="001F642B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both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2236157,5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231937,1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179540,1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173090,1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233294,2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КО, обра-зовательные учреждения, учреждения образования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2077989,3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220575,0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172090,1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196294,2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проведены работы по разработке проектной документации на ремонт фасадов/ проведен ремонт фасадов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реконструкция систем водоснабжения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реконструкция систем водоотведения 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bCs/>
                <w:sz w:val="12"/>
                <w:szCs w:val="12"/>
              </w:rPr>
            </w:pPr>
            <w:r w:rsidRPr="00872BFB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81970,1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10265,6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5850,0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25549,7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1096,5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50648,4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548377,8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171009,3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198321,3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29236,4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349457,2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141772,9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7177,5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80137,3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513827,2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246165,0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256368,4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УКС, 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141043,9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62233,8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67516,3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493483,1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241666,6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251816,5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120699,8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62964,4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252083,5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125887,7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20344,1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4498,4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4551,9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1546123,6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750319,1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759910,7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КС, ММКУ УКС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767351,4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360933,0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370524,6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1500194,2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750097,1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721422,0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360711,0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50377,8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728394,4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4.2.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45929,4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35893,8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222,0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9813,6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</w:t>
            </w:r>
            <w:r w:rsidRPr="00872BFB">
              <w:t xml:space="preserve"> </w:t>
            </w:r>
            <w:r w:rsidRPr="00872BFB">
              <w:rPr>
                <w:sz w:val="12"/>
                <w:szCs w:val="12"/>
              </w:rPr>
              <w:t>улиц Советская - Фрунзе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КИО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Советская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right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4908693,1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749212,2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1193405,1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933200,8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3757137,6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565281,0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615166,9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543814,7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393431,5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171077,6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88153,3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25188,9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  <w:tr w:rsidR="00872BFB" w:rsidRPr="00872BFB" w:rsidTr="001F642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980477,9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490084,9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364197,2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72BFB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2"/>
                <w:szCs w:val="12"/>
              </w:rPr>
            </w:pPr>
          </w:p>
        </w:tc>
      </w:tr>
    </w:tbl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  <w:r w:rsidRPr="00872BFB">
        <w:rPr>
          <w:szCs w:val="28"/>
        </w:rPr>
        <w:t>Детализация направлений расходов</w:t>
      </w:r>
    </w:p>
    <w:p w:rsidR="00872BFB" w:rsidRPr="00872BFB" w:rsidRDefault="00872BFB" w:rsidP="00872BFB">
      <w:pPr>
        <w:spacing w:line="276" w:lineRule="auto"/>
        <w:jc w:val="center"/>
        <w:rPr>
          <w:szCs w:val="28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8"/>
        <w:gridCol w:w="1129"/>
        <w:gridCol w:w="1417"/>
        <w:gridCol w:w="1120"/>
        <w:gridCol w:w="1290"/>
        <w:gridCol w:w="1280"/>
        <w:gridCol w:w="1271"/>
        <w:gridCol w:w="1120"/>
        <w:gridCol w:w="1290"/>
        <w:gridCol w:w="1134"/>
      </w:tblGrid>
      <w:tr w:rsidR="00872BFB" w:rsidRPr="00872BFB" w:rsidTr="001F642B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2020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2024 год</w:t>
            </w:r>
          </w:p>
        </w:tc>
      </w:tr>
      <w:tr w:rsidR="00872BFB" w:rsidRPr="00872BFB" w:rsidTr="001F642B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2236157,5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631869,2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498540,3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231937,1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179540,1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173090,1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233294,2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287886,5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2077989,3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621933,6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472119,8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220575,0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172090,1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222886,5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38219,2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6519,2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1950,0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18575,1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3398,5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2438,1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1548,5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17911,9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3411,9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1015,0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5087,8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3720,6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8917,9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227037,3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60938,3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38774,1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24 524,9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1145,3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2367,3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68113,5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8415,1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38439,3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2834,3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1 900,0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497577,5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108315,6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96600,5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18 857,0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63704,5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87988,0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10712,0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5289,3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10272,7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17 850,0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образовательных учреждений к новому учебному году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21698,5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4 220,0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4220,0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1.1.19.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5361,4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945,0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163448,5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87204,3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17433,4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22270,9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189700,0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систем видеонаблюдения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43518,6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31458,6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4987,5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1433,8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4734,9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113592,8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45057,8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10380,0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9680,0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1.1.29.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334308,2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149848,4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184459,8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- ремонт помещений для открытия кабинетов начальной школы, спортивного зала для младших школьников по адресу: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8238,2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1330,5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AC2F42" w:rsidP="0087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</w:t>
            </w:r>
            <w:r w:rsidR="00872BFB" w:rsidRPr="00872BFB">
              <w:rPr>
                <w:sz w:val="18"/>
                <w:szCs w:val="18"/>
              </w:rPr>
              <w:t xml:space="preserve"> основных направлений концепции развития МБОУ г. Мурманска «Мурманский международный лицей»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431,3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1.1.39.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1.1.40.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Организация  проведения новогодних и рождественских мероприятий подведомственными учреждениями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1.1.41.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30160,0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81970,1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10265,6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дошкольных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80658,3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5551,3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7731,4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5850,0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1311,8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25549,7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21853,2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3740,5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18112,7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1.4.2.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548377,8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27443,0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16763,8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171009,3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165646,9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198321,3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6380,9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2604,0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29236,4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кровель дошкольных 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10928,9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2653,6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подпорной стенки и поверхностного водоотвода МБДОУ г. Мурманска</w:t>
            </w:r>
          </w:p>
          <w:p w:rsidR="00872BFB" w:rsidRPr="00872BFB" w:rsidRDefault="00872BFB" w:rsidP="00872BFB">
            <w:r w:rsidRPr="00872BFB">
              <w:rPr>
                <w:sz w:val="18"/>
                <w:szCs w:val="18"/>
              </w:rPr>
              <w:t>№ 95</w:t>
            </w:r>
            <w:r w:rsidRPr="00872BFB">
              <w:t xml:space="preserve"> </w:t>
            </w:r>
            <w:r w:rsidRPr="00872BFB">
              <w:rPr>
                <w:sz w:val="18"/>
                <w:szCs w:val="18"/>
              </w:rPr>
              <w:t xml:space="preserve">по адресу: город Мурманск, улица </w:t>
            </w:r>
            <w:r w:rsidRPr="00872BFB">
              <w:t xml:space="preserve"> </w:t>
            </w:r>
            <w:r w:rsidRPr="00872BFB">
              <w:rPr>
                <w:sz w:val="18"/>
                <w:szCs w:val="18"/>
              </w:rPr>
              <w:t xml:space="preserve">Чумбарова-Лучинского, дом 22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3329,5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11,8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69,0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120,0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386,0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2.1.5.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182916,4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22916,4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80000,0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349457,2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21038,5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141772,9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7177,5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50616,0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20905,9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27385,8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Капитальный ремонт объекта: «Фасад МБОУ 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город Мурманск,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11681,9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9502,0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2179,9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восстановлению лестничной клетки и усилению фундаментов в здании МБОУ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14072,3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Разработка научно-проектной документации по капитальному ремонту МБОУ г. Мурманска СОШ   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2139,8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1707,5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132,6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830,9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644,0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42008,7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8289,1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33719,6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город Мурманск, улица Капитана Буркова, дом 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34573,0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4997,6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2.2.8.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192658,0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26873,8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80137,3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85646,9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599,3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</w:t>
            </w:r>
          </w:p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г. Мурманска ЦДЮТ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575,7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2.3.2.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513827,2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246165,0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256368,4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141043,9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62233,8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67516,3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493483,1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241666,6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251816,5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120699,8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62964,4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252083,5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125887,7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151525,1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74204,3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77320,8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38416,9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18406,5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20010,4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74691,3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37391,3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37300,0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3.1.2.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341958,0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167462,3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174495,7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82282,9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39328,9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42954,0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177392,2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88804,5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88587,7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20344,1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4498,4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4551,9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1540,6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2740,6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1540,6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2957,8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4436,7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17603,5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10209,0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2957,8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4436,7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1546123,6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750319,1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759910,7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767351,4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360933,0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370524,6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360711,0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25188,9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364197,2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4.1.1.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школы-лицея на 1200 мест в районе улиц Скальная - Маклакова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1500194,2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750097,1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721422,0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360711,0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50377,8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25188,9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728394,4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364197,2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(реконструкция) объектов общего образования за счет средств местного бюджета в рамках регионального проекта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45929,4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45929,4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школы-лицея на 1200 мест в районе улиц Скальная - Маклакова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35893,8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222,0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36115,8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35893,8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222,0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4.2.2.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Строительство школы на 500 мест в районе улиц Советская - Фрунзе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9813,6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9813,6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1F642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Советская - Фрунзе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right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 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 xml:space="preserve">0,0 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0175E1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5.1.1.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32648,0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872BFB" w:rsidRPr="00872BFB" w:rsidTr="000175E1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BFB" w:rsidRPr="00872BFB" w:rsidRDefault="00872BFB" w:rsidP="000175E1">
            <w:pPr>
              <w:ind w:right="-106"/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5.1.2.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31559,0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872BFB" w:rsidRDefault="00872BFB" w:rsidP="00872BFB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0,0</w:t>
            </w:r>
          </w:p>
        </w:tc>
      </w:tr>
      <w:tr w:rsidR="000175E1" w:rsidRPr="00872BFB" w:rsidTr="000175E1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5E1" w:rsidRPr="00872BFB" w:rsidRDefault="000175E1" w:rsidP="000175E1">
            <w:pPr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5.1.3.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95345D" w:rsidRDefault="000175E1" w:rsidP="001451D2">
            <w:pPr>
              <w:rPr>
                <w:rFonts w:ascii="Arial" w:hAnsi="Arial" w:cs="Arial"/>
                <w:sz w:val="20"/>
              </w:rPr>
            </w:pPr>
            <w:r w:rsidRPr="00872BFB">
              <w:rPr>
                <w:sz w:val="18"/>
                <w:szCs w:val="18"/>
              </w:rPr>
              <w:t>Приобретение жилья для граждан, проживающих в многоквартир</w:t>
            </w:r>
            <w:r>
              <w:rPr>
                <w:sz w:val="18"/>
                <w:szCs w:val="18"/>
              </w:rPr>
              <w:t>ном доме по улице Фрунзе, д. 14</w:t>
            </w:r>
            <w:r w:rsidRPr="00872BFB">
              <w:rPr>
                <w:sz w:val="18"/>
                <w:szCs w:val="18"/>
              </w:rPr>
              <w:t>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 w:rsidRPr="00872BFB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E1" w:rsidRPr="00872BFB" w:rsidRDefault="000175E1" w:rsidP="00145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872BFB" w:rsidRPr="00872BFB" w:rsidSect="00474C91">
          <w:headerReference w:type="even" r:id="rId11"/>
          <w:headerReference w:type="default" r:id="rId12"/>
          <w:pgSz w:w="16838" w:h="11906" w:orient="landscape"/>
          <w:pgMar w:top="1701" w:right="851" w:bottom="567" w:left="1701" w:header="1276" w:footer="709" w:gutter="0"/>
          <w:pgNumType w:start="2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ДОУ, создание групп компенсирующей и оздоровительной направленности, создание в образовательных учреждениях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bookmarkStart w:id="0" w:name="_Toc428190973"/>
      <w:r w:rsidRPr="00872BFB">
        <w:rPr>
          <w:bCs/>
          <w:szCs w:val="28"/>
          <w:lang w:eastAsia="ar-SA"/>
        </w:rPr>
        <w:t>В 2019 - 2020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 xml:space="preserve">В целях обеспечения обновления содержания и совершенствования методов обучения предметной области «Технология» четыре общеобразовательных учреждения муниципалитета (МБОУ г. Мурманска СОШ №№ 18, 27, 43, 49) являются опорными школами Мурманской области по отработке программно-методического и материально-технического обеспечения предметной области «Технология» в соответствии с требованиями ФГОС начального общего, основного общего и среднего общего образования. 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На уровне среднего общего образования 68% (13 из 19 общеобразовательных учреждений) осуществляют профильное обучение в параллели 10 классов в соответствии с ФГОС среднего общего образования.</w:t>
      </w:r>
    </w:p>
    <w:p w:rsidR="00872BFB" w:rsidRPr="00872BFB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  <w:bookmarkEnd w:id="0"/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100%.</w:t>
      </w:r>
    </w:p>
    <w:p w:rsidR="00265500" w:rsidRDefault="00265500" w:rsidP="00ED6B2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72BFB" w:rsidRPr="00B50825" w:rsidTr="00872BFB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2024 год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9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4 908 693,1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749 212,2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1 193 405,1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933 200,8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3 757 137,6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565 281,0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615 166,9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543 814,7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393 431,5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453 533,4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 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2 077 989,3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220 575,0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172 090,1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196 294,2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222 886,5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2 766 496,8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464 430,2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1 021 315,0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761 110,7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1 614 941,3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280 499,0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443 076,8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371 724,6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197 137,3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230 646,9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171 077,6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88 153,3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25 188,9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980 477,9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490 084,9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364 197,2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2 218 119,0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293 420,9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1 014 137,5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760 910,7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37 000,0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65 000,0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комитет имущественных отношений города Мурманска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  <w:tr w:rsidR="00872BFB" w:rsidRPr="00B50825" w:rsidTr="00872BFB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FB" w:rsidRPr="00B50825" w:rsidRDefault="00872BFB" w:rsidP="001F642B">
            <w:pPr>
              <w:jc w:val="center"/>
              <w:rPr>
                <w:sz w:val="16"/>
                <w:szCs w:val="16"/>
              </w:rPr>
            </w:pPr>
            <w:r w:rsidRPr="00B50825">
              <w:rPr>
                <w:sz w:val="16"/>
                <w:szCs w:val="16"/>
              </w:rPr>
              <w:t xml:space="preserve">0,0  </w:t>
            </w:r>
          </w:p>
        </w:tc>
      </w:tr>
    </w:tbl>
    <w:p w:rsidR="00FB28B6" w:rsidRDefault="00FB28B6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Мурманское муниципальное казенное учреждение «Управление </w:t>
      </w:r>
      <w:r w:rsidR="00335734">
        <w:rPr>
          <w:rFonts w:cs="Calibri"/>
          <w:szCs w:val="28"/>
          <w:lang w:eastAsia="ar-SA"/>
        </w:rPr>
        <w:t>капитального строительства»;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 комитет имущественных отношений города Мурманска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</w:t>
      </w:r>
      <w:bookmarkStart w:id="1" w:name="_GoBack"/>
      <w:bookmarkEnd w:id="1"/>
      <w:r w:rsidRPr="00433055">
        <w:rPr>
          <w:rFonts w:cs="Calibri"/>
          <w:szCs w:val="28"/>
          <w:lang w:eastAsia="ar-SA"/>
        </w:rPr>
        <w:t>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</w:p>
    <w:sectPr w:rsidR="00DA48B7" w:rsidRPr="00D02F43" w:rsidSect="00316792">
      <w:pgSz w:w="11906" w:h="16838"/>
      <w:pgMar w:top="1134" w:right="851" w:bottom="1134" w:left="1134" w:header="709" w:footer="709" w:gutter="0"/>
      <w:pgNumType w:start="3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A81AB5" w:rsidRDefault="00474C91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6792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  <w:p w:rsidR="00474C91" w:rsidRDefault="00474C9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BE3F34" w:rsidRDefault="00474C91" w:rsidP="001F642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792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978C1A-2D8F-44AA-A38D-A18607F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AE14-DE1F-4B42-A523-B370F343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26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61240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2020-10-13T14:02:00Z</dcterms:modified>
</cp:coreProperties>
</file>