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C8017A">
      <w:pPr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  <w:bookmarkStart w:id="0" w:name="_GoBack"/>
      <w:bookmarkEnd w:id="0"/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 w:rsidR="007013FA"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 w:rsidR="007013FA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 w:rsidR="007013FA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>(в расче</w:t>
            </w:r>
            <w:r w:rsidR="007013FA">
              <w:rPr>
                <w:szCs w:val="28"/>
                <w:lang w:eastAsia="en-US"/>
              </w:rPr>
              <w:t>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 w:rsidR="007013FA">
              <w:rPr>
                <w:szCs w:val="28"/>
                <w:lang w:eastAsia="en-US"/>
              </w:rPr>
              <w:t xml:space="preserve"> ЕГЭ</w:t>
            </w:r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B00180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123436" w:rsidRPr="008302EA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776D1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="00776D1E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A86E17" w:rsidP="00E970B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432802" w:rsidRDefault="00123436" w:rsidP="002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 xml:space="preserve">Всего по подпрограмме: </w:t>
            </w:r>
            <w:r>
              <w:t>28</w:t>
            </w:r>
            <w:r w:rsidR="00DA5ABB">
              <w:t> 818 690,8</w:t>
            </w:r>
            <w:r>
              <w:t xml:space="preserve"> </w:t>
            </w:r>
            <w:r w:rsidRPr="003E733D">
              <w:t>тыс. руб., в т.ч.: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>
              <w:t>МБ: 11</w:t>
            </w:r>
            <w:r w:rsidR="00DA5ABB">
              <w:t> 690 748,8</w:t>
            </w:r>
            <w:r w:rsidRPr="003E733D">
              <w:t xml:space="preserve"> тыс. руб., из них: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2018 год – 1 462 467,0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2019 год – 1 609 672,0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2020 год –</w:t>
            </w:r>
            <w:r w:rsidR="00DA5ABB">
              <w:t xml:space="preserve"> 1 645 955,3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1 658 298,3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2022 год – 1</w:t>
            </w:r>
            <w:r>
              <w:t> 698 199,4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>
              <w:t>2023 год – 1 740 597,1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2024 год – 1 875 559,7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>
              <w:t>ОБ: 16 421 008,0</w:t>
            </w:r>
            <w:r w:rsidRPr="003E733D">
              <w:t xml:space="preserve"> тыс. руб., из них: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2018 год – 2 165 761,4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2019 год – 2 223 824,6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2020 год – 2 299 637,7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</w:t>
            </w:r>
            <w:r w:rsidRPr="003F7C4D">
              <w:t>2 384 050,7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>
              <w:t>2022 год – 2 391 595,9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>
              <w:t xml:space="preserve">2023 год – </w:t>
            </w:r>
            <w:r w:rsidRPr="003F7C4D">
              <w:t>2</w:t>
            </w:r>
            <w:r>
              <w:t> 429 563,3</w:t>
            </w:r>
            <w:r w:rsidRPr="003E733D">
              <w:t xml:space="preserve">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2024 год – 2 526 574,4 тыс. руб.;</w:t>
            </w:r>
          </w:p>
          <w:p w:rsidR="00511884" w:rsidRPr="003E733D" w:rsidRDefault="00511884" w:rsidP="0051188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3E733D">
              <w:rPr>
                <w:szCs w:val="28"/>
              </w:rPr>
              <w:t>ФБ: 706 934,0 тыс. руб., из них: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3E733D">
              <w:rPr>
                <w:szCs w:val="28"/>
              </w:rPr>
              <w:t>2020 год – 70 693,4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2021 год – 212 080,2 тыс. руб.;</w:t>
            </w:r>
          </w:p>
          <w:p w:rsidR="00511884" w:rsidRPr="003E733D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2022 год – 212 080,2 тыс. руб.;</w:t>
            </w:r>
          </w:p>
          <w:p w:rsidR="00123436" w:rsidRPr="00432802" w:rsidRDefault="00511884" w:rsidP="00511884">
            <w:pPr>
              <w:tabs>
                <w:tab w:val="left" w:pos="709"/>
              </w:tabs>
              <w:jc w:val="both"/>
            </w:pPr>
            <w:r w:rsidRPr="003E733D">
              <w:t>2023 год – 212 080,2 тыс. руб.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CB7011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>, не сдавших</w:t>
            </w:r>
            <w:r w:rsidR="00A86E17">
              <w:rPr>
                <w:szCs w:val="28"/>
                <w:lang w:eastAsia="en-US"/>
              </w:rPr>
              <w:t xml:space="preserve"> ЕГЭ</w:t>
            </w:r>
            <w:r w:rsidRPr="00004F8D">
              <w:rPr>
                <w:szCs w:val="28"/>
                <w:lang w:eastAsia="en-US"/>
              </w:rPr>
              <w:t xml:space="preserve">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123436" w:rsidRPr="00F577F6" w:rsidRDefault="0012343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123436" w:rsidRPr="00F577F6" w:rsidRDefault="00123436" w:rsidP="000C14E3">
            <w:pPr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 xml:space="preserve">тношение среднего балла </w:t>
            </w:r>
            <w:r w:rsidR="00A86E17"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один предмет) в 10% школ с лучшими результатами </w:t>
            </w:r>
            <w:r w:rsidR="0058334E"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к среднему баллу </w:t>
            </w:r>
            <w:r w:rsidR="0058334E"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</w:t>
            </w:r>
            <w:r w:rsidR="00A86E17">
              <w:rPr>
                <w:szCs w:val="28"/>
              </w:rPr>
              <w:t xml:space="preserve">один </w:t>
            </w:r>
            <w:r w:rsidRPr="00004F8D">
              <w:rPr>
                <w:szCs w:val="28"/>
              </w:rPr>
              <w:t xml:space="preserve">предмет) в 10% школ с худшими результатами </w:t>
            </w:r>
            <w:r w:rsidR="00A86E17">
              <w:rPr>
                <w:szCs w:val="28"/>
              </w:rPr>
              <w:t xml:space="preserve">ЕГЭ </w:t>
            </w:r>
            <w:r>
              <w:rPr>
                <w:szCs w:val="28"/>
              </w:rPr>
              <w:t>– 1,3%;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 w:rsidR="00B00180">
              <w:rPr>
                <w:szCs w:val="28"/>
                <w:lang w:eastAsia="en-US"/>
              </w:rPr>
              <w:t xml:space="preserve">ОУ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 xml:space="preserve">ков такой </w:t>
            </w:r>
            <w:r w:rsidR="00ED3282">
              <w:rPr>
                <w:szCs w:val="28"/>
                <w:lang w:eastAsia="en-US"/>
              </w:rPr>
              <w:t>категории –</w:t>
            </w:r>
            <w:r>
              <w:rPr>
                <w:szCs w:val="28"/>
                <w:lang w:eastAsia="en-US"/>
              </w:rPr>
              <w:t xml:space="preserve">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123436" w:rsidRPr="00CB7011" w:rsidRDefault="00123436" w:rsidP="00776D1E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>ормирование услови</w:t>
            </w:r>
            <w:r w:rsidR="00776D1E">
              <w:rPr>
                <w:szCs w:val="28"/>
                <w:lang w:eastAsia="en-US"/>
              </w:rPr>
              <w:t>й, обеспечивающих соответствие ОУ</w:t>
            </w:r>
            <w:r>
              <w:rPr>
                <w:szCs w:val="28"/>
                <w:lang w:eastAsia="en-US"/>
              </w:rPr>
              <w:t xml:space="preserve">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 w:rsidR="0055577B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577F6" w:rsidRPr="00111E73" w:rsidRDefault="00F577F6" w:rsidP="00F577F6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577F6" w:rsidRPr="00111E73" w:rsidRDefault="00F577F6" w:rsidP="00F577F6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</w:t>
      </w:r>
      <w:r w:rsidR="00E96B0D">
        <w:rPr>
          <w:szCs w:val="28"/>
          <w:lang w:eastAsia="ar-SA"/>
        </w:rPr>
        <w:t xml:space="preserve">город Мурманск </w:t>
      </w:r>
      <w:r w:rsidRPr="00111E73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577F6" w:rsidRPr="00111E73" w:rsidRDefault="00F577F6" w:rsidP="00F577F6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 2010 года в Мурманске осуществляется введение </w:t>
      </w:r>
      <w:r w:rsidR="00E96B0D">
        <w:rPr>
          <w:rFonts w:eastAsia="Calibri"/>
          <w:szCs w:val="28"/>
          <w:lang w:eastAsia="en-US"/>
        </w:rPr>
        <w:t xml:space="preserve">ФГОС </w:t>
      </w:r>
      <w:r w:rsidRPr="00111E73">
        <w:rPr>
          <w:rFonts w:eastAsia="Calibri"/>
          <w:szCs w:val="28"/>
          <w:lang w:eastAsia="en-US"/>
        </w:rPr>
        <w:t>в</w:t>
      </w:r>
      <w:r w:rsidR="00F80706">
        <w:rPr>
          <w:rFonts w:eastAsia="Calibri"/>
          <w:szCs w:val="28"/>
          <w:lang w:eastAsia="en-US"/>
        </w:rPr>
        <w:t xml:space="preserve"> общеобразовательных учреждениях</w:t>
      </w:r>
      <w:r w:rsidRPr="00111E73">
        <w:rPr>
          <w:rFonts w:eastAsia="Calibri"/>
          <w:szCs w:val="28"/>
          <w:lang w:eastAsia="en-US"/>
        </w:rPr>
        <w:t>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</w:t>
      </w:r>
      <w:r w:rsidR="000C14E3">
        <w:rPr>
          <w:rFonts w:eastAsia="Calibri"/>
          <w:szCs w:val="28"/>
          <w:lang w:eastAsia="en-US"/>
        </w:rPr>
        <w:t>МБ</w:t>
      </w:r>
      <w:r w:rsidR="00E96B0D">
        <w:rPr>
          <w:rFonts w:eastAsia="Calibri"/>
          <w:szCs w:val="28"/>
          <w:lang w:eastAsia="en-US"/>
        </w:rPr>
        <w:t>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</w:t>
      </w:r>
      <w:r w:rsidR="000C14E3">
        <w:rPr>
          <w:rFonts w:eastAsia="Calibri"/>
          <w:szCs w:val="28"/>
          <w:lang w:eastAsia="en-US"/>
        </w:rPr>
        <w:t>М</w:t>
      </w:r>
      <w:r w:rsidR="00E96B0D">
        <w:rPr>
          <w:rFonts w:eastAsia="Calibri"/>
          <w:szCs w:val="28"/>
          <w:lang w:eastAsia="en-US"/>
        </w:rPr>
        <w:t>ДОУ;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</w:t>
      </w:r>
      <w:r w:rsidR="00E96B0D">
        <w:rPr>
          <w:szCs w:val="28"/>
          <w:lang w:eastAsia="en-US"/>
        </w:rPr>
        <w:t xml:space="preserve">нительных образовательных услуг </w:t>
      </w:r>
      <w:r w:rsidR="00E96B0D" w:rsidRPr="00E96B0D">
        <w:rPr>
          <w:szCs w:val="28"/>
          <w:lang w:eastAsia="en-US"/>
        </w:rPr>
        <w:t xml:space="preserve">– </w:t>
      </w:r>
      <w:r w:rsidRPr="00111E73">
        <w:rPr>
          <w:szCs w:val="28"/>
          <w:lang w:eastAsia="en-US"/>
        </w:rPr>
        <w:t>увеличение количества объединений технической и естественно</w:t>
      </w:r>
      <w:r w:rsidR="00E96B0D">
        <w:rPr>
          <w:szCs w:val="28"/>
          <w:lang w:eastAsia="en-US"/>
        </w:rPr>
        <w:t>-</w:t>
      </w:r>
      <w:r w:rsidRPr="00111E73">
        <w:rPr>
          <w:szCs w:val="28"/>
          <w:lang w:eastAsia="en-US"/>
        </w:rPr>
        <w:t>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соответствии с общими приоритетными направлениями системы дополнител</w:t>
      </w:r>
      <w:r w:rsidR="006141E0">
        <w:rPr>
          <w:szCs w:val="28"/>
          <w:lang w:eastAsia="en-US"/>
        </w:rPr>
        <w:t>ьного образования в Российской Федерации, закрепленными в частности</w:t>
      </w:r>
      <w:r w:rsidRPr="00111E73">
        <w:rPr>
          <w:szCs w:val="28"/>
          <w:lang w:eastAsia="en-US"/>
        </w:rPr>
        <w:t xml:space="preserve">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>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</w:t>
      </w:r>
      <w:r w:rsidR="000609AD">
        <w:rPr>
          <w:szCs w:val="28"/>
          <w:lang w:eastAsia="en-US"/>
        </w:rPr>
        <w:t>, подразумевающая предоставление</w:t>
      </w:r>
      <w:r w:rsidRPr="00111E73">
        <w:rPr>
          <w:szCs w:val="28"/>
          <w:lang w:eastAsia="en-US"/>
        </w:rPr>
        <w:t xml:space="preserve">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55577B">
        <w:rPr>
          <w:szCs w:val="28"/>
          <w:lang w:eastAsia="en-US"/>
        </w:rPr>
        <w:t xml:space="preserve">КО </w:t>
      </w:r>
      <w:r w:rsidRPr="00111E73">
        <w:rPr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577F6" w:rsidRDefault="00F577F6" w:rsidP="006943AA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936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556"/>
        <w:gridCol w:w="567"/>
        <w:gridCol w:w="567"/>
        <w:gridCol w:w="567"/>
        <w:gridCol w:w="567"/>
        <w:gridCol w:w="567"/>
        <w:gridCol w:w="567"/>
      </w:tblGrid>
      <w:tr w:rsidR="00896806" w:rsidRPr="00F2347E" w:rsidTr="00466EEE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466EEE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 w:rsidR="006B3457"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 w:rsidR="006B3457"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466EEE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466EEE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466EEE">
        <w:trPr>
          <w:tblCellSpacing w:w="5" w:type="nil"/>
        </w:trPr>
        <w:tc>
          <w:tcPr>
            <w:tcW w:w="9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466EEE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466EEE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6943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</w:t>
            </w:r>
            <w:r w:rsidR="006943AA">
              <w:rPr>
                <w:sz w:val="18"/>
                <w:szCs w:val="18"/>
              </w:rPr>
              <w:t xml:space="preserve"> ЕГЭ</w:t>
            </w:r>
            <w:r w:rsidRPr="00F2347E">
              <w:rPr>
                <w:sz w:val="18"/>
                <w:szCs w:val="18"/>
              </w:rPr>
              <w:t>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577F6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7D1597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F6" w:rsidRPr="00F2347E" w:rsidRDefault="00F577F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6F3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6F3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5F54C3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159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6943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 xml:space="preserve">Отношение среднего балла </w:t>
            </w:r>
            <w:r w:rsidR="006943AA">
              <w:rPr>
                <w:sz w:val="18"/>
                <w:szCs w:val="18"/>
              </w:rPr>
              <w:t xml:space="preserve">ЕГЭ </w:t>
            </w:r>
            <w:r w:rsidRPr="00F2347E">
              <w:rPr>
                <w:sz w:val="18"/>
                <w:szCs w:val="18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 w:rsidR="006943AA">
              <w:rPr>
                <w:sz w:val="18"/>
                <w:szCs w:val="18"/>
              </w:rPr>
              <w:t>ЕГЭ (в расчете на один</w:t>
            </w:r>
            <w:r w:rsidRPr="00F2347E">
              <w:rPr>
                <w:sz w:val="18"/>
                <w:szCs w:val="18"/>
              </w:rPr>
              <w:t xml:space="preserve"> предмет) в 10% школ с худшими результатами </w:t>
            </w:r>
            <w:r w:rsidR="006943AA">
              <w:rPr>
                <w:sz w:val="18"/>
                <w:szCs w:val="18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9C48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 xml:space="preserve">Отношение средней заработной платы педагогических работников </w:t>
            </w:r>
            <w:r w:rsidR="009C48BB">
              <w:rPr>
                <w:sz w:val="18"/>
                <w:szCs w:val="18"/>
              </w:rPr>
              <w:t xml:space="preserve">ОУ </w:t>
            </w:r>
            <w:r w:rsidRPr="00F2347E">
              <w:rPr>
                <w:sz w:val="18"/>
                <w:szCs w:val="18"/>
              </w:rPr>
              <w:t>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6F3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C77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F7B5F" w:rsidRPr="00432802" w:rsidRDefault="001F7B5F" w:rsidP="00C7733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6F3ADD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6F3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="001F7B5F"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776D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Формирование условий, обеспечивающих соответствие </w:t>
            </w:r>
            <w:r w:rsidR="00776D1E">
              <w:rPr>
                <w:sz w:val="18"/>
                <w:szCs w:val="18"/>
                <w:lang w:eastAsia="en-US"/>
              </w:rPr>
              <w:t xml:space="preserve">ОУ </w:t>
            </w:r>
            <w:r w:rsidRPr="00F2347E">
              <w:rPr>
                <w:sz w:val="18"/>
                <w:szCs w:val="18"/>
                <w:lang w:eastAsia="en-US"/>
              </w:rPr>
              <w:t>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827648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567" w:bottom="1134" w:left="1701" w:header="720" w:footer="720" w:gutter="0"/>
          <w:pgNumType w:start="64"/>
          <w:cols w:space="60"/>
          <w:noEndnote/>
          <w:docGrid w:linePitch="381"/>
        </w:sectPr>
      </w:pPr>
    </w:p>
    <w:p w:rsidR="00010079" w:rsidRPr="00010079" w:rsidRDefault="00010079" w:rsidP="00010079">
      <w:pPr>
        <w:ind w:left="720"/>
        <w:jc w:val="center"/>
        <w:rPr>
          <w:bCs/>
          <w:szCs w:val="28"/>
          <w:lang w:eastAsia="en-US"/>
        </w:rPr>
      </w:pPr>
      <w:r w:rsidRPr="00010079">
        <w:rPr>
          <w:bCs/>
          <w:szCs w:val="28"/>
          <w:lang w:eastAsia="en-US"/>
        </w:rPr>
        <w:t>3. Перечень основных мероприятий подпрограммы</w:t>
      </w:r>
    </w:p>
    <w:p w:rsidR="00010079" w:rsidRPr="00010079" w:rsidRDefault="00010079" w:rsidP="00010079">
      <w:pPr>
        <w:ind w:left="720"/>
        <w:jc w:val="center"/>
        <w:rPr>
          <w:bCs/>
          <w:szCs w:val="28"/>
          <w:lang w:eastAsia="en-US"/>
        </w:rPr>
      </w:pP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83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991"/>
      </w:tblGrid>
      <w:tr w:rsidR="00010079" w:rsidRPr="00010079" w:rsidTr="00557615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010079" w:rsidRPr="00010079" w:rsidRDefault="00010079" w:rsidP="00010079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10079" w:rsidRPr="00010079" w:rsidTr="00557615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2020</w:t>
            </w:r>
          </w:p>
          <w:p w:rsidR="00010079" w:rsidRPr="00010079" w:rsidRDefault="00010079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2020</w:t>
            </w:r>
          </w:p>
          <w:p w:rsidR="00010079" w:rsidRPr="00010079" w:rsidRDefault="00010079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010079" w:rsidRPr="00010079" w:rsidTr="00557615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010079" w:rsidRPr="00010079" w:rsidTr="00557615">
        <w:trPr>
          <w:trHeight w:val="106"/>
        </w:trPr>
        <w:tc>
          <w:tcPr>
            <w:tcW w:w="1630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010079" w:rsidRPr="00010079" w:rsidTr="00557615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5576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Основное мероприятие:</w:t>
            </w:r>
          </w:p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22047740,7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3318529,4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3330614,5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3372979,8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МБОУ</w:t>
            </w:r>
          </w:p>
        </w:tc>
      </w:tr>
      <w:tr w:rsidR="00010079" w:rsidRPr="00010079" w:rsidTr="00557615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4940458,9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723074,8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010079" w:rsidRPr="00010079" w:rsidTr="00557615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16400347,8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2383374,4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2390919,6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2428887,0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010079" w:rsidRPr="00010079" w:rsidTr="00557615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010079" w:rsidRPr="00010079" w:rsidTr="00557615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4940458,9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723074,8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9" w:rsidRPr="00010079" w:rsidRDefault="00010079" w:rsidP="00851F8E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079" w:rsidRPr="00010079" w:rsidRDefault="00010079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10079" w:rsidRPr="00010079" w:rsidRDefault="00010079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МБОУ</w:t>
            </w:r>
          </w:p>
        </w:tc>
      </w:tr>
      <w:tr w:rsidR="00DA5ABB" w:rsidRPr="00010079" w:rsidTr="00557615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4940458,9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723074,8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МБОУ</w:t>
            </w:r>
          </w:p>
        </w:tc>
      </w:tr>
      <w:tr w:rsidR="00DA5ABB" w:rsidRPr="00010079" w:rsidTr="00557615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010079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010079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010079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010079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14217278,6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2373734,4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2381279,6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2419247,0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30481,65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МБОУ</w:t>
            </w:r>
          </w:p>
        </w:tc>
      </w:tr>
      <w:tr w:rsidR="00DA5ABB" w:rsidRPr="00010079" w:rsidTr="00557615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010079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010079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14217278,6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2373734,4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2381279,6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2419247,0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010079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010079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1.4.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2D81" w:rsidRDefault="00DA5ABB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</w:t>
            </w:r>
            <w:r w:rsidR="00232D81">
              <w:rPr>
                <w:sz w:val="15"/>
                <w:szCs w:val="15"/>
                <w:lang w:eastAsia="en-US"/>
              </w:rPr>
              <w:t xml:space="preserve">, </w:t>
            </w:r>
          </w:p>
          <w:p w:rsidR="00DA5ABB" w:rsidRPr="00010079" w:rsidRDefault="00232D81" w:rsidP="00010079">
            <w:pPr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</w:t>
            </w:r>
            <w:r w:rsidRPr="00010079">
              <w:t xml:space="preserve"> 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ММЛ, МПЛ</w:t>
            </w: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Мурманской области, реализующих образовательные программы начального общего, основного общего и среднего общего образования, в том числе </w:t>
            </w:r>
            <w:r>
              <w:rPr>
                <w:sz w:val="15"/>
                <w:szCs w:val="15"/>
              </w:rPr>
              <w:t xml:space="preserve">адаптированные </w:t>
            </w:r>
            <w:r w:rsidRPr="00010079">
              <w:rPr>
                <w:sz w:val="15"/>
                <w:szCs w:val="15"/>
              </w:rPr>
              <w:t>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739067,3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221720,1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221720,1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221720,1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232D81">
            <w:pPr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КО, МБОУ </w:t>
            </w: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32133,3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232D8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Основное мероприятие: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4323431,8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594881,6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619710,5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647641,2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Pr="00575F0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Pr="00010079">
              <w:rPr>
                <w:sz w:val="15"/>
                <w:szCs w:val="15"/>
              </w:rPr>
              <w:t>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МБОУ</w:t>
            </w:r>
          </w:p>
        </w:tc>
      </w:tr>
      <w:tr w:rsidR="00DA5ABB" w:rsidRPr="00010079" w:rsidTr="00557615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4302771,6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594205,3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619034,2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646964,9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20660,2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3998637,4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519819,8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 ДО</w:t>
            </w:r>
          </w:p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3998637,4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519819,8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Количество обучающихся муниципальных</w:t>
            </w:r>
            <w:r w:rsidRPr="00010079">
              <w:t xml:space="preserve"> </w:t>
            </w:r>
            <w:r w:rsidRPr="00010079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232D81" w:rsidRDefault="00DA5ABB" w:rsidP="00010079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  <w:r w:rsidRPr="00232D81">
              <w:rPr>
                <w:sz w:val="15"/>
                <w:szCs w:val="15"/>
              </w:rPr>
              <w:t>14444</w:t>
            </w:r>
          </w:p>
          <w:p w:rsidR="00DA5ABB" w:rsidRPr="00232D81" w:rsidRDefault="00DA5ABB" w:rsidP="00010079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232D81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232D81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 ДО</w:t>
            </w:r>
          </w:p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(кроме ППМС)</w:t>
            </w:r>
          </w:p>
        </w:tc>
      </w:tr>
      <w:tr w:rsidR="00DA5ABB" w:rsidRPr="00010079" w:rsidTr="00557615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575F01" w:rsidRDefault="00DA5ABB" w:rsidP="00B7091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ППМС</w:t>
            </w:r>
          </w:p>
        </w:tc>
      </w:tr>
      <w:tr w:rsidR="00DA5ABB" w:rsidRPr="00010079" w:rsidTr="00557615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575F01" w:rsidRDefault="00DA5ABB" w:rsidP="00B7091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106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575F01" w:rsidRDefault="00DA5ABB" w:rsidP="00B7091D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867</w:t>
            </w:r>
          </w:p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867</w:t>
            </w:r>
          </w:p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67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010079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010079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 ДО, МБУО ЦБ</w:t>
            </w:r>
          </w:p>
        </w:tc>
      </w:tr>
      <w:tr w:rsidR="00DA5ABB" w:rsidRPr="00010079" w:rsidTr="00557615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Отсутствие кредиторской задолженности по оплате труда</w:t>
            </w:r>
            <w:r w:rsidR="00232D81">
              <w:rPr>
                <w:sz w:val="15"/>
                <w:szCs w:val="15"/>
              </w:rPr>
              <w:t>,</w:t>
            </w:r>
            <w:r w:rsidRPr="00010079">
              <w:rPr>
                <w:sz w:val="15"/>
                <w:szCs w:val="15"/>
              </w:rPr>
              <w:t xml:space="preserve"> </w:t>
            </w:r>
          </w:p>
          <w:p w:rsidR="00DA5ABB" w:rsidRPr="00010079" w:rsidRDefault="00232D81" w:rsidP="00010079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 ДО, МБУО ЦБ</w:t>
            </w:r>
          </w:p>
        </w:tc>
      </w:tr>
      <w:tr w:rsidR="00DA5ABB" w:rsidRPr="00010079" w:rsidTr="0055761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2.5.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</w:t>
            </w:r>
            <w:r w:rsidR="00232D81">
              <w:rPr>
                <w:sz w:val="15"/>
                <w:szCs w:val="15"/>
                <w:lang w:eastAsia="en-US"/>
              </w:rPr>
              <w:t>-</w:t>
            </w:r>
            <w:r w:rsidRPr="00010079">
              <w:rPr>
                <w:sz w:val="15"/>
                <w:szCs w:val="15"/>
                <w:lang w:eastAsia="en-US"/>
              </w:rPr>
              <w:t>научной направленности</w:t>
            </w:r>
            <w:r w:rsidR="00232D81">
              <w:rPr>
                <w:sz w:val="15"/>
                <w:szCs w:val="15"/>
                <w:lang w:eastAsia="en-US"/>
              </w:rPr>
              <w:t>,</w:t>
            </w:r>
          </w:p>
          <w:p w:rsidR="00DA5ABB" w:rsidRPr="00010079" w:rsidRDefault="00232D81" w:rsidP="00010079">
            <w:pPr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DA5ABB" w:rsidRPr="00010079" w:rsidTr="0055761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Всего: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292864,</w:t>
            </w:r>
            <w:r w:rsidR="00F93911">
              <w:rPr>
                <w:rFonts w:eastAsia="Calibri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63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98876,</w:t>
            </w:r>
            <w:r w:rsidR="00F939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98876,</w:t>
            </w:r>
            <w:r w:rsidR="00F939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2D81" w:rsidRDefault="00DA5ABB" w:rsidP="000100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Организация деятельности по обеспечению персонифицирован-ного финансирования дополнительного образования детей</w:t>
            </w:r>
            <w:r w:rsidR="00232D81">
              <w:rPr>
                <w:sz w:val="15"/>
                <w:szCs w:val="15"/>
                <w:lang w:eastAsia="en-US"/>
              </w:rPr>
              <w:t>,</w:t>
            </w:r>
          </w:p>
          <w:p w:rsidR="00DA5ABB" w:rsidRPr="00010079" w:rsidRDefault="00232D81" w:rsidP="000100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01007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010079">
              <w:rPr>
                <w:rFonts w:eastAsia="Calibri"/>
                <w:sz w:val="16"/>
                <w:szCs w:val="16"/>
              </w:rPr>
              <w:t>КО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DA5ABB" w:rsidRPr="00010079" w:rsidTr="00557615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B19D3">
              <w:rPr>
                <w:rFonts w:eastAsia="Calibri"/>
                <w:sz w:val="15"/>
                <w:szCs w:val="15"/>
              </w:rPr>
              <w:t>292864,</w:t>
            </w:r>
            <w:r w:rsidR="00F93911">
              <w:rPr>
                <w:rFonts w:eastAsia="Calibri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63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98876,</w:t>
            </w:r>
            <w:r w:rsidR="00F939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98876,</w:t>
            </w:r>
            <w:r w:rsidR="00F939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ind w:left="-63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DA5ABB" w:rsidRPr="00010079" w:rsidTr="00557615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3.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Основное мероприятие: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2447518,3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341018,2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BB" w:rsidRPr="00010079" w:rsidRDefault="00DA5ABB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5ABB" w:rsidRPr="00010079" w:rsidRDefault="00DA5ABB" w:rsidP="00232D8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Количество</w:t>
            </w:r>
            <w:r w:rsidR="00232D81">
              <w:rPr>
                <w:sz w:val="15"/>
                <w:szCs w:val="15"/>
              </w:rPr>
              <w:t xml:space="preserve"> ОУ и ОУ</w:t>
            </w:r>
            <w:r w:rsidRPr="00010079">
              <w:rPr>
                <w:sz w:val="15"/>
                <w:szCs w:val="15"/>
              </w:rPr>
              <w:t>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BB" w:rsidRPr="00010079" w:rsidRDefault="00DA5ABB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ОУ</w:t>
            </w:r>
          </w:p>
          <w:p w:rsidR="00DA5ABB" w:rsidRPr="00010079" w:rsidRDefault="00DA5ABB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и УО</w:t>
            </w:r>
          </w:p>
        </w:tc>
      </w:tr>
      <w:tr w:rsidR="006621DF" w:rsidRPr="00010079" w:rsidTr="00557615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2447518,3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341018,2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2447518,3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341018,2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</w:rPr>
              <w:t>КО, ППМС</w:t>
            </w:r>
          </w:p>
        </w:tc>
      </w:tr>
      <w:tr w:rsidR="006621DF" w:rsidRPr="00010079" w:rsidTr="00557615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2447518,3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341018,2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106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</w:t>
            </w:r>
            <w:r w:rsidR="006B3457">
              <w:rPr>
                <w:sz w:val="15"/>
                <w:szCs w:val="15"/>
                <w:lang w:eastAsia="en-US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КО,</w:t>
            </w:r>
          </w:p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6621DF" w:rsidRPr="00010079" w:rsidTr="0055761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9D3B39">
            <w:pPr>
              <w:ind w:right="-106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обслуживаемых муниципальных</w:t>
            </w:r>
            <w:r w:rsidR="009D3B39">
              <w:rPr>
                <w:sz w:val="15"/>
                <w:szCs w:val="15"/>
                <w:lang w:eastAsia="en-US"/>
              </w:rPr>
              <w:t xml:space="preserve"> ОУ и УО</w:t>
            </w:r>
            <w:r w:rsidRPr="00010079">
              <w:rPr>
                <w:sz w:val="15"/>
                <w:szCs w:val="15"/>
                <w:lang w:eastAsia="en-US"/>
              </w:rPr>
              <w:t>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58B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</w:t>
            </w:r>
            <w:r w:rsidR="009D3B39">
              <w:rPr>
                <w:sz w:val="15"/>
                <w:szCs w:val="15"/>
                <w:lang w:eastAsia="en-US"/>
              </w:rPr>
              <w:t xml:space="preserve"> ОУ</w:t>
            </w:r>
            <w:r w:rsidRPr="00010079">
              <w:rPr>
                <w:sz w:val="15"/>
                <w:szCs w:val="15"/>
                <w:lang w:eastAsia="en-US"/>
              </w:rPr>
              <w:t>,</w:t>
            </w:r>
          </w:p>
          <w:p w:rsidR="006621DF" w:rsidRPr="00010079" w:rsidRDefault="006D558B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да-1, </w:t>
            </w:r>
            <w:r w:rsidR="006621DF" w:rsidRPr="00010079">
              <w:rPr>
                <w:sz w:val="15"/>
                <w:szCs w:val="15"/>
                <w:lang w:eastAsia="en-US"/>
              </w:rPr>
              <w:t>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7B184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обслуживаемых муниципальных</w:t>
            </w:r>
            <w:r w:rsidR="007B1849">
              <w:rPr>
                <w:sz w:val="15"/>
                <w:szCs w:val="15"/>
                <w:lang w:eastAsia="en-US"/>
              </w:rPr>
              <w:t xml:space="preserve"> ОУ и УО</w:t>
            </w:r>
            <w:r w:rsidRPr="00010079">
              <w:rPr>
                <w:sz w:val="15"/>
                <w:szCs w:val="15"/>
                <w:lang w:eastAsia="en-US"/>
              </w:rPr>
              <w:t>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5B0FC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 – эксплуатационного обслуживания образователь-ных учреждений»</w:t>
            </w:r>
          </w:p>
        </w:tc>
      </w:tr>
      <w:tr w:rsidR="006621DF" w:rsidRPr="00010079" w:rsidTr="0055761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9D3B3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Готовность </w:t>
            </w:r>
            <w:r w:rsidR="009D3B39">
              <w:rPr>
                <w:sz w:val="15"/>
                <w:szCs w:val="15"/>
                <w:lang w:eastAsia="en-US"/>
              </w:rPr>
              <w:t xml:space="preserve">ОУ </w:t>
            </w:r>
            <w:r w:rsidRPr="00010079">
              <w:rPr>
                <w:sz w:val="15"/>
                <w:szCs w:val="15"/>
                <w:lang w:eastAsia="en-US"/>
              </w:rPr>
              <w:t>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7B184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обслуживаемых муниципальных</w:t>
            </w:r>
            <w:r w:rsidR="007B1849">
              <w:rPr>
                <w:sz w:val="15"/>
                <w:szCs w:val="15"/>
                <w:lang w:eastAsia="en-US"/>
              </w:rPr>
              <w:t xml:space="preserve"> ОУ и УО</w:t>
            </w:r>
            <w:r w:rsidRPr="00010079">
              <w:rPr>
                <w:sz w:val="15"/>
                <w:szCs w:val="15"/>
                <w:lang w:eastAsia="en-US"/>
              </w:rPr>
              <w:t>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МБУО ЦБ</w:t>
            </w:r>
          </w:p>
        </w:tc>
      </w:tr>
      <w:tr w:rsidR="006621DF" w:rsidRPr="00010079" w:rsidTr="00557615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2018 - 2024</w:t>
            </w:r>
          </w:p>
        </w:tc>
        <w:tc>
          <w:tcPr>
            <w:tcW w:w="652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29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КО, ППМС</w:t>
            </w:r>
          </w:p>
        </w:tc>
      </w:tr>
      <w:tr w:rsidR="006621DF" w:rsidRPr="00010079" w:rsidTr="00557615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Всего: </w:t>
            </w:r>
            <w:r w:rsidRPr="00010079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12496D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28818690,8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12496D" w:rsidP="00851F8E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12496D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4254429,2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5A6690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4301875</w:t>
            </w:r>
            <w:r w:rsidR="0012496D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B553B1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4382240,6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F" w:rsidRPr="00010079" w:rsidRDefault="0012496D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11690748,8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12496D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12496D" w:rsidP="00851F8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1658298,3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12496D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1698199,4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B553B1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1740597,1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1875559,7</w:t>
            </w:r>
          </w:p>
        </w:tc>
        <w:tc>
          <w:tcPr>
            <w:tcW w:w="666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621DF" w:rsidRPr="00010079" w:rsidTr="00557615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16421008,0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2384050,7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2391595,9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B553B1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2429563,3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66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621DF" w:rsidRPr="00010079" w:rsidTr="00557615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F" w:rsidRPr="00010079" w:rsidRDefault="006621DF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6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1DF" w:rsidRPr="00010079" w:rsidRDefault="006621DF" w:rsidP="000100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010079" w:rsidRDefault="00010079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079AD" w:rsidRDefault="00C079AD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079AD" w:rsidRDefault="00C079AD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079AD" w:rsidRPr="00010079" w:rsidRDefault="00C079AD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010079" w:rsidRPr="00010079" w:rsidRDefault="00010079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010079">
        <w:rPr>
          <w:szCs w:val="28"/>
        </w:rPr>
        <w:t>Детализация направлений расходов</w:t>
      </w:r>
    </w:p>
    <w:p w:rsidR="00010079" w:rsidRPr="00010079" w:rsidRDefault="00010079" w:rsidP="00010079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310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010079" w:rsidRPr="00010079" w:rsidTr="008648D4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010079" w:rsidRPr="00010079" w:rsidTr="008648D4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9" w:rsidRPr="00010079" w:rsidRDefault="00010079" w:rsidP="00010079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2024 год</w:t>
            </w:r>
          </w:p>
        </w:tc>
      </w:tr>
      <w:tr w:rsidR="00010079" w:rsidRPr="00010079" w:rsidTr="008648D4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9" w:rsidRPr="00010079" w:rsidRDefault="00010079" w:rsidP="00010079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010079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2 447 518,3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341 018,2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149,2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2 447 518,3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341 018,2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149,2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331 58</w:t>
            </w:r>
            <w:r w:rsidR="001E79DB">
              <w:rPr>
                <w:sz w:val="15"/>
                <w:szCs w:val="15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47 418,9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48 871,4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50 289,8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53 815,1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1 565 061,9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221 810,6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229 741,2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237 817,0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249 413,6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468 74</w:t>
            </w:r>
            <w:r w:rsidR="001E79DB">
              <w:rPr>
                <w:sz w:val="15"/>
                <w:szCs w:val="15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64 67</w:t>
            </w:r>
            <w:r w:rsidR="001E79DB" w:rsidRPr="00010079">
              <w:rPr>
                <w:sz w:val="15"/>
                <w:szCs w:val="15"/>
              </w:rPr>
              <w:t>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65 627,8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66 516,5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75 920,5</w:t>
            </w:r>
          </w:p>
        </w:tc>
      </w:tr>
      <w:tr w:rsidR="001E79DB" w:rsidRPr="00010079" w:rsidTr="008648D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01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6C3AAA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7 496,3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  <w:p w:rsidR="001E79DB" w:rsidRPr="00010079" w:rsidRDefault="001E79DB" w:rsidP="0085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215459">
          <w:pgSz w:w="16837" w:h="11905" w:orient="landscape"/>
          <w:pgMar w:top="1701" w:right="851" w:bottom="426" w:left="1701" w:header="1134" w:footer="720" w:gutter="0"/>
          <w:pgNumType w:start="72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1F7B5F" w:rsidRDefault="001F7B5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1F7B5F" w:rsidRPr="00640411" w:rsidTr="002B0D8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1F7B5F" w:rsidRPr="00640411" w:rsidTr="002B0D8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B82D1C" w:rsidRPr="00640411" w:rsidTr="002B0D86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640411" w:rsidRDefault="00B82D1C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28 818 690,8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4 254 429,2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5A6690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4 301 875</w:t>
            </w:r>
            <w:r w:rsidR="00B82D1C">
              <w:rPr>
                <w:sz w:val="15"/>
                <w:szCs w:val="15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382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B82D1C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640411" w:rsidRDefault="00B82D1C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734E3B" w:rsidRDefault="00B82D1C" w:rsidP="00851F8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B82D1C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640411" w:rsidRDefault="00B82D1C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11 690 748,8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1 658 298,3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1 698 199,4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740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875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559,7</w:t>
            </w:r>
          </w:p>
        </w:tc>
      </w:tr>
      <w:tr w:rsidR="00B82D1C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640411" w:rsidRDefault="00B82D1C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421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008,0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299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384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391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429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B82D1C" w:rsidRPr="00640411" w:rsidTr="002B0D8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640411" w:rsidRDefault="00B82D1C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934,0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C" w:rsidRPr="00010079" w:rsidRDefault="00B82D1C" w:rsidP="00851F8E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1F7B5F" w:rsidRDefault="001F7B5F" w:rsidP="001F7B5F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</w:t>
      </w:r>
      <w:r w:rsidR="0037542F">
        <w:rPr>
          <w:szCs w:val="28"/>
          <w:lang w:eastAsia="en-US"/>
        </w:rPr>
        <w:t xml:space="preserve"> ОУ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>численности обучающихся</w:t>
      </w:r>
      <w:r w:rsidR="0037542F"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, несбалансированное кодовое распреде</w:t>
      </w:r>
      <w:r w:rsidR="00D32CD1">
        <w:rPr>
          <w:szCs w:val="28"/>
          <w:lang w:eastAsia="en-US"/>
        </w:rPr>
        <w:t>ление финансовых средств между</w:t>
      </w:r>
      <w:r w:rsidR="0037542F"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="00D0398D">
        <w:rPr>
          <w:szCs w:val="28"/>
          <w:lang w:eastAsia="en-US"/>
        </w:rPr>
        <w:t>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9B3E99" w:rsidRDefault="009B3E99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9B3E99" w:rsidRDefault="009B3E99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215459">
          <w:pgSz w:w="11905" w:h="16837" w:code="9"/>
          <w:pgMar w:top="1134" w:right="567" w:bottom="1134" w:left="1701" w:header="720" w:footer="720" w:gutter="0"/>
          <w:pgNumType w:start="80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sectPr w:rsidR="00AF0833" w:rsidSect="00E94A5F">
      <w:type w:val="continuous"/>
      <w:pgSz w:w="11905" w:h="16837"/>
      <w:pgMar w:top="1134" w:right="567" w:bottom="1134" w:left="1701" w:header="567" w:footer="720" w:gutter="0"/>
      <w:pgNumType w:start="81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6E27C6" w:rsidRDefault="00212900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A5F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91B075-4875-4559-BA91-869087B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EEBF-A63D-4C7A-83A1-3C8E4E0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31886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2020-12-18T07:25:00Z</dcterms:modified>
</cp:coreProperties>
</file>