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CD677D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ППМС - муниципальное бюджетное учреждение г. Мурманска «Центр психолого-педагогической, медицинской и социальной помощи»;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F61A48" w:rsidRDefault="00F61A48" w:rsidP="005E4F58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Паспорт муниципальной программы</w:t>
      </w:r>
    </w:p>
    <w:p w:rsidR="005704F6" w:rsidRPr="00CB7011" w:rsidRDefault="005704F6" w:rsidP="005704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удельный вес численности обучающихся муниципальных </w:t>
            </w:r>
            <w:r w:rsidRPr="00963CBD">
              <w:rPr>
                <w:szCs w:val="28"/>
                <w:lang w:eastAsia="ar-SA"/>
              </w:rPr>
              <w:lastRenderedPageBreak/>
              <w:t>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</w:t>
            </w:r>
            <w:r w:rsidRPr="00963CBD">
              <w:rPr>
                <w:szCs w:val="28"/>
                <w:lang w:eastAsia="ar-SA"/>
              </w:rPr>
              <w:lastRenderedPageBreak/>
              <w:t>числа зданий, требующих реконструкции, %;</w:t>
            </w:r>
          </w:p>
          <w:p w:rsidR="005704F6" w:rsidRPr="00963CBD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численности детей 5-7 лет, которым </w:t>
            </w:r>
            <w:r w:rsidRPr="00963CBD">
              <w:rPr>
                <w:szCs w:val="28"/>
              </w:rPr>
              <w:lastRenderedPageBreak/>
              <w:t>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lastRenderedPageBreak/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Всего по муниципальной программе: </w:t>
            </w:r>
          </w:p>
          <w:p w:rsidR="005704F6" w:rsidRPr="00D72227" w:rsidRDefault="002670F7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51 979 268,5</w:t>
            </w:r>
            <w:r w:rsidR="005704F6" w:rsidRPr="00D72227">
              <w:rPr>
                <w:color w:val="000000"/>
                <w:szCs w:val="28"/>
              </w:rPr>
              <w:t xml:space="preserve"> тыс. руб., в т.ч.: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местный бюджет (далее – МБ): </w:t>
            </w:r>
            <w:r w:rsidR="00B26616" w:rsidRPr="00B26616">
              <w:rPr>
                <w:color w:val="000000"/>
                <w:szCs w:val="28"/>
              </w:rPr>
              <w:t>22 439 769,4</w:t>
            </w:r>
            <w:r>
              <w:rPr>
                <w:color w:val="000000"/>
                <w:szCs w:val="28"/>
              </w:rPr>
              <w:t xml:space="preserve"> </w:t>
            </w:r>
            <w:r w:rsidRPr="00D72227">
              <w:rPr>
                <w:color w:val="000000"/>
                <w:szCs w:val="28"/>
              </w:rPr>
              <w:t xml:space="preserve">тыс. </w:t>
            </w:r>
            <w:r>
              <w:rPr>
                <w:color w:val="000000"/>
                <w:szCs w:val="28"/>
              </w:rPr>
              <w:t xml:space="preserve">руб., из </w:t>
            </w:r>
            <w:r w:rsidRPr="00D72227">
              <w:rPr>
                <w:color w:val="000000"/>
                <w:szCs w:val="28"/>
              </w:rPr>
              <w:t>них:</w:t>
            </w:r>
          </w:p>
          <w:p w:rsidR="005704F6" w:rsidRPr="00D72227" w:rsidRDefault="000B0A81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год – 3 544 899,3</w:t>
            </w:r>
            <w:r w:rsidR="005704F6"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2670F7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 – 3 479 480,5</w:t>
            </w:r>
            <w:r w:rsidR="005704F6">
              <w:rPr>
                <w:color w:val="000000"/>
                <w:szCs w:val="28"/>
              </w:rPr>
              <w:t xml:space="preserve"> </w:t>
            </w:r>
            <w:r w:rsidR="005704F6" w:rsidRPr="00D72227">
              <w:rPr>
                <w:color w:val="000000"/>
                <w:szCs w:val="28"/>
              </w:rPr>
              <w:t>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 – 3 372 811,9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 год – 3 422 661,9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2022 год – 2 800 552,2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2 863 292,7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2 956 070,9 тыс. руб.;</w:t>
            </w:r>
          </w:p>
          <w:p w:rsidR="005704F6" w:rsidRPr="00D72227" w:rsidRDefault="005704F6" w:rsidP="00750028">
            <w:pPr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областной</w:t>
            </w:r>
            <w:r>
              <w:rPr>
                <w:color w:val="000000"/>
                <w:szCs w:val="28"/>
              </w:rPr>
              <w:t xml:space="preserve"> б</w:t>
            </w:r>
            <w:r w:rsidR="000B0A81">
              <w:rPr>
                <w:color w:val="000000"/>
                <w:szCs w:val="28"/>
              </w:rPr>
              <w:t>юджет (далее – ОБ): 29 539 499,1</w:t>
            </w:r>
            <w:r w:rsidRPr="00D72227">
              <w:rPr>
                <w:color w:val="000000"/>
                <w:szCs w:val="28"/>
              </w:rPr>
              <w:t xml:space="preserve"> тыс. руб., из них:</w:t>
            </w:r>
          </w:p>
          <w:p w:rsidR="005704F6" w:rsidRPr="00D72227" w:rsidRDefault="000B0A81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год – 4 338 512,4</w:t>
            </w:r>
            <w:r w:rsidR="005704F6"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 – 4 406 042,7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2020 год –</w:t>
            </w:r>
            <w:r>
              <w:rPr>
                <w:color w:val="000000"/>
                <w:szCs w:val="28"/>
              </w:rPr>
              <w:t xml:space="preserve"> </w:t>
            </w:r>
            <w:r w:rsidRPr="0037382C">
              <w:rPr>
                <w:color w:val="000000"/>
                <w:szCs w:val="28"/>
              </w:rPr>
              <w:t xml:space="preserve">4 646 462,2 </w:t>
            </w:r>
            <w:r w:rsidRPr="00D72227">
              <w:rPr>
                <w:color w:val="000000"/>
                <w:szCs w:val="28"/>
              </w:rPr>
              <w:t>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2021 год – </w:t>
            </w:r>
            <w:r w:rsidRPr="0037382C">
              <w:rPr>
                <w:color w:val="000000"/>
                <w:szCs w:val="28"/>
              </w:rPr>
              <w:t>4 681 219,1</w:t>
            </w:r>
            <w:r w:rsidRPr="00D72227">
              <w:rPr>
                <w:color w:val="000000"/>
                <w:szCs w:val="28"/>
              </w:rPr>
              <w:t xml:space="preserve">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2022 год – </w:t>
            </w:r>
            <w:r w:rsidRPr="0037382C">
              <w:rPr>
                <w:color w:val="000000"/>
                <w:szCs w:val="28"/>
              </w:rPr>
              <w:t>3 822 420,9</w:t>
            </w:r>
            <w:r w:rsidRPr="00D72227">
              <w:rPr>
                <w:color w:val="000000"/>
                <w:szCs w:val="28"/>
              </w:rPr>
              <w:t>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3 822 420,9 тыс. руб.;</w:t>
            </w:r>
          </w:p>
          <w:p w:rsidR="005704F6" w:rsidRPr="00D72227" w:rsidRDefault="005704F6" w:rsidP="00E970BB">
            <w:pPr>
              <w:ind w:left="66" w:hanging="75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3 822 420,9 тыс. руб.;</w:t>
            </w:r>
          </w:p>
          <w:p w:rsidR="005704F6" w:rsidRPr="00FE6656" w:rsidRDefault="005704F6" w:rsidP="00E970BB">
            <w:pPr>
              <w:ind w:left="66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федеральный бюджет (далее – ФБ): 0,0 тыс. руб.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обеспеченность детей дошкольного возраста местами в </w:t>
            </w:r>
            <w:r w:rsidRPr="00C24D73">
              <w:rPr>
                <w:szCs w:val="28"/>
                <w:lang w:eastAsia="ar-SA"/>
              </w:rPr>
              <w:lastRenderedPageBreak/>
              <w:t>дошкольных образовательных учреждениях – 800 мест на 1000 детей;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 17,3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33,6 %;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доля образовательных учреждений, оснащенных системами автоматической пожарной сигнализации и речевого </w:t>
            </w:r>
            <w:r w:rsidRPr="00C24D73">
              <w:rPr>
                <w:szCs w:val="28"/>
                <w:lang w:eastAsia="ar-SA"/>
              </w:rPr>
              <w:lastRenderedPageBreak/>
              <w:t>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отдохнувших и оздоровленных детей и молодежи – 8884 чел.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lastRenderedPageBreak/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5704F6" w:rsidRPr="00C24D73" w:rsidRDefault="005704F6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обеспечение психолого-педагогического сопровождения </w:t>
            </w:r>
            <w:r w:rsidRPr="00C24D73">
              <w:rPr>
                <w:szCs w:val="28"/>
                <w:lang w:eastAsia="en-US"/>
              </w:rPr>
              <w:lastRenderedPageBreak/>
              <w:t>детей и родителей (законных представителей)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</w:t>
            </w:r>
            <w:r w:rsidR="00DE71CB">
              <w:rPr>
                <w:szCs w:val="28"/>
                <w:lang w:eastAsia="en-US"/>
              </w:rPr>
              <w:t xml:space="preserve">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5704F6" w:rsidRPr="00C24D73" w:rsidRDefault="005704F6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  <w:bookmarkStart w:id="1" w:name="_GoBack"/>
      <w:bookmarkEnd w:id="1"/>
    </w:p>
    <w:sectPr w:rsidR="00FE6656" w:rsidSect="00245A23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5A23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5F9C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1BB980-75C1-41DA-A3B1-38333E2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87E7-4902-443E-B531-D21BEDF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21607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42</cp:revision>
  <cp:lastPrinted>2018-12-17T13:51:00Z</cp:lastPrinted>
  <dcterms:created xsi:type="dcterms:W3CDTF">2018-12-17T06:27:00Z</dcterms:created>
  <dcterms:modified xsi:type="dcterms:W3CDTF">2018-12-19T08:28:00Z</dcterms:modified>
</cp:coreProperties>
</file>