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bCs/>
          <w:szCs w:val="28"/>
          <w:lang w:val="en-US"/>
        </w:rPr>
        <w:t>I</w:t>
      </w:r>
      <w:r w:rsidRPr="00D9070C">
        <w:rPr>
          <w:bCs/>
          <w:szCs w:val="28"/>
        </w:rPr>
        <w:t xml:space="preserve">. Подпрограмма </w:t>
      </w:r>
      <w:r w:rsidRPr="00D9070C">
        <w:rPr>
          <w:szCs w:val="28"/>
        </w:rPr>
        <w:t xml:space="preserve">«Оказание мер социальной поддержки детям-сиротам и детям, </w:t>
      </w:r>
      <w:r>
        <w:rPr>
          <w:szCs w:val="28"/>
        </w:rPr>
        <w:br/>
      </w:r>
      <w:r w:rsidRPr="00D9070C">
        <w:rPr>
          <w:szCs w:val="28"/>
        </w:rPr>
        <w:t>оставшимся без попечения родителей, лицам из их числа» на 2018 - 2024 годы</w:t>
      </w: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Default="00D9070C" w:rsidP="00D9070C">
      <w:pPr>
        <w:widowControl w:val="0"/>
        <w:autoSpaceDE w:val="0"/>
        <w:jc w:val="center"/>
        <w:rPr>
          <w:szCs w:val="28"/>
        </w:rPr>
      </w:pPr>
      <w:r w:rsidRPr="00D9070C">
        <w:rPr>
          <w:szCs w:val="28"/>
        </w:rPr>
        <w:t>Паспорт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tbl>
      <w:tblPr>
        <w:tblW w:w="145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1595"/>
      </w:tblGrid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«Социальная поддержка» на 2018 - 2024 годы</w:t>
            </w:r>
          </w:p>
        </w:tc>
      </w:tr>
      <w:tr w:rsidR="00D9070C" w:rsidRPr="00D9070C" w:rsidTr="007F56C3">
        <w:trPr>
          <w:trHeight w:val="449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Цель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D9070C" w:rsidRPr="00D9070C" w:rsidTr="007F56C3">
        <w:trPr>
          <w:trHeight w:val="772"/>
        </w:trPr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1. Число детей-сирот и детей, оставшихся без попечения родителей, лиц из их числа.</w:t>
            </w:r>
          </w:p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КО, КИО, КС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КО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t>2018 – 2024 годы</w:t>
            </w:r>
          </w:p>
        </w:tc>
      </w:tr>
      <w:tr w:rsidR="004211EE" w:rsidRPr="00D9070C" w:rsidTr="007F56C3">
        <w:tc>
          <w:tcPr>
            <w:tcW w:w="2977" w:type="dxa"/>
            <w:shd w:val="clear" w:color="auto" w:fill="auto"/>
          </w:tcPr>
          <w:p w:rsidR="004211EE" w:rsidRPr="00D63248" w:rsidRDefault="004211EE" w:rsidP="004211E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248">
              <w:rPr>
                <w:szCs w:val="28"/>
                <w:lang w:eastAsia="ar-SA"/>
              </w:rPr>
              <w:t>Финансовое обеспечение</w:t>
            </w:r>
            <w:r w:rsidRPr="00D63248">
              <w:rPr>
                <w:szCs w:val="28"/>
              </w:rPr>
              <w:t xml:space="preserve"> подпрограммы</w:t>
            </w:r>
          </w:p>
        </w:tc>
        <w:tc>
          <w:tcPr>
            <w:tcW w:w="11595" w:type="dxa"/>
            <w:shd w:val="clear" w:color="auto" w:fill="auto"/>
          </w:tcPr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 xml:space="preserve">Всего по подпрограмме: 2 702 744,7 тыс. руб., в </w:t>
            </w:r>
            <w:proofErr w:type="spellStart"/>
            <w:r w:rsidRPr="00D63248">
              <w:rPr>
                <w:szCs w:val="28"/>
              </w:rPr>
              <w:t>т.ч</w:t>
            </w:r>
            <w:proofErr w:type="spellEnd"/>
            <w:r w:rsidRPr="00D63248">
              <w:rPr>
                <w:szCs w:val="28"/>
              </w:rPr>
              <w:t>.: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МБ: 13 061,1 тыс. руб., из них: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1 808,8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1 501,5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1 750,8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2 000,0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2 000,0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2 000,0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2024 год – 2 000,0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lastRenderedPageBreak/>
              <w:t>ОБ: 2 640 664,7 тыс. руб., из них: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366 597,8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310 506,1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411 686,0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421 819,6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409 974,2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352 274,9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2024 год – 367 806,1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ФБ: 49 018,9 тыс. руб., из них: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2018 год – 6 565,9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2019 год – 4 381,4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2020 год – 5 782,8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2021 год – 8 778,5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2022 год – 8 832,4 тыс. руб.,</w:t>
            </w:r>
          </w:p>
          <w:p w:rsidR="004211EE" w:rsidRPr="00D63248" w:rsidRDefault="004211EE" w:rsidP="004211EE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D63248">
              <w:rPr>
                <w:szCs w:val="28"/>
              </w:rPr>
              <w:t>2023 год – 8 832,4 тыс. руб.,</w:t>
            </w:r>
          </w:p>
          <w:p w:rsidR="004211EE" w:rsidRPr="00D63248" w:rsidRDefault="004211EE" w:rsidP="004211EE">
            <w:pPr>
              <w:tabs>
                <w:tab w:val="left" w:pos="709"/>
              </w:tabs>
              <w:jc w:val="both"/>
            </w:pPr>
            <w:r w:rsidRPr="00D63248">
              <w:rPr>
                <w:szCs w:val="28"/>
              </w:rPr>
              <w:t>2024 год – 5 845,5 тыс. руб.</w:t>
            </w:r>
          </w:p>
        </w:tc>
      </w:tr>
      <w:tr w:rsidR="00D9070C" w:rsidRPr="00D9070C" w:rsidTr="007F56C3">
        <w:tc>
          <w:tcPr>
            <w:tcW w:w="2977" w:type="dxa"/>
            <w:shd w:val="clear" w:color="auto" w:fill="auto"/>
          </w:tcPr>
          <w:p w:rsidR="00D9070C" w:rsidRPr="00D9070C" w:rsidRDefault="00D9070C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9070C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1595" w:type="dxa"/>
            <w:shd w:val="clear" w:color="auto" w:fill="auto"/>
          </w:tcPr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</w:t>
            </w:r>
            <w:r w:rsidR="00A86622">
              <w:rPr>
                <w:szCs w:val="28"/>
              </w:rPr>
              <w:t>021</w:t>
            </w:r>
            <w:r w:rsidRPr="00D9070C">
              <w:rPr>
                <w:szCs w:val="28"/>
              </w:rPr>
              <w:t xml:space="preserve"> чел.</w:t>
            </w:r>
          </w:p>
          <w:p w:rsidR="00D9070C" w:rsidRPr="00D9070C" w:rsidRDefault="00D9070C" w:rsidP="008B0293">
            <w:pPr>
              <w:rPr>
                <w:szCs w:val="28"/>
              </w:rPr>
            </w:pPr>
            <w:r w:rsidRPr="00D9070C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года, на уровне 100%</w:t>
            </w:r>
          </w:p>
        </w:tc>
      </w:tr>
    </w:tbl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 xml:space="preserve">1. Характеристика проблемы, на решение которой направлена </w:t>
      </w:r>
    </w:p>
    <w:p w:rsidR="00D9070C" w:rsidRDefault="00D9070C" w:rsidP="00D9070C">
      <w:pPr>
        <w:tabs>
          <w:tab w:val="left" w:pos="6525"/>
        </w:tabs>
        <w:jc w:val="center"/>
        <w:rPr>
          <w:szCs w:val="28"/>
        </w:rPr>
      </w:pPr>
      <w:r w:rsidRPr="00D9070C">
        <w:rPr>
          <w:szCs w:val="28"/>
        </w:rPr>
        <w:t>подпрограмма муниципальной программы</w:t>
      </w:r>
    </w:p>
    <w:p w:rsidR="00D9070C" w:rsidRPr="00D9070C" w:rsidRDefault="00D9070C" w:rsidP="00D9070C">
      <w:pPr>
        <w:tabs>
          <w:tab w:val="left" w:pos="6525"/>
        </w:tabs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человек; в организациях для детей-сирот и детей, оставшихся без попечения родителей – 75 человек; в профессиональных </w:t>
      </w:r>
      <w:r w:rsidRPr="00D9070C">
        <w:rPr>
          <w:szCs w:val="28"/>
        </w:rPr>
        <w:lastRenderedPageBreak/>
        <w:t>образовательных организациях – 9 человек.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родителей. За последние пять лет сокращение произошло приблизительно на 40%.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 Помимо этого, предоставляются 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 xml:space="preserve">2. Основные цели и задачи подпрограммы, целевые показатели (индикаторы) </w:t>
      </w: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реализации подпрограммы</w:t>
      </w:r>
    </w:p>
    <w:p w:rsidR="00D9070C" w:rsidRP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497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310"/>
        <w:gridCol w:w="840"/>
        <w:gridCol w:w="1394"/>
        <w:gridCol w:w="1336"/>
        <w:gridCol w:w="1000"/>
        <w:gridCol w:w="1000"/>
        <w:gridCol w:w="1000"/>
        <w:gridCol w:w="1000"/>
        <w:gridCol w:w="1000"/>
        <w:gridCol w:w="1000"/>
        <w:gridCol w:w="901"/>
      </w:tblGrid>
      <w:tr w:rsidR="007F56C3" w:rsidRPr="0014492E" w:rsidTr="007F56C3">
        <w:trPr>
          <w:trHeight w:val="2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№ п/п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Цель, показатели (индикаторы)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Ед. изм.</w:t>
            </w:r>
          </w:p>
        </w:tc>
        <w:tc>
          <w:tcPr>
            <w:tcW w:w="332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Текущий год</w:t>
            </w:r>
          </w:p>
        </w:tc>
        <w:tc>
          <w:tcPr>
            <w:tcW w:w="23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2016 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2017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2018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2019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2020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2021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2022 год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2023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2024 год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12</w:t>
            </w:r>
          </w:p>
        </w:tc>
      </w:tr>
      <w:tr w:rsidR="007F56C3" w:rsidRPr="0014492E" w:rsidTr="007F56C3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both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1394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1339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1257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1171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1109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1111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1081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1051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</w:rPr>
            </w:pPr>
            <w:r w:rsidRPr="0014492E">
              <w:rPr>
                <w:sz w:val="24"/>
                <w:szCs w:val="24"/>
              </w:rPr>
              <w:t>1021</w:t>
            </w:r>
          </w:p>
        </w:tc>
      </w:tr>
      <w:tr w:rsidR="007F56C3" w:rsidRPr="0014492E" w:rsidTr="007F56C3">
        <w:trPr>
          <w:trHeight w:val="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C3" w:rsidRPr="0014492E" w:rsidRDefault="007F56C3" w:rsidP="008944F6">
            <w:pPr>
              <w:jc w:val="center"/>
              <w:rPr>
                <w:sz w:val="24"/>
                <w:szCs w:val="24"/>
                <w:lang w:eastAsia="en-US"/>
              </w:rPr>
            </w:pPr>
            <w:r w:rsidRPr="0014492E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4211EE" w:rsidRPr="008E4C5D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3. Перечень основных мероприятий подпрограммы</w:t>
      </w:r>
    </w:p>
    <w:p w:rsidR="004211EE" w:rsidRPr="008E4C5D" w:rsidRDefault="004211EE" w:rsidP="004211EE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2410"/>
        <w:gridCol w:w="425"/>
        <w:gridCol w:w="425"/>
        <w:gridCol w:w="426"/>
        <w:gridCol w:w="425"/>
        <w:gridCol w:w="425"/>
        <w:gridCol w:w="425"/>
        <w:gridCol w:w="426"/>
        <w:gridCol w:w="1134"/>
      </w:tblGrid>
      <w:tr w:rsidR="004211EE" w:rsidRPr="00EF2C08" w:rsidTr="00081E6C">
        <w:trPr>
          <w:trHeight w:val="161"/>
          <w:tblHeader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Срок выполнения (</w:t>
            </w:r>
            <w:proofErr w:type="spellStart"/>
            <w:r w:rsidRPr="00EF2C08">
              <w:rPr>
                <w:sz w:val="14"/>
                <w:szCs w:val="14"/>
              </w:rPr>
              <w:t>квар</w:t>
            </w:r>
            <w:proofErr w:type="spellEnd"/>
            <w:r w:rsidRPr="00EF2C08">
              <w:rPr>
                <w:sz w:val="14"/>
                <w:szCs w:val="14"/>
              </w:rPr>
              <w:t xml:space="preserve"> тал,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211EE" w:rsidRPr="00EF2C08" w:rsidTr="00081E6C">
        <w:trPr>
          <w:trHeight w:val="408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2024 год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2019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2020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2021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2022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2023 год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  <w:tblHeader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  <w:tblHeader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21</w:t>
            </w:r>
          </w:p>
        </w:tc>
      </w:tr>
      <w:tr w:rsidR="004211EE" w:rsidRPr="00EF2C08" w:rsidTr="00081E6C">
        <w:trPr>
          <w:trHeight w:val="20"/>
        </w:trPr>
        <w:tc>
          <w:tcPr>
            <w:tcW w:w="146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both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1706810,9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262278,0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250094,8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258062,8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239474,0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96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1706810,9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228452,3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262278,0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250094,8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258062,8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239474,0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1706731,3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262278,0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250094,8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258062,8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239474,0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Количество детей-сирот и детей, оставшихся без попечения родителей, воспитывающихся в семьях опекунов, попечителей,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496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471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476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430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430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1706731,3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221398,2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228372,7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247050,8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262278,0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250094,8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258062,8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239474,0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263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275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278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257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258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161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Субвенция на обеспечение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одеждой, обувью, мягким инвентарем, оборудованием и единовременным денежным пособием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Количество выпускников муниципальных образовательных учреждений из числа детей-сирот и детей, оставшихся без попечения родителей, лиц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обеспеченных одеждой, обувью, мягким инвентарем, оборудованием и единовременным денежным пособием,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995933,8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153574,3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87936,7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172168,8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170320,1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170711,8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105044,5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136177,6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в </w:t>
            </w:r>
            <w:proofErr w:type="spellStart"/>
            <w:r w:rsidRPr="00F72BCB">
              <w:rPr>
                <w:sz w:val="14"/>
                <w:szCs w:val="14"/>
              </w:rPr>
              <w:t>т.ч</w:t>
            </w:r>
            <w:proofErr w:type="spellEnd"/>
            <w:r w:rsidRPr="00F72BCB">
              <w:rPr>
                <w:sz w:val="14"/>
                <w:szCs w:val="14"/>
              </w:rPr>
              <w:t xml:space="preserve">.: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13061,1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933853,8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145199,6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82053,8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164635,2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159541,6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159879,4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94212,1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128332,1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49018,9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 xml:space="preserve">5845,5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F72BCB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F72BCB">
              <w:rPr>
                <w:sz w:val="14"/>
                <w:szCs w:val="14"/>
              </w:rPr>
              <w:t>Количество приобретенных жилых помещений детям-сиротам и детям, оставшимся без попечения родителей, лицам из их числа по договорам найма специализированных жилых помещений, ед.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33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Pr="00EF2C08">
              <w:rPr>
                <w:sz w:val="14"/>
                <w:szCs w:val="14"/>
              </w:rPr>
              <w:t>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84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КИО</w:t>
            </w: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40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КС, ММКУ «УКС»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</w:t>
            </w:r>
            <w:r w:rsidRPr="00EF2C08">
              <w:rPr>
                <w:sz w:val="14"/>
                <w:szCs w:val="14"/>
              </w:rPr>
              <w:lastRenderedPageBreak/>
              <w:t xml:space="preserve">финансирования расходов по выплате денежного вознаграждения лицам, осуществляющим </w:t>
            </w:r>
            <w:proofErr w:type="spellStart"/>
            <w:r w:rsidRPr="00EF2C08">
              <w:rPr>
                <w:sz w:val="14"/>
                <w:szCs w:val="14"/>
              </w:rPr>
              <w:t>постинтернатный</w:t>
            </w:r>
            <w:proofErr w:type="spellEnd"/>
            <w:r w:rsidRPr="00EF2C08"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14823,4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 w:rsidRPr="00EF2C08">
              <w:rPr>
                <w:sz w:val="14"/>
                <w:szCs w:val="14"/>
              </w:rPr>
              <w:t>постинтернатный</w:t>
            </w:r>
            <w:proofErr w:type="spellEnd"/>
            <w:r w:rsidRPr="00EF2C08"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14823,4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2011,2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2164,7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2251,3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2341,3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2044,5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Субвенция на предоставление мер 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136170,9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18961,5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19266,6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20037,3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19159,6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Число детей-сирот и детей, оставшихся без попечения родителей, лиц из их числа, которым предоставлена ежемесячная жилищно- коммунальная выплата, чел.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583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567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522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510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136170,9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19153,4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19723,2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19869,3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18961,5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19266,6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20037,3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19159,6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813203,2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128343,3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62083,9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145992,0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144144,0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144144,0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77616,0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110880,0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КИО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764184,3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121777,4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57702,5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140209,2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135365,5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135311,6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68783,6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105034,5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49018,9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5845,5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13061,1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КС, ММКУ «УКС»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13061,1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Субвенция на осуществление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детьми-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2018 - 2024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18675,2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Доля отремонтированных квартир 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КС, ММКУ «УКС»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18675,2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2302,9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2616,9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2512,2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3049,9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2093,5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0,0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2702744,7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374972,5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316389,0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419219,6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432598,1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420806,6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363107,3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375651,6 </w:t>
            </w:r>
          </w:p>
        </w:tc>
        <w:tc>
          <w:tcPr>
            <w:tcW w:w="65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93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в </w:t>
            </w:r>
            <w:proofErr w:type="spellStart"/>
            <w:r w:rsidRPr="00EF2C08">
              <w:rPr>
                <w:sz w:val="14"/>
                <w:szCs w:val="14"/>
              </w:rPr>
              <w:t>т.ч</w:t>
            </w:r>
            <w:proofErr w:type="spellEnd"/>
            <w:r w:rsidRPr="00EF2C08">
              <w:rPr>
                <w:sz w:val="14"/>
                <w:szCs w:val="14"/>
              </w:rPr>
              <w:t>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 </w:t>
            </w:r>
          </w:p>
        </w:tc>
        <w:tc>
          <w:tcPr>
            <w:tcW w:w="652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13061,1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1808,8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1501,5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1750,8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2000,0 </w:t>
            </w:r>
          </w:p>
        </w:tc>
        <w:tc>
          <w:tcPr>
            <w:tcW w:w="652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2640664,7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366597,8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310506,1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411686,0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421819,6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409974,2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352274,9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367806,1 </w:t>
            </w:r>
          </w:p>
        </w:tc>
        <w:tc>
          <w:tcPr>
            <w:tcW w:w="652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</w:tr>
      <w:tr w:rsidR="004211EE" w:rsidRPr="00EF2C08" w:rsidTr="00081E6C">
        <w:trPr>
          <w:trHeight w:val="2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>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49018,9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6565,9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4381,4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5782,8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8778,5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8832,4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F2C08">
              <w:rPr>
                <w:sz w:val="14"/>
                <w:szCs w:val="14"/>
              </w:rPr>
              <w:t xml:space="preserve">5845,5 </w:t>
            </w:r>
          </w:p>
        </w:tc>
        <w:tc>
          <w:tcPr>
            <w:tcW w:w="6521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Pr="00EF2C08" w:rsidRDefault="004211EE" w:rsidP="00081E6C">
            <w:pPr>
              <w:rPr>
                <w:sz w:val="14"/>
                <w:szCs w:val="14"/>
              </w:rPr>
            </w:pPr>
          </w:p>
        </w:tc>
      </w:tr>
    </w:tbl>
    <w:p w:rsidR="004211EE" w:rsidRPr="008E4C5D" w:rsidRDefault="004211EE" w:rsidP="004211EE"/>
    <w:p w:rsidR="004211EE" w:rsidRPr="008E4C5D" w:rsidRDefault="004211EE" w:rsidP="004211EE">
      <w:pPr>
        <w:jc w:val="center"/>
        <w:rPr>
          <w:szCs w:val="28"/>
        </w:rPr>
      </w:pPr>
      <w:r w:rsidRPr="008E4C5D">
        <w:rPr>
          <w:szCs w:val="28"/>
        </w:rPr>
        <w:t>Детализация направлений расходов</w:t>
      </w:r>
    </w:p>
    <w:p w:rsidR="004211EE" w:rsidRPr="008E4C5D" w:rsidRDefault="004211EE" w:rsidP="004211EE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1"/>
        <w:gridCol w:w="3647"/>
        <w:gridCol w:w="1499"/>
        <w:gridCol w:w="1235"/>
        <w:gridCol w:w="1093"/>
        <w:gridCol w:w="1134"/>
        <w:gridCol w:w="1175"/>
        <w:gridCol w:w="1093"/>
        <w:gridCol w:w="1134"/>
        <w:gridCol w:w="992"/>
        <w:gridCol w:w="993"/>
      </w:tblGrid>
      <w:tr w:rsidR="004211EE" w:rsidTr="00081E6C">
        <w:trPr>
          <w:trHeight w:val="2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8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4211EE" w:rsidTr="00081E6C">
        <w:trPr>
          <w:trHeight w:val="20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4211EE" w:rsidTr="00081E6C">
        <w:trPr>
          <w:trHeight w:val="20"/>
          <w:tblHeader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1706810,9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1706810,9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228452,3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1706731,3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228372,7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247050,8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258062,8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239474,0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720248,1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94658,4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108997,1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103736,7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104958,6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393660,7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51987,7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56762,6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55216,6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592822,5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81726,6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81291,1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79298,8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995933,8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153574,3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87936,7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172168,8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136177,6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933853,8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82053,8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164635,2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159541,6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94212,1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128332,1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49018,9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4381,4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5782,8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5845,5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13061,1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12887,5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12887,5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1473,5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1750,8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3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Экспертиза выполненных работ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211EE" w:rsidTr="00081E6C">
        <w:trPr>
          <w:trHeight w:val="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1EE" w:rsidRDefault="004211EE" w:rsidP="00081E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D9070C" w:rsidRPr="00D9070C" w:rsidRDefault="00D9070C" w:rsidP="00D9070C">
      <w:pPr>
        <w:widowControl w:val="0"/>
        <w:autoSpaceDE w:val="0"/>
        <w:jc w:val="center"/>
        <w:rPr>
          <w:sz w:val="24"/>
          <w:szCs w:val="24"/>
        </w:rPr>
      </w:pPr>
    </w:p>
    <w:p w:rsidR="006B3AE1" w:rsidRPr="00A81A9E" w:rsidRDefault="006B3AE1" w:rsidP="006B3AE1">
      <w:pPr>
        <w:autoSpaceDE w:val="0"/>
        <w:autoSpaceDN w:val="0"/>
        <w:adjustRightInd w:val="0"/>
        <w:jc w:val="center"/>
        <w:rPr>
          <w:szCs w:val="28"/>
        </w:rPr>
      </w:pPr>
      <w:r w:rsidRPr="00A81A9E">
        <w:rPr>
          <w:szCs w:val="28"/>
        </w:rPr>
        <w:t>Оценка применения мер налогового регулирования в сфере</w:t>
      </w:r>
      <w:r>
        <w:rPr>
          <w:szCs w:val="28"/>
        </w:rPr>
        <w:t xml:space="preserve"> </w:t>
      </w:r>
      <w:r w:rsidRPr="00A81A9E">
        <w:rPr>
          <w:szCs w:val="28"/>
        </w:rPr>
        <w:t xml:space="preserve">реализации </w:t>
      </w:r>
      <w:r>
        <w:rPr>
          <w:szCs w:val="28"/>
        </w:rPr>
        <w:t>муниципальной программы</w:t>
      </w:r>
    </w:p>
    <w:p w:rsidR="006B3AE1" w:rsidRDefault="006B3AE1" w:rsidP="006B3AE1">
      <w:pPr>
        <w:jc w:val="center"/>
      </w:pPr>
    </w:p>
    <w:tbl>
      <w:tblPr>
        <w:tblW w:w="4968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219"/>
        <w:gridCol w:w="842"/>
        <w:gridCol w:w="842"/>
        <w:gridCol w:w="842"/>
        <w:gridCol w:w="842"/>
        <w:gridCol w:w="842"/>
        <w:gridCol w:w="845"/>
        <w:gridCol w:w="842"/>
        <w:gridCol w:w="842"/>
        <w:gridCol w:w="862"/>
        <w:gridCol w:w="2089"/>
      </w:tblGrid>
      <w:tr w:rsidR="006B3AE1" w:rsidRPr="00E740BD" w:rsidTr="006C4926">
        <w:trPr>
          <w:tblHeader/>
        </w:trPr>
        <w:tc>
          <w:tcPr>
            <w:tcW w:w="19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58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Наименование меры</w:t>
            </w:r>
          </w:p>
        </w:tc>
        <w:tc>
          <w:tcPr>
            <w:tcW w:w="2627" w:type="pct"/>
            <w:gridSpan w:val="9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723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Обоснование необходимости применения меры</w:t>
            </w: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 w:val="restar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rPr>
          <w:tblHeader/>
        </w:trPr>
        <w:tc>
          <w:tcPr>
            <w:tcW w:w="19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92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1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97" w:type="pct"/>
            <w:vAlign w:val="center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3" w:type="pct"/>
            <w:vMerge/>
          </w:tcPr>
          <w:p w:rsidR="006B3AE1" w:rsidRPr="00E740BD" w:rsidRDefault="006B3AE1" w:rsidP="006C4926">
            <w:pPr>
              <w:rPr>
                <w:sz w:val="24"/>
                <w:szCs w:val="24"/>
              </w:rPr>
            </w:pPr>
          </w:p>
        </w:tc>
      </w:tr>
      <w:tr w:rsidR="006B3AE1" w:rsidRPr="00E740BD" w:rsidTr="006C4926">
        <w:tc>
          <w:tcPr>
            <w:tcW w:w="193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8" w:type="pct"/>
          </w:tcPr>
          <w:p w:rsidR="006B3AE1" w:rsidRPr="00E740BD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D007F">
              <w:rPr>
                <w:rFonts w:ascii="Times New Roman" w:hAnsi="Times New Roman"/>
                <w:sz w:val="24"/>
                <w:szCs w:val="24"/>
              </w:rPr>
              <w:t>Освобождение от уплаты налога на имущество физических лиц в отношении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91" w:type="pct"/>
          </w:tcPr>
          <w:p w:rsidR="006B3AE1" w:rsidRPr="00E740BD" w:rsidRDefault="006B3AE1" w:rsidP="006C4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C3D90">
              <w:rPr>
                <w:sz w:val="24"/>
                <w:szCs w:val="24"/>
              </w:rPr>
              <w:t>5,0</w:t>
            </w:r>
          </w:p>
        </w:tc>
        <w:tc>
          <w:tcPr>
            <w:tcW w:w="292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1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297" w:type="pct"/>
          </w:tcPr>
          <w:p w:rsidR="006B3AE1" w:rsidRDefault="006B3AE1" w:rsidP="006C4926">
            <w:pPr>
              <w:jc w:val="center"/>
            </w:pPr>
            <w:r w:rsidRPr="00D24DE4">
              <w:rPr>
                <w:sz w:val="24"/>
                <w:szCs w:val="24"/>
              </w:rPr>
              <w:t>5,0</w:t>
            </w:r>
          </w:p>
        </w:tc>
        <w:tc>
          <w:tcPr>
            <w:tcW w:w="723" w:type="pct"/>
          </w:tcPr>
          <w:p w:rsidR="006B3AE1" w:rsidRPr="007E7AE3" w:rsidRDefault="006B3AE1" w:rsidP="006C4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различных форм семейного устройства детей- сирот </w:t>
            </w:r>
            <w:r w:rsidRPr="00BD007F">
              <w:rPr>
                <w:rFonts w:ascii="Times New Roman" w:hAnsi="Times New Roman"/>
                <w:sz w:val="24"/>
                <w:szCs w:val="24"/>
              </w:rPr>
              <w:t>и детей, оставшихся без попечения родителей</w:t>
            </w:r>
          </w:p>
        </w:tc>
      </w:tr>
    </w:tbl>
    <w:p w:rsidR="006B3AE1" w:rsidRDefault="006B3AE1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D9070C">
      <w:pPr>
        <w:widowControl w:val="0"/>
        <w:autoSpaceDE w:val="0"/>
        <w:jc w:val="center"/>
        <w:rPr>
          <w:szCs w:val="28"/>
        </w:rPr>
      </w:pPr>
    </w:p>
    <w:p w:rsidR="004211EE" w:rsidRDefault="004211EE" w:rsidP="00D9070C">
      <w:pPr>
        <w:widowControl w:val="0"/>
        <w:autoSpaceDE w:val="0"/>
        <w:jc w:val="center"/>
        <w:rPr>
          <w:szCs w:val="28"/>
        </w:rPr>
      </w:pPr>
    </w:p>
    <w:p w:rsidR="004211EE" w:rsidRPr="007F56C3" w:rsidRDefault="004211EE" w:rsidP="00D9070C">
      <w:pPr>
        <w:widowControl w:val="0"/>
        <w:autoSpaceDE w:val="0"/>
        <w:jc w:val="center"/>
        <w:rPr>
          <w:szCs w:val="28"/>
        </w:rPr>
      </w:pPr>
    </w:p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  <w:r w:rsidRPr="007F56C3">
        <w:rPr>
          <w:szCs w:val="28"/>
        </w:rPr>
        <w:lastRenderedPageBreak/>
        <w:t>4. Обоснование ресурсного обеспечения подпрограммы</w:t>
      </w:r>
    </w:p>
    <w:tbl>
      <w:tblPr>
        <w:tblpPr w:leftFromText="180" w:rightFromText="180" w:vertAnchor="text" w:horzAnchor="margin" w:tblpY="210"/>
        <w:tblW w:w="14616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276"/>
        <w:gridCol w:w="1275"/>
        <w:gridCol w:w="1276"/>
        <w:gridCol w:w="1276"/>
        <w:gridCol w:w="1134"/>
        <w:gridCol w:w="1276"/>
        <w:gridCol w:w="1134"/>
      </w:tblGrid>
      <w:tr w:rsidR="00481CD4" w:rsidRPr="00EF2C08" w:rsidTr="00481CD4">
        <w:trPr>
          <w:trHeight w:val="20"/>
          <w:tblHeader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Всего,</w:t>
            </w:r>
          </w:p>
        </w:tc>
        <w:tc>
          <w:tcPr>
            <w:tcW w:w="864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481CD4" w:rsidRPr="00EF2C08" w:rsidTr="00481CD4">
        <w:trPr>
          <w:trHeight w:val="20"/>
          <w:tblHeader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2024 год</w:t>
            </w:r>
          </w:p>
        </w:tc>
      </w:tr>
      <w:tr w:rsidR="00481CD4" w:rsidRPr="00EF2C08" w:rsidTr="00481CD4">
        <w:trPr>
          <w:trHeight w:val="20"/>
          <w:tblHeader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9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2 702 744,7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374 972,5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316 389,0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419 219,6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432 598,1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420 806,6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363 107,3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375 651,6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в том числе за счет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13 061,1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2 640 664,7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366 597,8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310 506,1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411 686,0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421 819,6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409 974,2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352 274,9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367 806,1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49 018,9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8 832,4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8 832,4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5 845,5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 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1 857 805,2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283 404,2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271 612,7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280 441,4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260 678,1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1 857 805,2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242 517,5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250 186,7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268 964,6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283 404,2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271 612,7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280 441,4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260 678,1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комитет имущественных отношений города Мурманска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813 203,2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128 343,3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62 083,9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145 992,0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144 144,0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144 144,0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77 616,0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110 880,0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764 184,3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121 777,4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57 702,5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140 209,2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135 365,5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135 311,6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68 783,6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105 034,5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49 018,9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6 565,9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4 381,4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5 782,8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8 778,5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8 832,4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8 832,4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5 845,5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31 736,3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4 111,7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4 118,4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4 263,0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5 049,9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4 093,5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13 061,1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1 808,8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1 501,5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1 750,8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2 000,0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18 675,2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2 302,9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2 616,9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2 512,2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3 049,9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2 093,5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  <w:tr w:rsidR="00481CD4" w:rsidRPr="00EF2C08" w:rsidTr="00481CD4">
        <w:trPr>
          <w:trHeight w:val="2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в </w:t>
            </w:r>
            <w:proofErr w:type="spellStart"/>
            <w:r w:rsidRPr="00EF2C08">
              <w:rPr>
                <w:sz w:val="22"/>
                <w:szCs w:val="22"/>
              </w:rPr>
              <w:t>т.ч</w:t>
            </w:r>
            <w:proofErr w:type="spellEnd"/>
            <w:r w:rsidRPr="00EF2C08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CD4" w:rsidRPr="00EF2C08" w:rsidRDefault="00481CD4" w:rsidP="00481CD4">
            <w:pPr>
              <w:jc w:val="center"/>
              <w:rPr>
                <w:sz w:val="22"/>
                <w:szCs w:val="22"/>
              </w:rPr>
            </w:pPr>
            <w:r w:rsidRPr="00EF2C08">
              <w:rPr>
                <w:sz w:val="22"/>
                <w:szCs w:val="22"/>
              </w:rPr>
              <w:t xml:space="preserve">0,0  </w:t>
            </w:r>
          </w:p>
        </w:tc>
      </w:tr>
    </w:tbl>
    <w:p w:rsidR="00D9070C" w:rsidRPr="007F56C3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  <w:r w:rsidRPr="00D9070C">
        <w:rPr>
          <w:szCs w:val="28"/>
        </w:rPr>
        <w:t>5. Механизм реализации подпрограммы</w:t>
      </w:r>
    </w:p>
    <w:p w:rsidR="00D9070C" w:rsidRPr="00D9070C" w:rsidRDefault="00D9070C" w:rsidP="00D9070C">
      <w:pPr>
        <w:widowControl w:val="0"/>
        <w:autoSpaceDE w:val="0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 xml:space="preserve"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</w:t>
      </w:r>
      <w:r w:rsidRPr="00D9070C">
        <w:rPr>
          <w:szCs w:val="28"/>
        </w:rPr>
        <w:lastRenderedPageBreak/>
        <w:t>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Комитет по образованию администрации города Мурманска предоставляет отчет о ходе выполнения подпрограммы заказчику-координатору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6D261A" w:rsidRPr="00D9070C" w:rsidRDefault="006D261A" w:rsidP="00D9070C">
      <w:pPr>
        <w:ind w:firstLine="567"/>
        <w:jc w:val="both"/>
        <w:rPr>
          <w:szCs w:val="28"/>
        </w:rPr>
      </w:pPr>
    </w:p>
    <w:p w:rsidR="00D9070C" w:rsidRDefault="00D9070C" w:rsidP="00D9070C">
      <w:pPr>
        <w:widowControl w:val="0"/>
        <w:autoSpaceDE w:val="0"/>
        <w:ind w:firstLine="567"/>
        <w:jc w:val="center"/>
        <w:rPr>
          <w:szCs w:val="28"/>
        </w:rPr>
      </w:pPr>
      <w:r w:rsidRPr="00D9070C">
        <w:rPr>
          <w:szCs w:val="28"/>
        </w:rPr>
        <w:t>6. Оценка эффективности подпрограммы, рисков ее реализации</w:t>
      </w:r>
    </w:p>
    <w:p w:rsidR="006D261A" w:rsidRPr="00D9070C" w:rsidRDefault="006D261A" w:rsidP="00D9070C">
      <w:pPr>
        <w:widowControl w:val="0"/>
        <w:autoSpaceDE w:val="0"/>
        <w:ind w:firstLine="567"/>
        <w:jc w:val="center"/>
        <w:rPr>
          <w:szCs w:val="28"/>
        </w:rPr>
      </w:pPr>
    </w:p>
    <w:p w:rsidR="00D9070C" w:rsidRPr="00D9070C" w:rsidRDefault="00D9070C" w:rsidP="00D9070C">
      <w:pPr>
        <w:ind w:firstLine="567"/>
        <w:jc w:val="both"/>
        <w:rPr>
          <w:szCs w:val="28"/>
        </w:rPr>
      </w:pPr>
      <w:r w:rsidRPr="00D9070C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D9070C" w:rsidRPr="00D9070C" w:rsidRDefault="00D9070C" w:rsidP="00D9070C">
      <w:pPr>
        <w:spacing w:line="240" w:lineRule="atLeast"/>
        <w:ind w:firstLine="567"/>
        <w:jc w:val="both"/>
        <w:rPr>
          <w:szCs w:val="28"/>
        </w:rPr>
      </w:pPr>
      <w:r w:rsidRPr="00D9070C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D9070C" w:rsidRPr="00D9070C" w:rsidRDefault="00D9070C" w:rsidP="00D9070C">
      <w:pPr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профилактики социального сиротства.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Механизмы минимизации негативного влияния внешних факторов: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D9070C" w:rsidRPr="00D9070C" w:rsidRDefault="00D9070C" w:rsidP="00D9070C">
      <w:pPr>
        <w:widowControl w:val="0"/>
        <w:autoSpaceDE w:val="0"/>
        <w:ind w:firstLine="567"/>
        <w:jc w:val="both"/>
        <w:rPr>
          <w:szCs w:val="28"/>
        </w:rPr>
      </w:pPr>
      <w:r w:rsidRPr="00D9070C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D77E66" w:rsidRPr="00D9070C" w:rsidRDefault="00D9070C" w:rsidP="00873992">
      <w:pPr>
        <w:widowControl w:val="0"/>
        <w:autoSpaceDE w:val="0"/>
        <w:ind w:firstLine="709"/>
        <w:jc w:val="both"/>
        <w:rPr>
          <w:szCs w:val="28"/>
        </w:rPr>
      </w:pPr>
      <w:r w:rsidRPr="00D9070C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D77E66" w:rsidRPr="00D9070C" w:rsidSect="004211E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C"/>
    <w:rsid w:val="0019502A"/>
    <w:rsid w:val="004211EE"/>
    <w:rsid w:val="00427036"/>
    <w:rsid w:val="00481CD4"/>
    <w:rsid w:val="006B3AE1"/>
    <w:rsid w:val="006D261A"/>
    <w:rsid w:val="007F56C3"/>
    <w:rsid w:val="00853E04"/>
    <w:rsid w:val="00873992"/>
    <w:rsid w:val="00950D79"/>
    <w:rsid w:val="00A86622"/>
    <w:rsid w:val="00C84F1D"/>
    <w:rsid w:val="00D77E66"/>
    <w:rsid w:val="00D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5FDF7-0595-4A14-985C-506680F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070C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D9070C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070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9070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907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70C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D9070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D9070C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D9070C"/>
  </w:style>
  <w:style w:type="paragraph" w:customStyle="1" w:styleId="aa">
    <w:name w:val="Знак"/>
    <w:basedOn w:val="a"/>
    <w:rsid w:val="00D907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0">
    <w:name w:val="Знак1"/>
    <w:basedOn w:val="a"/>
    <w:rsid w:val="00D907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070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D9070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D9070C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D9070C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D9070C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D9070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D90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D9070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D9070C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D907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D9070C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907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D9070C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9070C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D9070C"/>
    <w:rPr>
      <w:lang w:eastAsia="en-US"/>
    </w:rPr>
  </w:style>
  <w:style w:type="paragraph" w:customStyle="1" w:styleId="af6">
    <w:name w:val="Содержимое таблицы"/>
    <w:basedOn w:val="a"/>
    <w:rsid w:val="00D9070C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D9070C"/>
  </w:style>
  <w:style w:type="paragraph" w:customStyle="1" w:styleId="13">
    <w:name w:val="Основной текст1"/>
    <w:basedOn w:val="a"/>
    <w:rsid w:val="00D9070C"/>
    <w:pPr>
      <w:jc w:val="both"/>
    </w:pPr>
    <w:rPr>
      <w:sz w:val="24"/>
    </w:rPr>
  </w:style>
  <w:style w:type="paragraph" w:customStyle="1" w:styleId="14">
    <w:name w:val="Абзац списка1"/>
    <w:basedOn w:val="a"/>
    <w:rsid w:val="00D9070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D9070C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D9070C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D9070C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D9070C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D9070C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D90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D9070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9070C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9070C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9070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9070C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D9070C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9070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D9070C"/>
    <w:rPr>
      <w:b/>
      <w:bCs/>
    </w:rPr>
  </w:style>
  <w:style w:type="character" w:styleId="aff0">
    <w:name w:val="FollowedHyperlink"/>
    <w:uiPriority w:val="99"/>
    <w:semiHidden/>
    <w:unhideWhenUsed/>
    <w:rsid w:val="00D9070C"/>
    <w:rPr>
      <w:color w:val="800080"/>
      <w:u w:val="single"/>
    </w:rPr>
  </w:style>
  <w:style w:type="paragraph" w:customStyle="1" w:styleId="xl65">
    <w:name w:val="xl6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D9070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D907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D9070C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D9070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9070C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D9070C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D9070C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D9070C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D9070C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D9070C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D9070C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D9070C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D9070C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D907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D907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D907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D9070C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D90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D907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dcterms:created xsi:type="dcterms:W3CDTF">2019-07-24T14:30:00Z</dcterms:created>
  <dcterms:modified xsi:type="dcterms:W3CDTF">2020-12-17T13:39:00Z</dcterms:modified>
</cp:coreProperties>
</file>