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A" w:rsidRPr="00B27F7A" w:rsidRDefault="00B27F7A" w:rsidP="00B27F7A">
      <w:pPr>
        <w:ind w:firstLine="567"/>
        <w:jc w:val="center"/>
        <w:rPr>
          <w:bCs/>
          <w:szCs w:val="28"/>
        </w:rPr>
      </w:pPr>
      <w:r w:rsidRPr="00B27F7A">
        <w:rPr>
          <w:szCs w:val="28"/>
          <w:lang w:val="en-US"/>
        </w:rPr>
        <w:t>III</w:t>
      </w:r>
      <w:r w:rsidRPr="00B27F7A">
        <w:rPr>
          <w:szCs w:val="28"/>
        </w:rPr>
        <w:t>.</w:t>
      </w:r>
      <w:r w:rsidRPr="00B27F7A">
        <w:rPr>
          <w:bCs/>
          <w:szCs w:val="28"/>
        </w:rPr>
        <w:t xml:space="preserve"> Подпрограмма </w:t>
      </w:r>
      <w:r w:rsidRPr="00B27F7A">
        <w:rPr>
          <w:szCs w:val="28"/>
        </w:rPr>
        <w:t xml:space="preserve">«Создание доступной среды для инвалидов и других маломобильных </w:t>
      </w:r>
      <w:r w:rsidRPr="00B27F7A">
        <w:rPr>
          <w:szCs w:val="28"/>
        </w:rPr>
        <w:br/>
        <w:t xml:space="preserve">групп населения на территории города Мурманска» </w:t>
      </w:r>
      <w:r w:rsidRPr="00B27F7A">
        <w:rPr>
          <w:bCs/>
          <w:szCs w:val="28"/>
        </w:rPr>
        <w:t>на 2018 - 2024 годы</w:t>
      </w:r>
    </w:p>
    <w:p w:rsidR="00B27F7A" w:rsidRPr="00B27F7A" w:rsidRDefault="00B27F7A" w:rsidP="00B27F7A">
      <w:pPr>
        <w:ind w:firstLine="567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Паспорт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2059"/>
      </w:tblGrid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«Социальная поддержка» на </w:t>
            </w: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B27F7A" w:rsidRPr="00B27F7A" w:rsidTr="00B27F7A">
        <w:trPr>
          <w:trHeight w:val="449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Цель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Создание безбарьерной среды для инвалидов и других маломобильных групп населения на территории города Мурманска</w:t>
            </w:r>
          </w:p>
        </w:tc>
      </w:tr>
      <w:tr w:rsidR="00B27F7A" w:rsidRPr="00B27F7A" w:rsidTr="00B27F7A">
        <w:trPr>
          <w:trHeight w:val="772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2. Количество объектов учреждений молодежной политики,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4. Доля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5. Количество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7. Количество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8. Доля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9. Количество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10.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КО, КРГХ, КСПВООДМ, КК, КС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КСПВООДМ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857B30" w:rsidRPr="00B27F7A" w:rsidTr="00B27F7A">
        <w:tc>
          <w:tcPr>
            <w:tcW w:w="859" w:type="pct"/>
            <w:shd w:val="clear" w:color="auto" w:fill="auto"/>
          </w:tcPr>
          <w:p w:rsidR="00857B30" w:rsidRPr="00D63248" w:rsidRDefault="00857B30" w:rsidP="00857B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3248">
              <w:rPr>
                <w:szCs w:val="28"/>
                <w:lang w:eastAsia="ar-SA"/>
              </w:rPr>
              <w:t>Финансовое обеспечение</w:t>
            </w:r>
            <w:r w:rsidRPr="00D63248">
              <w:rPr>
                <w:szCs w:val="28"/>
              </w:rPr>
              <w:t xml:space="preserve"> подпрограммы</w:t>
            </w:r>
          </w:p>
        </w:tc>
        <w:tc>
          <w:tcPr>
            <w:tcW w:w="4141" w:type="pct"/>
            <w:shd w:val="clear" w:color="auto" w:fill="auto"/>
          </w:tcPr>
          <w:p w:rsidR="00857B30" w:rsidRPr="00D63248" w:rsidRDefault="00857B30" w:rsidP="00857B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 xml:space="preserve">Всего по подпрограмме: 69 872,9 тыс. руб., в </w:t>
            </w:r>
            <w:proofErr w:type="spellStart"/>
            <w:r w:rsidRPr="00D63248">
              <w:rPr>
                <w:szCs w:val="28"/>
              </w:rPr>
              <w:t>т.ч</w:t>
            </w:r>
            <w:proofErr w:type="spellEnd"/>
            <w:r w:rsidRPr="00D63248">
              <w:rPr>
                <w:szCs w:val="28"/>
              </w:rPr>
              <w:t>.:</w:t>
            </w:r>
          </w:p>
          <w:p w:rsidR="00857B30" w:rsidRPr="00D63248" w:rsidRDefault="00857B30" w:rsidP="00857B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МБ: 67 545,0 тыс. руб., из них:</w:t>
            </w:r>
          </w:p>
          <w:p w:rsidR="00857B30" w:rsidRPr="00D63248" w:rsidRDefault="00857B30" w:rsidP="00857B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2018 год – 14 498,4 тыс. руб.,</w:t>
            </w:r>
          </w:p>
          <w:p w:rsidR="00857B30" w:rsidRPr="00D63248" w:rsidRDefault="00857B30" w:rsidP="00857B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2019 год – 8 199,4 тыс. руб.,</w:t>
            </w:r>
          </w:p>
          <w:p w:rsidR="00857B30" w:rsidRPr="00D63248" w:rsidRDefault="00857B30" w:rsidP="00857B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2020 год – 6 460,0 тыс. руб.,</w:t>
            </w:r>
          </w:p>
          <w:p w:rsidR="00857B30" w:rsidRPr="00D63248" w:rsidRDefault="00857B30" w:rsidP="00857B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2021 год – 7 600,0 тыс. руб.,</w:t>
            </w:r>
          </w:p>
          <w:p w:rsidR="00857B30" w:rsidRPr="00D63248" w:rsidRDefault="00857B30" w:rsidP="00857B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2022 год – 5 200,0 тыс. руб.,</w:t>
            </w:r>
          </w:p>
          <w:p w:rsidR="00857B30" w:rsidRPr="00D63248" w:rsidRDefault="00857B30" w:rsidP="00857B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2023 год – 6 793,6 тыс. руб.,</w:t>
            </w:r>
          </w:p>
          <w:p w:rsidR="00857B30" w:rsidRPr="00D63248" w:rsidRDefault="00857B30" w:rsidP="00857B30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2024 год – 18 793,6 тыс. руб.,</w:t>
            </w:r>
          </w:p>
          <w:p w:rsidR="00857B30" w:rsidRPr="00D63248" w:rsidRDefault="00857B30" w:rsidP="00857B3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ОБ: 2 327,9 тыс. руб., из них:</w:t>
            </w:r>
          </w:p>
          <w:p w:rsidR="00857B30" w:rsidRPr="00D63248" w:rsidRDefault="00857B30" w:rsidP="00857B3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lastRenderedPageBreak/>
              <w:t>2018 год – 1 600,0 тыс. руб.,</w:t>
            </w:r>
          </w:p>
          <w:p w:rsidR="00857B30" w:rsidRPr="00D63248" w:rsidRDefault="00857B30" w:rsidP="00857B3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2019 год – 727,9 тыс. руб.,</w:t>
            </w:r>
          </w:p>
          <w:p w:rsidR="00857B30" w:rsidRPr="00D63248" w:rsidRDefault="00857B30" w:rsidP="00857B3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2020 год – 0,0 тыс. руб.,</w:t>
            </w:r>
          </w:p>
          <w:p w:rsidR="00857B30" w:rsidRPr="00D63248" w:rsidRDefault="00857B30" w:rsidP="00857B3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2021 год – 0,0 тыс. руб.,</w:t>
            </w:r>
          </w:p>
          <w:p w:rsidR="00857B30" w:rsidRPr="00D63248" w:rsidRDefault="00857B30" w:rsidP="00857B3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2022 год – 0,0 тыс. руб.,</w:t>
            </w:r>
          </w:p>
          <w:p w:rsidR="00857B30" w:rsidRPr="00D63248" w:rsidRDefault="00857B30" w:rsidP="00857B30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2023 год – 0,0 тыс. руб.,</w:t>
            </w:r>
          </w:p>
          <w:p w:rsidR="00857B30" w:rsidRPr="00D63248" w:rsidRDefault="00857B30" w:rsidP="00857B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3248">
              <w:rPr>
                <w:szCs w:val="28"/>
              </w:rPr>
              <w:t>2024 год – 0,0 тыс. руб.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B27F7A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населения, к концу 2024 года до 79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2.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F50BAD">
              <w:rPr>
                <w:szCs w:val="28"/>
              </w:rPr>
              <w:t>30,5</w:t>
            </w:r>
            <w:r w:rsidRPr="00B27F7A">
              <w:rPr>
                <w:szCs w:val="28"/>
              </w:rPr>
              <w:t xml:space="preserve"> %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4. Увеличение доли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57,9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5. Рост количества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11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6.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72013C">
              <w:rPr>
                <w:szCs w:val="28"/>
              </w:rPr>
              <w:t>33,8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7. Рост количества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8. Увеличение доли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32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9. Доведение количества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16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10.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 – 100 %.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 xml:space="preserve">1. Характеристика проблемы, на решение которой направлена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подпрограмма муниципальной 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Актуальность проблемы формирования доступной среды жизнедеятельности для инвалидов и других маломобильных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</w:t>
      </w:r>
      <w:proofErr w:type="spellStart"/>
      <w:r w:rsidRPr="00B27F7A">
        <w:rPr>
          <w:szCs w:val="28"/>
        </w:rPr>
        <w:t>маломобильностью</w:t>
      </w:r>
      <w:proofErr w:type="spellEnd"/>
      <w:r w:rsidRPr="00B27F7A">
        <w:rPr>
          <w:szCs w:val="28"/>
        </w:rPr>
        <w:t>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</w:t>
      </w:r>
      <w:r w:rsidRPr="00B27F7A">
        <w:rPr>
          <w:szCs w:val="28"/>
        </w:rPr>
        <w:lastRenderedPageBreak/>
        <w:t>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всеми видами городского и пригородного пассажирского транспорта.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 от 22.12.1999 № 74/51, утвердившего РДС 35-201-99 «Порядок реализации требований доступности для инвалидов к объектам социальной инфраструктуры» 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B27F7A" w:rsidRPr="00B27F7A" w:rsidRDefault="00B27F7A" w:rsidP="00B27F7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27F7A">
        <w:rPr>
          <w:szCs w:val="28"/>
        </w:rPr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B27F7A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Реализация мероприятий позволит увеличить количество объектов, на которых созданы условия для </w:t>
      </w:r>
      <w:proofErr w:type="spellStart"/>
      <w:r w:rsidRPr="00B27F7A">
        <w:rPr>
          <w:szCs w:val="28"/>
        </w:rPr>
        <w:t>безбарьерного</w:t>
      </w:r>
      <w:proofErr w:type="spellEnd"/>
      <w:r w:rsidRPr="00B27F7A">
        <w:rPr>
          <w:szCs w:val="28"/>
        </w:rPr>
        <w:t xml:space="preserve"> доступа инвалидов и маломобильных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маломобильных групп населения, проживающий в городе Мурманске.</w:t>
      </w:r>
    </w:p>
    <w:p w:rsidR="00B27F7A" w:rsidRPr="00B27F7A" w:rsidRDefault="00B27F7A" w:rsidP="00B27F7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27F7A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обеспечит комплексный подход к решению вопросов, связанных с формированием доступной среды для инвалидов и маломобильных групп населения, проживающих на территории города Мурманска.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 xml:space="preserve">2. Основные цели и задачи подпрограммы, целевые показатели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(индикаторы) реализации подпрограммы на 2018-2024 годы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4505"/>
        <w:gridCol w:w="897"/>
        <w:gridCol w:w="1351"/>
        <w:gridCol w:w="1238"/>
        <w:gridCol w:w="830"/>
        <w:gridCol w:w="830"/>
        <w:gridCol w:w="830"/>
        <w:gridCol w:w="830"/>
        <w:gridCol w:w="830"/>
        <w:gridCol w:w="973"/>
        <w:gridCol w:w="824"/>
      </w:tblGrid>
      <w:tr w:rsidR="00B27F7A" w:rsidRPr="00AC6686" w:rsidTr="00906433">
        <w:trPr>
          <w:trHeight w:val="400"/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№ п/п</w:t>
            </w:r>
          </w:p>
        </w:tc>
        <w:tc>
          <w:tcPr>
            <w:tcW w:w="1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 изм.</w:t>
            </w:r>
          </w:p>
        </w:tc>
        <w:tc>
          <w:tcPr>
            <w:tcW w:w="29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27F7A" w:rsidRPr="00AC6686" w:rsidTr="00906433">
        <w:trPr>
          <w:trHeight w:val="600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Отчетный год (2016)</w:t>
            </w:r>
          </w:p>
        </w:tc>
        <w:tc>
          <w:tcPr>
            <w:tcW w:w="42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Текущий год (2017)</w:t>
            </w:r>
          </w:p>
        </w:tc>
        <w:tc>
          <w:tcPr>
            <w:tcW w:w="2042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2020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2021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2024 год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B27F7A" w:rsidRPr="00AC6686" w:rsidTr="00B27F7A">
        <w:trPr>
          <w:trHeight w:val="276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Цель: создание безбарьерной среды для инвалидов и других маломобильных групп населений на территории города Мурманска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AC6686">
              <w:rPr>
                <w:sz w:val="24"/>
                <w:szCs w:val="24"/>
              </w:rPr>
              <w:t>адаптированных согласно требованиям по обеспечению их доступности для инвалидов</w:t>
            </w:r>
            <w:r w:rsidRPr="00AC6686">
              <w:rPr>
                <w:sz w:val="24"/>
                <w:szCs w:val="24"/>
                <w:lang w:eastAsia="en-US"/>
              </w:rPr>
              <w:t xml:space="preserve"> и других маломобильных групп населения</w:t>
            </w:r>
            <w:r w:rsidRPr="00AC6686">
              <w:rPr>
                <w:rFonts w:eastAsia="Calibri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79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учреждений молодежной политики, в которых создана </w:t>
            </w:r>
            <w:proofErr w:type="spellStart"/>
            <w:r w:rsidRPr="00AC6686">
              <w:rPr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  <w:lang w:eastAsia="en-US"/>
              </w:rPr>
              <w:t xml:space="preserve"> среда для инвалидов и других групп населения (нарастающим итогом)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A86552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30,5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52,6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57,9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</w:t>
            </w:r>
            <w:r w:rsidRPr="00AC6686">
              <w:rPr>
                <w:sz w:val="24"/>
                <w:szCs w:val="24"/>
              </w:rPr>
              <w:lastRenderedPageBreak/>
              <w:t>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33,8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</w:t>
            </w:r>
            <w:r w:rsidRPr="00AC6686">
              <w:rPr>
                <w:sz w:val="24"/>
                <w:szCs w:val="24"/>
              </w:rPr>
              <w:lastRenderedPageBreak/>
              <w:t>общеобразовательных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A86552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p w:rsidR="002A2255" w:rsidRDefault="002A2255" w:rsidP="002A2255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3. Перечень основных мероприятий подпрограммы</w:t>
      </w:r>
    </w:p>
    <w:p w:rsidR="002A2255" w:rsidRPr="00FE606D" w:rsidRDefault="002A2255" w:rsidP="002A2255">
      <w:pPr>
        <w:widowControl w:val="0"/>
        <w:autoSpaceDE w:val="0"/>
        <w:jc w:val="center"/>
        <w:rPr>
          <w:szCs w:val="28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94"/>
        <w:gridCol w:w="594"/>
        <w:gridCol w:w="698"/>
        <w:gridCol w:w="696"/>
        <w:gridCol w:w="699"/>
        <w:gridCol w:w="696"/>
        <w:gridCol w:w="699"/>
        <w:gridCol w:w="702"/>
        <w:gridCol w:w="702"/>
        <w:gridCol w:w="702"/>
        <w:gridCol w:w="702"/>
        <w:gridCol w:w="1142"/>
        <w:gridCol w:w="489"/>
        <w:gridCol w:w="489"/>
        <w:gridCol w:w="489"/>
        <w:gridCol w:w="489"/>
        <w:gridCol w:w="489"/>
        <w:gridCol w:w="489"/>
        <w:gridCol w:w="489"/>
        <w:gridCol w:w="1009"/>
      </w:tblGrid>
      <w:tr w:rsidR="002A2255" w:rsidRPr="00577055" w:rsidTr="00081E6C">
        <w:trPr>
          <w:trHeight w:val="461"/>
          <w:tblHeader/>
        </w:trPr>
        <w:tc>
          <w:tcPr>
            <w:tcW w:w="146" w:type="pct"/>
            <w:vMerge w:val="restar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№ п/п</w:t>
            </w:r>
          </w:p>
        </w:tc>
        <w:tc>
          <w:tcPr>
            <w:tcW w:w="520" w:type="pct"/>
            <w:vMerge w:val="restar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07" w:type="pct"/>
            <w:vMerge w:val="restar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Срок вы</w:t>
            </w:r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полнения</w:t>
            </w:r>
            <w:proofErr w:type="spellEnd"/>
            <w:r w:rsidRPr="00577055">
              <w:rPr>
                <w:sz w:val="14"/>
                <w:szCs w:val="14"/>
              </w:rPr>
              <w:t xml:space="preserve"> (</w:t>
            </w:r>
            <w:proofErr w:type="spellStart"/>
            <w:r w:rsidRPr="00577055">
              <w:rPr>
                <w:sz w:val="14"/>
                <w:szCs w:val="14"/>
              </w:rPr>
              <w:t>квар</w:t>
            </w:r>
            <w:proofErr w:type="spellEnd"/>
          </w:p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тал, год)</w:t>
            </w:r>
          </w:p>
        </w:tc>
        <w:tc>
          <w:tcPr>
            <w:tcW w:w="243" w:type="pct"/>
            <w:vMerge w:val="restar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577055">
              <w:rPr>
                <w:sz w:val="14"/>
                <w:szCs w:val="14"/>
              </w:rPr>
              <w:t>Источ</w:t>
            </w:r>
            <w:proofErr w:type="spellEnd"/>
          </w:p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577055">
              <w:rPr>
                <w:sz w:val="14"/>
                <w:szCs w:val="14"/>
              </w:rPr>
              <w:t>ники</w:t>
            </w:r>
            <w:proofErr w:type="spellEnd"/>
            <w:r w:rsidRPr="00577055">
              <w:rPr>
                <w:sz w:val="14"/>
                <w:szCs w:val="14"/>
              </w:rPr>
              <w:t xml:space="preserve"> </w:t>
            </w:r>
            <w:proofErr w:type="spellStart"/>
            <w:r w:rsidRPr="00577055">
              <w:rPr>
                <w:sz w:val="14"/>
                <w:szCs w:val="14"/>
              </w:rPr>
              <w:t>финан</w:t>
            </w:r>
            <w:proofErr w:type="spellEnd"/>
          </w:p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577055">
              <w:rPr>
                <w:sz w:val="14"/>
                <w:szCs w:val="14"/>
              </w:rPr>
              <w:t>сирова</w:t>
            </w:r>
            <w:proofErr w:type="spellEnd"/>
          </w:p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577055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946" w:type="pct"/>
            <w:gridSpan w:val="8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586" w:type="pct"/>
            <w:gridSpan w:val="8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1" w:type="pct"/>
            <w:vMerge w:val="restar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Исполните</w:t>
            </w:r>
            <w:r w:rsidRPr="00577055">
              <w:rPr>
                <w:sz w:val="14"/>
                <w:szCs w:val="14"/>
              </w:rPr>
              <w:br/>
              <w:t>ли, перечень организаций, участвую</w:t>
            </w:r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щих</w:t>
            </w:r>
            <w:proofErr w:type="spellEnd"/>
            <w:r w:rsidRPr="00577055">
              <w:rPr>
                <w:sz w:val="14"/>
                <w:szCs w:val="14"/>
              </w:rPr>
              <w:t xml:space="preserve"> в реализации основных мероприятий</w:t>
            </w:r>
          </w:p>
        </w:tc>
      </w:tr>
      <w:tr w:rsidR="002A2255" w:rsidRPr="00577055" w:rsidTr="00081E6C">
        <w:trPr>
          <w:trHeight w:val="152"/>
          <w:tblHeader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всего</w:t>
            </w:r>
          </w:p>
        </w:tc>
        <w:tc>
          <w:tcPr>
            <w:tcW w:w="243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2018 год</w:t>
            </w:r>
          </w:p>
        </w:tc>
        <w:tc>
          <w:tcPr>
            <w:tcW w:w="242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2019 год</w:t>
            </w:r>
          </w:p>
        </w:tc>
        <w:tc>
          <w:tcPr>
            <w:tcW w:w="243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2020 год</w:t>
            </w:r>
          </w:p>
        </w:tc>
        <w:tc>
          <w:tcPr>
            <w:tcW w:w="244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2021 год</w:t>
            </w:r>
          </w:p>
        </w:tc>
        <w:tc>
          <w:tcPr>
            <w:tcW w:w="244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2022 год</w:t>
            </w:r>
          </w:p>
        </w:tc>
        <w:tc>
          <w:tcPr>
            <w:tcW w:w="244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2023 год</w:t>
            </w:r>
          </w:p>
        </w:tc>
        <w:tc>
          <w:tcPr>
            <w:tcW w:w="244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2024 год</w:t>
            </w:r>
          </w:p>
        </w:tc>
        <w:tc>
          <w:tcPr>
            <w:tcW w:w="397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2018 год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2019 год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2020 год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2021 год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2022 год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2023 год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2024 год</w:t>
            </w: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  <w:tblHeader/>
        </w:trPr>
        <w:tc>
          <w:tcPr>
            <w:tcW w:w="146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52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</w:t>
            </w:r>
          </w:p>
        </w:tc>
        <w:tc>
          <w:tcPr>
            <w:tcW w:w="207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</w:t>
            </w:r>
          </w:p>
        </w:tc>
        <w:tc>
          <w:tcPr>
            <w:tcW w:w="243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4</w:t>
            </w:r>
          </w:p>
        </w:tc>
        <w:tc>
          <w:tcPr>
            <w:tcW w:w="242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5</w:t>
            </w:r>
          </w:p>
        </w:tc>
        <w:tc>
          <w:tcPr>
            <w:tcW w:w="243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</w:t>
            </w:r>
          </w:p>
        </w:tc>
        <w:tc>
          <w:tcPr>
            <w:tcW w:w="242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</w:t>
            </w:r>
          </w:p>
        </w:tc>
        <w:tc>
          <w:tcPr>
            <w:tcW w:w="243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8</w:t>
            </w:r>
          </w:p>
        </w:tc>
        <w:tc>
          <w:tcPr>
            <w:tcW w:w="244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9</w:t>
            </w:r>
          </w:p>
        </w:tc>
        <w:tc>
          <w:tcPr>
            <w:tcW w:w="244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</w:t>
            </w:r>
          </w:p>
        </w:tc>
        <w:tc>
          <w:tcPr>
            <w:tcW w:w="244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11</w:t>
            </w:r>
          </w:p>
        </w:tc>
        <w:tc>
          <w:tcPr>
            <w:tcW w:w="244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12</w:t>
            </w:r>
          </w:p>
        </w:tc>
        <w:tc>
          <w:tcPr>
            <w:tcW w:w="397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13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14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15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16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17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18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19</w:t>
            </w:r>
          </w:p>
        </w:tc>
        <w:tc>
          <w:tcPr>
            <w:tcW w:w="170" w:type="pct"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</w:t>
            </w:r>
          </w:p>
        </w:tc>
        <w:tc>
          <w:tcPr>
            <w:tcW w:w="351" w:type="pct"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21</w:t>
            </w:r>
          </w:p>
        </w:tc>
      </w:tr>
      <w:tr w:rsidR="002A2255" w:rsidRPr="00577055" w:rsidTr="00081E6C">
        <w:trPr>
          <w:trHeight w:val="231"/>
        </w:trPr>
        <w:tc>
          <w:tcPr>
            <w:tcW w:w="5000" w:type="pct"/>
            <w:gridSpan w:val="21"/>
            <w:vAlign w:val="center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577055">
              <w:rPr>
                <w:sz w:val="14"/>
                <w:szCs w:val="14"/>
              </w:rPr>
              <w:t>безбарьерной</w:t>
            </w:r>
            <w:proofErr w:type="spellEnd"/>
            <w:r w:rsidRPr="00577055">
              <w:rPr>
                <w:sz w:val="14"/>
                <w:szCs w:val="14"/>
              </w:rPr>
              <w:t xml:space="preserve"> среды для инвалидов и других маломобильных групп населения на территории города Мурманска</w:t>
            </w: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1.</w:t>
            </w:r>
          </w:p>
        </w:tc>
        <w:tc>
          <w:tcPr>
            <w:tcW w:w="520" w:type="pct"/>
            <w:vMerge w:val="restar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Основное мероприятие:</w:t>
            </w:r>
          </w:p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проведение мероприятий по созданию </w:t>
            </w:r>
            <w:proofErr w:type="spellStart"/>
            <w:r w:rsidRPr="00577055">
              <w:rPr>
                <w:sz w:val="14"/>
                <w:szCs w:val="14"/>
              </w:rPr>
              <w:t>безбарьерной</w:t>
            </w:r>
            <w:proofErr w:type="spellEnd"/>
            <w:r w:rsidRPr="00577055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207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2018-2024 годы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Всего: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69872,9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16098,4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8927,3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6460,0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7600,0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5200,0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6793,6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18793,6</w:t>
            </w:r>
          </w:p>
        </w:tc>
        <w:tc>
          <w:tcPr>
            <w:tcW w:w="397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577055">
              <w:rPr>
                <w:sz w:val="14"/>
                <w:szCs w:val="14"/>
              </w:rPr>
              <w:t>безбарьерной</w:t>
            </w:r>
            <w:proofErr w:type="spellEnd"/>
            <w:r w:rsidRPr="00577055">
              <w:rPr>
                <w:sz w:val="14"/>
                <w:szCs w:val="14"/>
              </w:rPr>
              <w:t xml:space="preserve"> среды для жителей города </w:t>
            </w:r>
            <w:proofErr w:type="gramStart"/>
            <w:r w:rsidRPr="00577055">
              <w:rPr>
                <w:sz w:val="14"/>
                <w:szCs w:val="14"/>
              </w:rPr>
              <w:t>Мурман</w:t>
            </w:r>
            <w:r>
              <w:rPr>
                <w:sz w:val="14"/>
                <w:szCs w:val="14"/>
              </w:rPr>
              <w:t>ска,</w:t>
            </w:r>
            <w:r>
              <w:rPr>
                <w:sz w:val="14"/>
                <w:szCs w:val="14"/>
              </w:rPr>
              <w:br/>
            </w:r>
            <w:r w:rsidRPr="00577055">
              <w:rPr>
                <w:sz w:val="14"/>
                <w:szCs w:val="14"/>
              </w:rPr>
              <w:lastRenderedPageBreak/>
              <w:t>да</w:t>
            </w:r>
            <w:proofErr w:type="gramEnd"/>
            <w:r w:rsidRPr="00577055">
              <w:rPr>
                <w:sz w:val="14"/>
                <w:szCs w:val="14"/>
              </w:rPr>
              <w:t xml:space="preserve"> – 1, нет - 0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ind w:right="68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ind w:right="68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ind w:right="68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ind w:right="68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ind w:right="68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351" w:type="pct"/>
            <w:vMerge w:val="restart"/>
            <w:vAlign w:val="center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КРГХ, АО «</w:t>
            </w:r>
            <w:proofErr w:type="spellStart"/>
            <w:r w:rsidRPr="00577055">
              <w:rPr>
                <w:sz w:val="14"/>
                <w:szCs w:val="14"/>
              </w:rPr>
              <w:t>Электро</w:t>
            </w:r>
            <w:proofErr w:type="spellEnd"/>
            <w:r w:rsidRPr="00577055">
              <w:rPr>
                <w:sz w:val="14"/>
                <w:szCs w:val="14"/>
              </w:rPr>
              <w:br/>
              <w:t>транспорт», КСПВО</w:t>
            </w:r>
            <w:r w:rsidRPr="00577055">
              <w:rPr>
                <w:sz w:val="14"/>
                <w:szCs w:val="14"/>
              </w:rPr>
              <w:br/>
              <w:t>ОДМ, МАУ МП «</w:t>
            </w:r>
            <w:proofErr w:type="spellStart"/>
            <w:r w:rsidRPr="00577055">
              <w:rPr>
                <w:sz w:val="14"/>
                <w:szCs w:val="14"/>
              </w:rPr>
              <w:t>Объедине</w:t>
            </w:r>
            <w:proofErr w:type="spellEnd"/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ние</w:t>
            </w:r>
            <w:proofErr w:type="spellEnd"/>
            <w:r w:rsidRPr="00577055">
              <w:rPr>
                <w:sz w:val="14"/>
                <w:szCs w:val="14"/>
              </w:rPr>
              <w:t xml:space="preserve"> </w:t>
            </w:r>
            <w:r w:rsidRPr="00577055">
              <w:rPr>
                <w:sz w:val="14"/>
                <w:szCs w:val="14"/>
              </w:rPr>
              <w:lastRenderedPageBreak/>
              <w:t xml:space="preserve">молодежных центров», </w:t>
            </w:r>
          </w:p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КО, </w:t>
            </w:r>
            <w:proofErr w:type="spellStart"/>
            <w:r w:rsidRPr="00577055">
              <w:rPr>
                <w:sz w:val="14"/>
                <w:szCs w:val="14"/>
              </w:rPr>
              <w:t>подведомст</w:t>
            </w:r>
            <w:proofErr w:type="spellEnd"/>
            <w:r w:rsidRPr="00577055">
              <w:rPr>
                <w:sz w:val="14"/>
                <w:szCs w:val="14"/>
              </w:rPr>
              <w:br/>
              <w:t xml:space="preserve">венные учреждения, КК, учреждения, </w:t>
            </w:r>
            <w:proofErr w:type="spellStart"/>
            <w:r w:rsidRPr="00577055">
              <w:rPr>
                <w:sz w:val="14"/>
                <w:szCs w:val="14"/>
              </w:rPr>
              <w:t>подведомст</w:t>
            </w:r>
            <w:proofErr w:type="spellEnd"/>
            <w:r w:rsidRPr="00577055">
              <w:rPr>
                <w:sz w:val="14"/>
                <w:szCs w:val="14"/>
              </w:rPr>
              <w:br/>
              <w:t>венные КК, КС, ММКУ УКС</w:t>
            </w: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в </w:t>
            </w:r>
            <w:proofErr w:type="spellStart"/>
            <w:r w:rsidRPr="00577055">
              <w:rPr>
                <w:sz w:val="14"/>
                <w:szCs w:val="14"/>
              </w:rPr>
              <w:t>т.ч</w:t>
            </w:r>
            <w:proofErr w:type="spellEnd"/>
            <w:r w:rsidRPr="00577055">
              <w:rPr>
                <w:sz w:val="14"/>
                <w:szCs w:val="14"/>
              </w:rPr>
              <w:t>.: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МБ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67545,0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14498,4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8199,4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6460,0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7600,0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5200,0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6793,6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18793,6</w:t>
            </w:r>
          </w:p>
        </w:tc>
        <w:tc>
          <w:tcPr>
            <w:tcW w:w="39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2327,9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1600,0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727,9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ФБ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1.1.</w:t>
            </w:r>
          </w:p>
        </w:tc>
        <w:tc>
          <w:tcPr>
            <w:tcW w:w="520" w:type="pct"/>
            <w:vMerge w:val="restar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Приобретение </w:t>
            </w:r>
            <w:proofErr w:type="gramStart"/>
            <w:r w:rsidRPr="00577055">
              <w:rPr>
                <w:sz w:val="14"/>
                <w:szCs w:val="14"/>
              </w:rPr>
              <w:t>подвижного состава</w:t>
            </w:r>
            <w:proofErr w:type="gramEnd"/>
            <w:r w:rsidRPr="00577055">
              <w:rPr>
                <w:sz w:val="14"/>
                <w:szCs w:val="14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207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2018-2024 годы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Всего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 w:val="restar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Количество приобретенных транспортных средств, ед.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6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-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-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-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-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-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-</w:t>
            </w:r>
          </w:p>
        </w:tc>
        <w:tc>
          <w:tcPr>
            <w:tcW w:w="351" w:type="pct"/>
            <w:vMerge w:val="restar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КРГХ, АО «</w:t>
            </w:r>
            <w:proofErr w:type="spellStart"/>
            <w:r w:rsidRPr="00577055">
              <w:rPr>
                <w:sz w:val="14"/>
                <w:szCs w:val="14"/>
              </w:rPr>
              <w:t>Электро</w:t>
            </w:r>
            <w:proofErr w:type="spellEnd"/>
            <w:r w:rsidRPr="00577055">
              <w:rPr>
                <w:sz w:val="14"/>
                <w:szCs w:val="14"/>
              </w:rPr>
              <w:br/>
              <w:t>транспорт»</w:t>
            </w: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в </w:t>
            </w:r>
            <w:proofErr w:type="spellStart"/>
            <w:r w:rsidRPr="00577055">
              <w:rPr>
                <w:sz w:val="14"/>
                <w:szCs w:val="14"/>
              </w:rPr>
              <w:t>т.ч</w:t>
            </w:r>
            <w:proofErr w:type="spellEnd"/>
            <w:r w:rsidRPr="00577055">
              <w:rPr>
                <w:sz w:val="14"/>
                <w:szCs w:val="14"/>
              </w:rPr>
              <w:t>.: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МБ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ФБ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1.2.</w:t>
            </w:r>
          </w:p>
        </w:tc>
        <w:tc>
          <w:tcPr>
            <w:tcW w:w="52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07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Всего: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26991,9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4681,3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4545,5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3377,9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4600,0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2200,0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3793,6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3793,6</w:t>
            </w:r>
          </w:p>
        </w:tc>
        <w:tc>
          <w:tcPr>
            <w:tcW w:w="397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Количество объектов, оснащенных специализированным оборудованием для </w:t>
            </w:r>
            <w:proofErr w:type="spellStart"/>
            <w:r w:rsidRPr="00577055">
              <w:rPr>
                <w:sz w:val="14"/>
                <w:szCs w:val="14"/>
              </w:rPr>
              <w:t>маломо</w:t>
            </w:r>
            <w:proofErr w:type="spellEnd"/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бильных</w:t>
            </w:r>
            <w:proofErr w:type="spellEnd"/>
            <w:r w:rsidRPr="00577055">
              <w:rPr>
                <w:sz w:val="14"/>
                <w:szCs w:val="14"/>
              </w:rPr>
              <w:t xml:space="preserve"> групп населения, ед.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5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2</w:t>
            </w:r>
          </w:p>
        </w:tc>
        <w:tc>
          <w:tcPr>
            <w:tcW w:w="170" w:type="pct"/>
            <w:vMerge w:val="restart"/>
            <w:tcBorders>
              <w:right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  <w:tcBorders>
              <w:left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351" w:type="pct"/>
            <w:vMerge w:val="restar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КСПВО</w:t>
            </w:r>
            <w:r w:rsidRPr="00577055">
              <w:rPr>
                <w:sz w:val="14"/>
                <w:szCs w:val="14"/>
              </w:rPr>
              <w:br/>
              <w:t>ОДМ,</w:t>
            </w:r>
          </w:p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учреждения, </w:t>
            </w:r>
            <w:proofErr w:type="spellStart"/>
            <w:r w:rsidRPr="00577055">
              <w:rPr>
                <w:sz w:val="14"/>
                <w:szCs w:val="14"/>
              </w:rPr>
              <w:t>подведомст</w:t>
            </w:r>
            <w:proofErr w:type="spellEnd"/>
            <w:r w:rsidRPr="00577055">
              <w:rPr>
                <w:sz w:val="14"/>
                <w:szCs w:val="14"/>
              </w:rPr>
              <w:br/>
              <w:t>венные КСПВООДМ</w:t>
            </w: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в </w:t>
            </w:r>
            <w:proofErr w:type="spellStart"/>
            <w:r w:rsidRPr="00577055">
              <w:rPr>
                <w:sz w:val="14"/>
                <w:szCs w:val="14"/>
              </w:rPr>
              <w:t>т.ч</w:t>
            </w:r>
            <w:proofErr w:type="spellEnd"/>
            <w:r w:rsidRPr="00577055">
              <w:rPr>
                <w:sz w:val="14"/>
                <w:szCs w:val="14"/>
              </w:rPr>
              <w:t>.: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right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  <w:vAlign w:val="center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МБ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2833,3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763,3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300,0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570,0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300,0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right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right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10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  <w:vMerge w:val="restar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ФБ</w:t>
            </w:r>
          </w:p>
        </w:tc>
        <w:tc>
          <w:tcPr>
            <w:tcW w:w="242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2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70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  <w:vMerge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</w:p>
        </w:tc>
        <w:tc>
          <w:tcPr>
            <w:tcW w:w="242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3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2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3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4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4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4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4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577055">
              <w:rPr>
                <w:sz w:val="14"/>
                <w:szCs w:val="24"/>
              </w:rPr>
              <w:t>Приобретение оборудования и технических средств адаптации для оснащения учреждений молодежной политики, да – 1, нет - 0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МБ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6700,0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850,0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850,0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1000,0</w:t>
            </w:r>
          </w:p>
        </w:tc>
        <w:tc>
          <w:tcPr>
            <w:tcW w:w="397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577055">
              <w:rPr>
                <w:sz w:val="14"/>
                <w:szCs w:val="14"/>
              </w:rPr>
              <w:t>Создание в образователь</w:t>
            </w:r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ных</w:t>
            </w:r>
            <w:proofErr w:type="spellEnd"/>
            <w:r w:rsidRPr="00577055">
              <w:rPr>
                <w:sz w:val="14"/>
                <w:szCs w:val="14"/>
              </w:rPr>
              <w:t xml:space="preserve"> </w:t>
            </w:r>
            <w:proofErr w:type="spellStart"/>
            <w:r w:rsidRPr="00577055">
              <w:rPr>
                <w:sz w:val="14"/>
                <w:szCs w:val="14"/>
              </w:rPr>
              <w:t>учреж</w:t>
            </w:r>
            <w:proofErr w:type="spellEnd"/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дениях</w:t>
            </w:r>
            <w:proofErr w:type="spellEnd"/>
            <w:r w:rsidRPr="00577055">
              <w:rPr>
                <w:sz w:val="14"/>
                <w:szCs w:val="14"/>
              </w:rPr>
              <w:t xml:space="preserve"> города Мурманска </w:t>
            </w:r>
            <w:proofErr w:type="spellStart"/>
            <w:r w:rsidRPr="00577055">
              <w:rPr>
                <w:sz w:val="14"/>
                <w:szCs w:val="14"/>
              </w:rPr>
              <w:t>безбарьерной</w:t>
            </w:r>
            <w:proofErr w:type="spellEnd"/>
            <w:r w:rsidRPr="00577055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</w:t>
            </w:r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ными</w:t>
            </w:r>
            <w:proofErr w:type="spellEnd"/>
            <w:r w:rsidRPr="00577055">
              <w:rPr>
                <w:sz w:val="14"/>
                <w:szCs w:val="14"/>
              </w:rPr>
              <w:t xml:space="preserve"> возможностями здоровья, да - 1; нет - 0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5"/>
              </w:rPr>
            </w:pPr>
            <w:r w:rsidRPr="00577055">
              <w:rPr>
                <w:sz w:val="14"/>
                <w:szCs w:val="15"/>
              </w:rPr>
              <w:t>1</w:t>
            </w:r>
          </w:p>
        </w:tc>
        <w:tc>
          <w:tcPr>
            <w:tcW w:w="351" w:type="pct"/>
            <w:vMerge w:val="restar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КО, </w:t>
            </w:r>
            <w:proofErr w:type="spellStart"/>
            <w:r w:rsidRPr="00577055">
              <w:rPr>
                <w:sz w:val="14"/>
                <w:szCs w:val="14"/>
              </w:rPr>
              <w:t>подведомст</w:t>
            </w:r>
            <w:proofErr w:type="spellEnd"/>
            <w:r w:rsidRPr="00577055">
              <w:rPr>
                <w:sz w:val="14"/>
                <w:szCs w:val="14"/>
              </w:rPr>
              <w:br/>
              <w:t>венные учреждения</w:t>
            </w: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2327,9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1600,0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  <w:vertAlign w:val="superscript"/>
              </w:rPr>
            </w:pPr>
            <w:r w:rsidRPr="00577055">
              <w:rPr>
                <w:sz w:val="14"/>
                <w:szCs w:val="14"/>
              </w:rPr>
              <w:t>727,9</w:t>
            </w:r>
            <w:r w:rsidRPr="0057705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ФБ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5" w:rsidRPr="00577055" w:rsidRDefault="002A2255" w:rsidP="00081E6C">
            <w:pPr>
              <w:jc w:val="center"/>
              <w:rPr>
                <w:sz w:val="14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МБ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15130,7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1468,0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2667,6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1807,9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3300,0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900,0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2493,6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2493,6</w:t>
            </w:r>
          </w:p>
        </w:tc>
        <w:tc>
          <w:tcPr>
            <w:tcW w:w="397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577055">
              <w:rPr>
                <w:sz w:val="14"/>
                <w:szCs w:val="14"/>
              </w:rPr>
              <w:t xml:space="preserve">Создание в учреждениях культуры и дополнительного образования (детских школах искусств (по видам искусств) условий доступности для инвалидов и других </w:t>
            </w:r>
            <w:proofErr w:type="spellStart"/>
            <w:r w:rsidRPr="00577055">
              <w:rPr>
                <w:sz w:val="14"/>
                <w:szCs w:val="14"/>
              </w:rPr>
              <w:t>маломобиль</w:t>
            </w:r>
            <w:proofErr w:type="spellEnd"/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ных</w:t>
            </w:r>
            <w:proofErr w:type="spellEnd"/>
            <w:r w:rsidRPr="00577055">
              <w:rPr>
                <w:sz w:val="14"/>
                <w:szCs w:val="14"/>
              </w:rPr>
              <w:t xml:space="preserve"> групп населения, да - 1; нет - 0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</w:t>
            </w:r>
          </w:p>
        </w:tc>
        <w:tc>
          <w:tcPr>
            <w:tcW w:w="351" w:type="pct"/>
            <w:vMerge w:val="restar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КК, учреждения, </w:t>
            </w:r>
            <w:proofErr w:type="spellStart"/>
            <w:r w:rsidRPr="00577055">
              <w:rPr>
                <w:sz w:val="14"/>
                <w:szCs w:val="14"/>
              </w:rPr>
              <w:t>подведомст</w:t>
            </w:r>
            <w:proofErr w:type="spellEnd"/>
            <w:r w:rsidRPr="00577055">
              <w:rPr>
                <w:sz w:val="14"/>
                <w:szCs w:val="14"/>
              </w:rPr>
              <w:br/>
              <w:t>венные КК</w:t>
            </w: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7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ФБ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  <w:r w:rsidRPr="00577055">
              <w:rPr>
                <w:sz w:val="14"/>
                <w:szCs w:val="13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vAlign w:val="center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 w:val="restart"/>
          </w:tcPr>
          <w:p w:rsidR="002A2255" w:rsidRPr="00577055" w:rsidRDefault="002A2255" w:rsidP="00081E6C">
            <w:pPr>
              <w:pStyle w:val="ConsPlusNormal"/>
              <w:rPr>
                <w:rFonts w:ascii="Times New Roman" w:hAnsi="Times New Roman"/>
                <w:sz w:val="14"/>
                <w:szCs w:val="13"/>
              </w:rPr>
            </w:pPr>
            <w:r w:rsidRPr="00577055">
              <w:rPr>
                <w:rFonts w:ascii="Times New Roman" w:hAnsi="Times New Roman"/>
                <w:sz w:val="14"/>
                <w:szCs w:val="13"/>
              </w:rPr>
              <w:t>1.3.</w:t>
            </w:r>
          </w:p>
        </w:tc>
        <w:tc>
          <w:tcPr>
            <w:tcW w:w="520" w:type="pct"/>
            <w:vMerge w:val="restart"/>
          </w:tcPr>
          <w:p w:rsidR="002A2255" w:rsidRPr="00577055" w:rsidRDefault="002A2255" w:rsidP="00081E6C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577055">
              <w:rPr>
                <w:rFonts w:ascii="Times New Roman" w:hAnsi="Times New Roman"/>
                <w:sz w:val="14"/>
                <w:szCs w:val="1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207" w:type="pct"/>
            <w:vMerge w:val="restart"/>
          </w:tcPr>
          <w:p w:rsidR="002A2255" w:rsidRPr="00577055" w:rsidRDefault="002A2255" w:rsidP="00081E6C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577055">
              <w:rPr>
                <w:rFonts w:ascii="Times New Roman" w:hAnsi="Times New Roman"/>
                <w:sz w:val="14"/>
                <w:szCs w:val="14"/>
              </w:rPr>
              <w:t>2018 - 2024 годы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32881,0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1417,1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4381,8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color w:val="000000"/>
                <w:sz w:val="14"/>
                <w:szCs w:val="14"/>
              </w:rPr>
            </w:pPr>
            <w:r w:rsidRPr="00577055">
              <w:rPr>
                <w:color w:val="000000"/>
                <w:sz w:val="14"/>
                <w:szCs w:val="14"/>
              </w:rPr>
              <w:t>3082,1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color w:val="000000"/>
                <w:sz w:val="14"/>
                <w:szCs w:val="14"/>
              </w:rPr>
            </w:pPr>
            <w:r w:rsidRPr="00577055">
              <w:rPr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right"/>
              <w:rPr>
                <w:color w:val="000000"/>
                <w:sz w:val="14"/>
                <w:szCs w:val="14"/>
              </w:rPr>
            </w:pPr>
            <w:r w:rsidRPr="00577055">
              <w:rPr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right"/>
              <w:rPr>
                <w:color w:val="000000"/>
                <w:sz w:val="14"/>
                <w:szCs w:val="14"/>
              </w:rPr>
            </w:pPr>
            <w:r w:rsidRPr="00577055">
              <w:rPr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15000,0</w:t>
            </w:r>
          </w:p>
        </w:tc>
        <w:tc>
          <w:tcPr>
            <w:tcW w:w="397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Количество фактически приспособлен</w:t>
            </w:r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ных</w:t>
            </w:r>
            <w:proofErr w:type="spellEnd"/>
            <w:r w:rsidRPr="00577055">
              <w:rPr>
                <w:sz w:val="14"/>
                <w:szCs w:val="14"/>
              </w:rPr>
              <w:t xml:space="preserve"> жилых помещений и (или) общего домового имущества в </w:t>
            </w:r>
            <w:proofErr w:type="spellStart"/>
            <w:r w:rsidRPr="00577055">
              <w:rPr>
                <w:sz w:val="14"/>
                <w:szCs w:val="14"/>
              </w:rPr>
              <w:t>многоквартир</w:t>
            </w:r>
            <w:proofErr w:type="spellEnd"/>
            <w:r w:rsidRPr="00577055">
              <w:rPr>
                <w:sz w:val="14"/>
                <w:szCs w:val="14"/>
              </w:rPr>
              <w:br/>
            </w:r>
            <w:proofErr w:type="spellStart"/>
            <w:r w:rsidRPr="00577055">
              <w:rPr>
                <w:sz w:val="14"/>
                <w:szCs w:val="14"/>
              </w:rPr>
              <w:t>ных</w:t>
            </w:r>
            <w:proofErr w:type="spellEnd"/>
            <w:r w:rsidRPr="00577055">
              <w:rPr>
                <w:sz w:val="14"/>
                <w:szCs w:val="14"/>
              </w:rPr>
              <w:t xml:space="preserve"> домах с учетом потребностей инвалидов, ед.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15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10</w:t>
            </w:r>
          </w:p>
        </w:tc>
        <w:tc>
          <w:tcPr>
            <w:tcW w:w="170" w:type="pct"/>
            <w:vMerge w:val="restart"/>
          </w:tcPr>
          <w:p w:rsidR="002A2255" w:rsidRDefault="002A2255" w:rsidP="00081E6C">
            <w:pPr>
              <w:jc w:val="center"/>
            </w:pPr>
            <w:r w:rsidRPr="00BB4319">
              <w:rPr>
                <w:sz w:val="14"/>
                <w:szCs w:val="14"/>
              </w:rPr>
              <w:t>10</w:t>
            </w:r>
          </w:p>
        </w:tc>
        <w:tc>
          <w:tcPr>
            <w:tcW w:w="170" w:type="pct"/>
            <w:vMerge w:val="restart"/>
          </w:tcPr>
          <w:p w:rsidR="002A2255" w:rsidRDefault="002A2255" w:rsidP="00081E6C">
            <w:pPr>
              <w:jc w:val="center"/>
            </w:pPr>
            <w:r w:rsidRPr="00BB4319">
              <w:rPr>
                <w:sz w:val="14"/>
                <w:szCs w:val="14"/>
              </w:rPr>
              <w:t>10</w:t>
            </w:r>
          </w:p>
        </w:tc>
        <w:tc>
          <w:tcPr>
            <w:tcW w:w="170" w:type="pct"/>
            <w:vMerge w:val="restart"/>
          </w:tcPr>
          <w:p w:rsidR="002A2255" w:rsidRDefault="002A2255" w:rsidP="00081E6C">
            <w:pPr>
              <w:jc w:val="center"/>
            </w:pPr>
            <w:r w:rsidRPr="00BB4319">
              <w:rPr>
                <w:sz w:val="14"/>
                <w:szCs w:val="14"/>
              </w:rPr>
              <w:t>10</w:t>
            </w:r>
          </w:p>
        </w:tc>
        <w:tc>
          <w:tcPr>
            <w:tcW w:w="170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1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КС, ММКУ УКС</w:t>
            </w: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в </w:t>
            </w:r>
            <w:proofErr w:type="spellStart"/>
            <w:r w:rsidRPr="00577055">
              <w:rPr>
                <w:sz w:val="14"/>
                <w:szCs w:val="14"/>
              </w:rPr>
              <w:t>т.ч</w:t>
            </w:r>
            <w:proofErr w:type="spellEnd"/>
            <w:r w:rsidRPr="00577055">
              <w:rPr>
                <w:sz w:val="14"/>
                <w:szCs w:val="14"/>
              </w:rPr>
              <w:t>.: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4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МБ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32881,0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1417,1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4381,8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color w:val="000000"/>
                <w:sz w:val="14"/>
                <w:szCs w:val="14"/>
              </w:rPr>
            </w:pPr>
            <w:r w:rsidRPr="00577055">
              <w:rPr>
                <w:color w:val="000000"/>
                <w:sz w:val="14"/>
                <w:szCs w:val="14"/>
              </w:rPr>
              <w:t>3082,1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color w:val="000000"/>
                <w:sz w:val="14"/>
                <w:szCs w:val="14"/>
              </w:rPr>
            </w:pPr>
            <w:r w:rsidRPr="00577055">
              <w:rPr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right"/>
              <w:rPr>
                <w:color w:val="000000"/>
                <w:sz w:val="14"/>
                <w:szCs w:val="14"/>
              </w:rPr>
            </w:pPr>
            <w:r w:rsidRPr="00577055">
              <w:rPr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right"/>
              <w:rPr>
                <w:color w:val="000000"/>
                <w:sz w:val="14"/>
                <w:szCs w:val="14"/>
              </w:rPr>
            </w:pPr>
            <w:r w:rsidRPr="00577055">
              <w:rPr>
                <w:color w:val="000000"/>
                <w:sz w:val="14"/>
                <w:szCs w:val="14"/>
              </w:rPr>
              <w:t>3000,0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15000,0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055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768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ФБ</w:t>
            </w:r>
          </w:p>
        </w:tc>
        <w:tc>
          <w:tcPr>
            <w:tcW w:w="242" w:type="pct"/>
            <w:vMerge w:val="restart"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055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43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2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1122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0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" w:type="pct"/>
            <w:vMerge/>
          </w:tcPr>
          <w:p w:rsidR="002A2255" w:rsidRPr="00577055" w:rsidRDefault="002A2255" w:rsidP="00081E6C">
            <w:pPr>
              <w:pStyle w:val="ConsPlusNormal"/>
              <w:jc w:val="center"/>
              <w:rPr>
                <w:rFonts w:ascii="Times New Roman" w:hAnsi="Times New Roman"/>
                <w:sz w:val="14"/>
                <w:szCs w:val="13"/>
              </w:rPr>
            </w:pPr>
          </w:p>
        </w:tc>
        <w:tc>
          <w:tcPr>
            <w:tcW w:w="243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2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3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4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4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4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4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14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-</w:t>
            </w:r>
          </w:p>
        </w:tc>
        <w:tc>
          <w:tcPr>
            <w:tcW w:w="351" w:type="pct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27" w:type="pct"/>
            <w:gridSpan w:val="2"/>
            <w:vMerge w:val="restart"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577055">
              <w:rPr>
                <w:sz w:val="14"/>
                <w:szCs w:val="14"/>
              </w:rPr>
              <w:t>т.ч</w:t>
            </w:r>
            <w:proofErr w:type="spellEnd"/>
            <w:r w:rsidRPr="00577055">
              <w:rPr>
                <w:sz w:val="14"/>
                <w:szCs w:val="14"/>
              </w:rPr>
              <w:t>.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 xml:space="preserve">Всего: в </w:t>
            </w:r>
            <w:proofErr w:type="spellStart"/>
            <w:r w:rsidRPr="00577055">
              <w:rPr>
                <w:sz w:val="14"/>
                <w:szCs w:val="14"/>
              </w:rPr>
              <w:t>т.ч</w:t>
            </w:r>
            <w:proofErr w:type="spellEnd"/>
            <w:r w:rsidRPr="00577055">
              <w:rPr>
                <w:sz w:val="14"/>
                <w:szCs w:val="14"/>
              </w:rPr>
              <w:t>.: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69872,9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16098,4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8927,3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6460,0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7600,0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5200,0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6793,6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18793,6</w:t>
            </w:r>
          </w:p>
        </w:tc>
        <w:tc>
          <w:tcPr>
            <w:tcW w:w="1937" w:type="pct"/>
            <w:gridSpan w:val="9"/>
            <w:vMerge w:val="restar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27" w:type="pct"/>
            <w:gridSpan w:val="2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МБ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67545,0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14498,4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8199,4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6460,0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7600,0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5200,0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6793,6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18793,6</w:t>
            </w:r>
          </w:p>
        </w:tc>
        <w:tc>
          <w:tcPr>
            <w:tcW w:w="1937" w:type="pct"/>
            <w:gridSpan w:val="9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577055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27" w:type="pct"/>
            <w:gridSpan w:val="2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ОБ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2327,9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1600,0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727,9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1937" w:type="pct"/>
            <w:gridSpan w:val="9"/>
            <w:vMerge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  <w:tr w:rsidR="002A2255" w:rsidRPr="00604DD4" w:rsidTr="00081E6C">
        <w:trPr>
          <w:trHeight w:val="231"/>
        </w:trPr>
        <w:tc>
          <w:tcPr>
            <w:tcW w:w="146" w:type="pct"/>
            <w:vMerge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27" w:type="pct"/>
            <w:gridSpan w:val="2"/>
            <w:vMerge/>
          </w:tcPr>
          <w:p w:rsidR="002A2255" w:rsidRPr="00577055" w:rsidRDefault="002A2255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2A2255" w:rsidRPr="00577055" w:rsidRDefault="002A2255" w:rsidP="00081E6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ФБ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2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577055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244" w:type="pct"/>
          </w:tcPr>
          <w:p w:rsidR="002A2255" w:rsidRPr="00604DD4" w:rsidRDefault="002A2255" w:rsidP="00081E6C">
            <w:pPr>
              <w:jc w:val="center"/>
              <w:rPr>
                <w:sz w:val="14"/>
                <w:szCs w:val="14"/>
              </w:rPr>
            </w:pPr>
            <w:r w:rsidRPr="00577055">
              <w:rPr>
                <w:sz w:val="14"/>
                <w:szCs w:val="14"/>
              </w:rPr>
              <w:t>0,0</w:t>
            </w:r>
          </w:p>
        </w:tc>
        <w:tc>
          <w:tcPr>
            <w:tcW w:w="1937" w:type="pct"/>
            <w:gridSpan w:val="9"/>
            <w:vMerge/>
          </w:tcPr>
          <w:p w:rsidR="002A2255" w:rsidRPr="00604DD4" w:rsidRDefault="002A2255" w:rsidP="00081E6C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2255" w:rsidRDefault="002A2255" w:rsidP="002A2255">
      <w:pPr>
        <w:autoSpaceDE w:val="0"/>
        <w:autoSpaceDN w:val="0"/>
        <w:adjustRightInd w:val="0"/>
      </w:pPr>
    </w:p>
    <w:p w:rsidR="002A2255" w:rsidRDefault="002A2255" w:rsidP="002A2255">
      <w:pPr>
        <w:autoSpaceDE w:val="0"/>
        <w:autoSpaceDN w:val="0"/>
        <w:adjustRightInd w:val="0"/>
      </w:pPr>
    </w:p>
    <w:p w:rsidR="002A2255" w:rsidRDefault="002A2255" w:rsidP="002A2255">
      <w:pPr>
        <w:autoSpaceDE w:val="0"/>
        <w:autoSpaceDN w:val="0"/>
        <w:adjustRightInd w:val="0"/>
      </w:pPr>
    </w:p>
    <w:p w:rsidR="002A2255" w:rsidRDefault="002A2255" w:rsidP="002A2255">
      <w:pPr>
        <w:autoSpaceDE w:val="0"/>
        <w:autoSpaceDN w:val="0"/>
        <w:adjustRightInd w:val="0"/>
      </w:pPr>
    </w:p>
    <w:p w:rsidR="002A2255" w:rsidRPr="004E0CD7" w:rsidRDefault="002A2255" w:rsidP="002A2255">
      <w:pPr>
        <w:widowControl w:val="0"/>
        <w:autoSpaceDE w:val="0"/>
        <w:jc w:val="center"/>
        <w:rPr>
          <w:szCs w:val="28"/>
        </w:rPr>
      </w:pPr>
      <w:r w:rsidRPr="004E0CD7">
        <w:rPr>
          <w:szCs w:val="28"/>
        </w:rPr>
        <w:lastRenderedPageBreak/>
        <w:t>Детализация направлений расходов</w:t>
      </w:r>
    </w:p>
    <w:p w:rsidR="002A2255" w:rsidRDefault="002A2255" w:rsidP="002A2255">
      <w:pPr>
        <w:autoSpaceDE w:val="0"/>
        <w:autoSpaceDN w:val="0"/>
        <w:adjustRightInd w:val="0"/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A2255" w:rsidRPr="00CF1BF3" w:rsidTr="00081E6C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Объемы финансирования, тыс. руб.</w:t>
            </w:r>
          </w:p>
        </w:tc>
      </w:tr>
      <w:tr w:rsidR="002A2255" w:rsidRPr="00CF1BF3" w:rsidTr="00081E6C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2018</w:t>
            </w:r>
            <w:r w:rsidRPr="00CF1BF3">
              <w:rPr>
                <w:sz w:val="20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2019</w:t>
            </w:r>
            <w:r w:rsidRPr="00CF1BF3">
              <w:rPr>
                <w:sz w:val="20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2020</w:t>
            </w:r>
            <w:r w:rsidRPr="00CF1BF3">
              <w:rPr>
                <w:sz w:val="20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2021</w:t>
            </w:r>
            <w:r w:rsidRPr="00CF1BF3">
              <w:rPr>
                <w:sz w:val="20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2022</w:t>
            </w:r>
            <w:r w:rsidRPr="00CF1BF3">
              <w:rPr>
                <w:sz w:val="20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2023</w:t>
            </w:r>
            <w:r w:rsidRPr="00CF1BF3">
              <w:rPr>
                <w:sz w:val="20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2024</w:t>
            </w:r>
            <w:r w:rsidRPr="00CF1BF3">
              <w:rPr>
                <w:sz w:val="20"/>
              </w:rPr>
              <w:br/>
              <w:t>год</w:t>
            </w:r>
          </w:p>
        </w:tc>
      </w:tr>
      <w:tr w:rsidR="002A2255" w:rsidRPr="00CF1BF3" w:rsidTr="00081E6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11</w:t>
            </w:r>
          </w:p>
        </w:tc>
      </w:tr>
      <w:tr w:rsidR="002A2255" w:rsidRPr="00CF1BF3" w:rsidTr="00081E6C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 xml:space="preserve">Основное мероприятие: проведение мероприятий по созданию </w:t>
            </w:r>
            <w:proofErr w:type="spellStart"/>
            <w:r w:rsidRPr="00CF1BF3">
              <w:rPr>
                <w:sz w:val="20"/>
              </w:rPr>
              <w:t>безбарьерной</w:t>
            </w:r>
            <w:proofErr w:type="spellEnd"/>
            <w:r w:rsidRPr="00CF1BF3">
              <w:rPr>
                <w:sz w:val="20"/>
              </w:rPr>
              <w:t xml:space="preserve">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67545,0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14498,4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8199,4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6460,0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6793,6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18793,6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 xml:space="preserve">Приобретение </w:t>
            </w:r>
            <w:proofErr w:type="gramStart"/>
            <w:r w:rsidRPr="00CF1BF3">
              <w:rPr>
                <w:sz w:val="20"/>
              </w:rPr>
              <w:t>подвижного состава</w:t>
            </w:r>
            <w:proofErr w:type="gramEnd"/>
            <w:r w:rsidRPr="00CF1BF3">
              <w:rPr>
                <w:sz w:val="20"/>
              </w:rPr>
              <w:t xml:space="preserve"> специализированного наземного городского транспорта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</w:tr>
      <w:tr w:rsidR="002A2255" w:rsidRPr="00CF1BF3" w:rsidTr="00081E6C">
        <w:trPr>
          <w:trHeight w:val="6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24664,0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3377,9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3793,6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Оснащение структурных подразделений МАУ МП «Объединение молодежных центров» и МАУ МП «Дом молодежи» 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300,0</w:t>
            </w:r>
          </w:p>
        </w:tc>
      </w:tr>
      <w:tr w:rsidR="002A2255" w:rsidRPr="00CF1BF3" w:rsidTr="00081E6C">
        <w:trPr>
          <w:trHeight w:val="6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 xml:space="preserve">Создание в образовательных учреждениях города Мурманска </w:t>
            </w:r>
            <w:proofErr w:type="spellStart"/>
            <w:r w:rsidRPr="00CF1BF3">
              <w:rPr>
                <w:sz w:val="20"/>
              </w:rPr>
              <w:t>безбарьерной</w:t>
            </w:r>
            <w:proofErr w:type="spellEnd"/>
            <w:r w:rsidRPr="00CF1BF3">
              <w:rPr>
                <w:sz w:val="20"/>
              </w:rPr>
              <w:t xml:space="preserve">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1000,0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</w:tr>
      <w:tr w:rsidR="002A2255" w:rsidRPr="00CF1BF3" w:rsidTr="00081E6C">
        <w:trPr>
          <w:trHeight w:val="7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1.2.2.1.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 xml:space="preserve">Создание </w:t>
            </w:r>
            <w:proofErr w:type="spellStart"/>
            <w:r w:rsidRPr="00CF1BF3">
              <w:rPr>
                <w:sz w:val="20"/>
              </w:rPr>
              <w:t>безбарьерной</w:t>
            </w:r>
            <w:proofErr w:type="spellEnd"/>
            <w:r w:rsidRPr="00CF1BF3">
              <w:rPr>
                <w:sz w:val="20"/>
              </w:rPr>
              <w:t xml:space="preserve"> среды для обучающихся с ограниченными возможностями здоровья в образовательных учреждениях, в рамках реализации Государственной программы РФ «Доступная среда» на 2011-2020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lastRenderedPageBreak/>
              <w:t>1.2.2.2.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 xml:space="preserve">Приобретение технических средств в дошкольных образовательных учреждениях для обеспечения доступа маломобильных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600,0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населения, в рамках реализации Государственной программы РФ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250,0</w:t>
            </w:r>
          </w:p>
        </w:tc>
      </w:tr>
      <w:tr w:rsidR="002A2255" w:rsidRPr="00CF1BF3" w:rsidTr="00081E6C">
        <w:trPr>
          <w:trHeight w:val="8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1.2.2.4.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CF1BF3">
              <w:rPr>
                <w:color w:val="000000"/>
                <w:sz w:val="20"/>
              </w:rPr>
              <w:t>безбарьерной</w:t>
            </w:r>
            <w:proofErr w:type="spellEnd"/>
            <w:r w:rsidRPr="00CF1BF3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учреждениях дополнительного образования, в рамках реализации Государственной программы РФ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1.2.2.5.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дополнительного образования детей г. Мурманска детско-юношеская спортивно - адаптивная школа №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150,0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 xml:space="preserve">Создание в учреждениях культуры и дополнительного образования (детских школах искусств (по </w:t>
            </w:r>
            <w:r w:rsidRPr="00CF1BF3">
              <w:rPr>
                <w:sz w:val="20"/>
              </w:rPr>
              <w:lastRenderedPageBreak/>
              <w:t>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15130,7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2667,6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2493,6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2493,6</w:t>
            </w:r>
          </w:p>
        </w:tc>
      </w:tr>
      <w:tr w:rsidR="002A2255" w:rsidRPr="00CF1BF3" w:rsidTr="00081E6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rPr>
                <w:sz w:val="20"/>
              </w:rPr>
            </w:pPr>
            <w:r w:rsidRPr="00CF1BF3">
              <w:rPr>
                <w:sz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sz w:val="20"/>
              </w:rPr>
            </w:pPr>
            <w:r w:rsidRPr="00CF1BF3">
              <w:rPr>
                <w:sz w:val="20"/>
              </w:rPr>
              <w:t>32881,0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4381,8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55" w:rsidRPr="00CF1BF3" w:rsidRDefault="002A2255" w:rsidP="00081E6C">
            <w:pPr>
              <w:jc w:val="center"/>
              <w:rPr>
                <w:color w:val="000000"/>
                <w:sz w:val="20"/>
              </w:rPr>
            </w:pPr>
            <w:r w:rsidRPr="00CF1BF3">
              <w:rPr>
                <w:color w:val="000000"/>
                <w:sz w:val="20"/>
              </w:rPr>
              <w:t>15000,0</w:t>
            </w:r>
          </w:p>
        </w:tc>
      </w:tr>
    </w:tbl>
    <w:p w:rsidR="003078A9" w:rsidRPr="003078A9" w:rsidRDefault="003078A9" w:rsidP="00B27F7A">
      <w:pPr>
        <w:jc w:val="center"/>
        <w:rPr>
          <w:szCs w:val="28"/>
        </w:rPr>
      </w:pPr>
    </w:p>
    <w:p w:rsidR="00B27F7A" w:rsidRPr="003078A9" w:rsidRDefault="00B27F7A" w:rsidP="00B27F7A">
      <w:pPr>
        <w:jc w:val="center"/>
        <w:rPr>
          <w:szCs w:val="28"/>
        </w:rPr>
      </w:pPr>
      <w:r w:rsidRPr="003078A9">
        <w:rPr>
          <w:szCs w:val="28"/>
        </w:rPr>
        <w:t>4. Обоснование ресурсного обеспечения подпрограммы</w:t>
      </w:r>
    </w:p>
    <w:p w:rsidR="00B27F7A" w:rsidRPr="003078A9" w:rsidRDefault="00B27F7A" w:rsidP="00B27F7A">
      <w:pPr>
        <w:jc w:val="center"/>
        <w:rPr>
          <w:szCs w:val="28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031"/>
        <w:gridCol w:w="1472"/>
        <w:gridCol w:w="1030"/>
        <w:gridCol w:w="1045"/>
        <w:gridCol w:w="1045"/>
        <w:gridCol w:w="1045"/>
        <w:gridCol w:w="1126"/>
        <w:gridCol w:w="1126"/>
      </w:tblGrid>
      <w:tr w:rsidR="002A2255" w:rsidRPr="00C855A9" w:rsidTr="00081E6C">
        <w:trPr>
          <w:trHeight w:val="20"/>
          <w:tblHeader/>
          <w:jc w:val="center"/>
        </w:trPr>
        <w:tc>
          <w:tcPr>
            <w:tcW w:w="4646" w:type="dxa"/>
            <w:vMerge w:val="restart"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889" w:type="dxa"/>
            <w:gridSpan w:val="7"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A2255" w:rsidRPr="00C855A9" w:rsidTr="00081E6C">
        <w:trPr>
          <w:trHeight w:val="20"/>
          <w:tblHeader/>
          <w:jc w:val="center"/>
        </w:trPr>
        <w:tc>
          <w:tcPr>
            <w:tcW w:w="4646" w:type="dxa"/>
            <w:vMerge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2018 год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2019 год</w:t>
            </w:r>
          </w:p>
        </w:tc>
        <w:tc>
          <w:tcPr>
            <w:tcW w:w="1045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2020 год</w:t>
            </w:r>
          </w:p>
        </w:tc>
        <w:tc>
          <w:tcPr>
            <w:tcW w:w="1045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2021 год</w:t>
            </w:r>
          </w:p>
        </w:tc>
        <w:tc>
          <w:tcPr>
            <w:tcW w:w="1045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2024 год</w:t>
            </w:r>
          </w:p>
        </w:tc>
      </w:tr>
      <w:tr w:rsidR="002A2255" w:rsidRPr="00C855A9" w:rsidTr="00081E6C">
        <w:trPr>
          <w:trHeight w:val="20"/>
          <w:tblHeader/>
          <w:jc w:val="center"/>
        </w:trPr>
        <w:tc>
          <w:tcPr>
            <w:tcW w:w="4646" w:type="dxa"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2A2255" w:rsidRPr="00C855A9" w:rsidRDefault="002A2255" w:rsidP="00081E6C">
            <w:pPr>
              <w:jc w:val="center"/>
              <w:rPr>
                <w:sz w:val="22"/>
                <w:szCs w:val="22"/>
              </w:rPr>
            </w:pPr>
            <w:r w:rsidRPr="00C855A9">
              <w:rPr>
                <w:sz w:val="22"/>
                <w:szCs w:val="22"/>
              </w:rPr>
              <w:t>9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69872,9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16098,4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8927,3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7600,0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5200,0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6793,6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18793,6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67545,0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14498,4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8199,4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7600,0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5200,0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6793,6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18793,6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2327,9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1600,0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300,0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 xml:space="preserve">. инвестиции в основной капитал 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9027,9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2450,0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1577,9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6700,0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850,0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850,0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1000,0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2327,9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1600,0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15130,7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3300,0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900,0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2493,6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2493,6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15130,7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3300,0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900,0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2493,6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2493,6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32881,0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color w:val="000000"/>
                <w:sz w:val="22"/>
                <w:szCs w:val="22"/>
              </w:rPr>
            </w:pPr>
            <w:r w:rsidRPr="00CB2DAF">
              <w:rPr>
                <w:color w:val="000000"/>
                <w:sz w:val="22"/>
                <w:szCs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color w:val="000000"/>
                <w:sz w:val="22"/>
                <w:szCs w:val="22"/>
              </w:rPr>
            </w:pPr>
            <w:r w:rsidRPr="00CB2DAF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right"/>
              <w:rPr>
                <w:color w:val="000000"/>
                <w:sz w:val="22"/>
                <w:szCs w:val="22"/>
              </w:rPr>
            </w:pPr>
            <w:r w:rsidRPr="00CB2DAF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right"/>
              <w:rPr>
                <w:color w:val="000000"/>
                <w:sz w:val="22"/>
                <w:szCs w:val="22"/>
              </w:rPr>
            </w:pPr>
            <w:r w:rsidRPr="00CB2DAF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15000,0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32881,0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color w:val="000000"/>
                <w:sz w:val="22"/>
                <w:szCs w:val="22"/>
              </w:rPr>
            </w:pPr>
            <w:r w:rsidRPr="00CB2DAF">
              <w:rPr>
                <w:color w:val="000000"/>
                <w:sz w:val="22"/>
                <w:szCs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color w:val="000000"/>
                <w:sz w:val="22"/>
                <w:szCs w:val="22"/>
              </w:rPr>
            </w:pPr>
            <w:r w:rsidRPr="00CB2DAF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right"/>
              <w:rPr>
                <w:color w:val="000000"/>
                <w:sz w:val="22"/>
                <w:szCs w:val="22"/>
              </w:rPr>
            </w:pPr>
            <w:r w:rsidRPr="00CB2DAF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right"/>
              <w:rPr>
                <w:color w:val="000000"/>
                <w:sz w:val="22"/>
                <w:szCs w:val="22"/>
              </w:rPr>
            </w:pPr>
            <w:r w:rsidRPr="00CB2DAF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15000,0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  <w:tr w:rsidR="002A2255" w:rsidRPr="00C855A9" w:rsidTr="00081E6C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2A2255" w:rsidRPr="00CB2DAF" w:rsidRDefault="002A2255" w:rsidP="00081E6C">
            <w:pPr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 xml:space="preserve">в </w:t>
            </w:r>
            <w:proofErr w:type="spellStart"/>
            <w:r w:rsidRPr="00CB2DAF">
              <w:rPr>
                <w:sz w:val="22"/>
                <w:szCs w:val="22"/>
              </w:rPr>
              <w:t>т.ч</w:t>
            </w:r>
            <w:proofErr w:type="spellEnd"/>
            <w:r w:rsidRPr="00CB2DAF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2A2255" w:rsidRPr="00CB2DAF" w:rsidRDefault="002A2255" w:rsidP="00081E6C">
            <w:pPr>
              <w:jc w:val="center"/>
              <w:rPr>
                <w:sz w:val="22"/>
                <w:szCs w:val="22"/>
              </w:rPr>
            </w:pPr>
            <w:r w:rsidRPr="00CB2DAF">
              <w:rPr>
                <w:sz w:val="22"/>
                <w:szCs w:val="22"/>
              </w:rPr>
              <w:t>0,0</w:t>
            </w:r>
          </w:p>
        </w:tc>
      </w:tr>
    </w:tbl>
    <w:p w:rsidR="002A2255" w:rsidRDefault="002A2255" w:rsidP="00B27F7A">
      <w:pPr>
        <w:widowControl w:val="0"/>
        <w:autoSpaceDE w:val="0"/>
        <w:jc w:val="center"/>
        <w:rPr>
          <w:szCs w:val="28"/>
        </w:rPr>
      </w:pPr>
    </w:p>
    <w:p w:rsidR="002A2255" w:rsidRDefault="002A2255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  <w:r w:rsidRPr="00B27F7A">
        <w:rPr>
          <w:szCs w:val="28"/>
        </w:rPr>
        <w:lastRenderedPageBreak/>
        <w:t>5. Механизм реализации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113C22" w:rsidRDefault="00113C22" w:rsidP="00B27F7A">
      <w:pPr>
        <w:jc w:val="center"/>
        <w:rPr>
          <w:szCs w:val="28"/>
        </w:rPr>
      </w:pPr>
    </w:p>
    <w:p w:rsidR="00B27F7A" w:rsidRDefault="00B27F7A" w:rsidP="00B27F7A">
      <w:pPr>
        <w:jc w:val="center"/>
        <w:rPr>
          <w:szCs w:val="28"/>
        </w:rPr>
      </w:pPr>
      <w:r w:rsidRPr="00B27F7A">
        <w:rPr>
          <w:szCs w:val="28"/>
        </w:rPr>
        <w:t>6. Оценка эффективности подпрограммы, рисков ее реализации</w:t>
      </w:r>
    </w:p>
    <w:p w:rsidR="00113C22" w:rsidRPr="00B27F7A" w:rsidRDefault="00113C22" w:rsidP="00B27F7A">
      <w:pPr>
        <w:jc w:val="center"/>
        <w:rPr>
          <w:szCs w:val="28"/>
        </w:rPr>
      </w:pP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маломобильными группами населения.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B27F7A" w:rsidRPr="00B27F7A" w:rsidRDefault="00B27F7A" w:rsidP="00B27F7A">
      <w:pPr>
        <w:widowControl w:val="0"/>
        <w:autoSpaceDE w:val="0"/>
        <w:ind w:firstLine="567"/>
        <w:jc w:val="both"/>
        <w:rPr>
          <w:szCs w:val="28"/>
        </w:rPr>
      </w:pPr>
      <w:r w:rsidRPr="00B27F7A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B27F7A" w:rsidRPr="00B27F7A" w:rsidSect="00113C2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A"/>
    <w:rsid w:val="00113C22"/>
    <w:rsid w:val="002A2255"/>
    <w:rsid w:val="003078A9"/>
    <w:rsid w:val="00490584"/>
    <w:rsid w:val="005B52D0"/>
    <w:rsid w:val="0072013C"/>
    <w:rsid w:val="00857B30"/>
    <w:rsid w:val="008E6FCD"/>
    <w:rsid w:val="00906433"/>
    <w:rsid w:val="00A86552"/>
    <w:rsid w:val="00AC6686"/>
    <w:rsid w:val="00B27F7A"/>
    <w:rsid w:val="00D77E66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85AB-5047-4125-B9CF-E824B67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7F7A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B27F7A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F7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7F7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7F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B27F7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B27F7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B27F7A"/>
  </w:style>
  <w:style w:type="paragraph" w:customStyle="1" w:styleId="aa">
    <w:name w:val="Знак"/>
    <w:basedOn w:val="a"/>
    <w:rsid w:val="00B27F7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0">
    <w:name w:val="Знак1"/>
    <w:basedOn w:val="a"/>
    <w:rsid w:val="00B27F7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F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27F7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B27F7A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B27F7A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B27F7A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B27F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B27F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B27F7A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27F7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B27F7A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B27F7A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B27F7A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B27F7A"/>
    <w:rPr>
      <w:lang w:eastAsia="en-US"/>
    </w:rPr>
  </w:style>
  <w:style w:type="paragraph" w:customStyle="1" w:styleId="af6">
    <w:name w:val="Содержимое таблицы"/>
    <w:basedOn w:val="a"/>
    <w:rsid w:val="00B27F7A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B27F7A"/>
  </w:style>
  <w:style w:type="paragraph" w:customStyle="1" w:styleId="13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4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B27F7A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B27F7A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B27F7A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B27F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B27F7A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B2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27F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27F7A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27F7A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27F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27F7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B27F7A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27F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B27F7A"/>
    <w:rPr>
      <w:b/>
      <w:bCs/>
    </w:rPr>
  </w:style>
  <w:style w:type="character" w:styleId="aff0">
    <w:name w:val="FollowedHyperlink"/>
    <w:uiPriority w:val="99"/>
    <w:semiHidden/>
    <w:unhideWhenUsed/>
    <w:rsid w:val="00B27F7A"/>
    <w:rPr>
      <w:color w:val="800080"/>
      <w:u w:val="single"/>
    </w:rPr>
  </w:style>
  <w:style w:type="paragraph" w:customStyle="1" w:styleId="xl65">
    <w:name w:val="xl6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B27F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B27F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7F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27F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27F7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B27F7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B27F7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B27F7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B27F7A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B27F7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B27F7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B27F7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B27F7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B27F7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2019-07-24T14:41:00Z</dcterms:created>
  <dcterms:modified xsi:type="dcterms:W3CDTF">2020-12-17T13:46:00Z</dcterms:modified>
</cp:coreProperties>
</file>