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III.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Аналитическая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ведомственная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ц</w:t>
      </w:r>
      <w:bookmarkStart w:id="0" w:name="_GoBack"/>
      <w:bookmarkEnd w:id="0"/>
      <w:r w:rsidRPr="00C909B2">
        <w:rPr>
          <w:rFonts w:ascii="Times New Roman" w:eastAsia="Calibri" w:hAnsi="Times New Roman" w:cs="Times New Roman"/>
          <w:sz w:val="28"/>
          <w:szCs w:val="24"/>
        </w:rPr>
        <w:t>елевая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программа</w:t>
      </w:r>
    </w:p>
    <w:p w:rsidR="003656A9" w:rsidRPr="00C909B2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«Обеспечение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комитета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экономическому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C909B2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Мурманска»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2018-2024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C909B2">
        <w:rPr>
          <w:rFonts w:ascii="Times New Roman" w:eastAsia="Calibri" w:hAnsi="Times New Roman" w:cs="Times New Roman"/>
          <w:sz w:val="28"/>
          <w:szCs w:val="24"/>
        </w:rPr>
        <w:t>годы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1" w:name="Par622"/>
      <w:bookmarkEnd w:id="1"/>
      <w:r w:rsidRPr="00EB059E">
        <w:rPr>
          <w:rFonts w:ascii="Times New Roman" w:eastAsia="Calibri" w:hAnsi="Times New Roman" w:cs="Times New Roman"/>
          <w:sz w:val="28"/>
          <w:szCs w:val="24"/>
        </w:rPr>
        <w:t>Паспорт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3656A9" w:rsidRPr="00AF2F5A" w:rsidTr="003656A9">
        <w:trPr>
          <w:trHeight w:val="8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программы,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которую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входит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конкурентоспособной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400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1154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целевые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(индикаторы)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Мурманска.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311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КЭР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АГМ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</w:p>
        </w:tc>
        <w:tc>
          <w:tcPr>
            <w:tcW w:w="595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-2024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</w:tr>
      <w:tr w:rsidR="003656A9" w:rsidRPr="00AF2F5A" w:rsidTr="003656A9">
        <w:trPr>
          <w:trHeight w:val="688"/>
          <w:tblCellSpacing w:w="5" w:type="nil"/>
        </w:trPr>
        <w:tc>
          <w:tcPr>
            <w:tcW w:w="368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по АВЦП: 183 759,0 тыс. руб. в т.ч.: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МБ: 179 812,2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26 204,8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 – 24 943,1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 – 25 482,6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25 899,7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25 899,7 тыс. руб.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ОБ: 3 946,8 тыс. руб., из них: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654,4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693,9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 – 715,4 тыс. руб.,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736,5 тыс. руб., </w:t>
            </w:r>
          </w:p>
          <w:p w:rsidR="003656A9" w:rsidRDefault="003656A9" w:rsidP="003656A9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382,2 тыс. руб., </w:t>
            </w:r>
          </w:p>
          <w:p w:rsidR="003656A9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 – 382,2 тыс. руб.,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 – 382,2 тыс. руб.</w:t>
            </w:r>
          </w:p>
        </w:tc>
      </w:tr>
    </w:tbl>
    <w:p w:rsidR="003656A9" w:rsidRPr="00B54AD2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2" w:name="Par673"/>
      <w:bookmarkEnd w:id="2"/>
      <w:r>
        <w:rPr>
          <w:rFonts w:ascii="Times New Roman" w:eastAsia="Calibri" w:hAnsi="Times New Roman" w:cs="Times New Roman"/>
          <w:sz w:val="28"/>
          <w:szCs w:val="24"/>
        </w:rPr>
        <w:t xml:space="preserve">1. </w:t>
      </w:r>
      <w:r w:rsidRPr="00EB059E">
        <w:rPr>
          <w:rFonts w:ascii="Times New Roman" w:eastAsia="Calibri" w:hAnsi="Times New Roman" w:cs="Times New Roman"/>
          <w:sz w:val="28"/>
          <w:szCs w:val="24"/>
        </w:rPr>
        <w:t>Характеристика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выполняемых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заказчика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соответствии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hyperlink r:id="rId7" w:history="1">
        <w:r w:rsidRPr="00EB059E">
          <w:rPr>
            <w:rFonts w:ascii="Times New Roman" w:eastAsia="Calibri" w:hAnsi="Times New Roman" w:cs="Times New Roman"/>
            <w:sz w:val="28"/>
            <w:szCs w:val="24"/>
          </w:rPr>
          <w:t>Положением</w:t>
        </w:r>
      </w:hyperlink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комитете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экономическому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утвержденным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Совета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депутатов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30.05.2011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37-479,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является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осуществляющим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функции,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направленные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решению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вопросов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значения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отдельных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передаваемых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сфере: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анализа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разработки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развитием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ориентированных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результат,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самоуправления;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инвестиций;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установления,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отмены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сборов,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льгот;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предоставляемые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(выполняемые)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учреждениями;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обеспечения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жителей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общественного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питания,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бытового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обслуживания;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региональных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городских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пределах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своей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компетенции;</w:t>
      </w:r>
    </w:p>
    <w:p w:rsidR="003656A9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сбору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ведения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рамках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предоставления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«Внесение,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исключение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изменение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сведений,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содержащихся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торговом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реестре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области»</w:t>
      </w:r>
      <w:r>
        <w:rPr>
          <w:rFonts w:ascii="Times New Roman" w:eastAsia="Calibri" w:hAnsi="Times New Roman" w:cs="Times New Roman"/>
          <w:sz w:val="28"/>
          <w:szCs w:val="24"/>
        </w:rPr>
        <w:t>;</w:t>
      </w:r>
    </w:p>
    <w:p w:rsidR="003656A9" w:rsidRPr="00371473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371473">
        <w:rPr>
          <w:rFonts w:ascii="Times New Roman" w:eastAsia="Calibri" w:hAnsi="Times New Roman" w:cs="Times New Roman"/>
          <w:sz w:val="28"/>
          <w:szCs w:val="24"/>
        </w:rPr>
        <w:t>-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реализация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переданных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государственных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полномочий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установлению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регулируемых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пассажиров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багажа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автомобильным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наземным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электрическим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транспортом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муниципальным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маршрутам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регулярных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перевозок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границах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образования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город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371473">
        <w:rPr>
          <w:rFonts w:ascii="Times New Roman" w:eastAsia="Calibri" w:hAnsi="Times New Roman" w:cs="Times New Roman"/>
          <w:sz w:val="28"/>
          <w:szCs w:val="24"/>
        </w:rPr>
        <w:t>Мурманск.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Основными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целями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КЭР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АГМ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являются: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1.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комплексного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конкурентоспособности,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привлекательности,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диверсификации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укрепления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потенциала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перспективного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планирования,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качества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прогнозирования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внедрение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программно-целевых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методов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управления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деятельность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структурных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подразделений.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3.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Улучшение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делового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климата,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конкуренции,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содействие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малого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среднего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предпринимательства,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поддержка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товаропроизводителей.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4.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выполнения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плана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5.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Организация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нормированного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снабжения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населения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непродовольственными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товарами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условиях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исполнительного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периода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военное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время.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6.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Создание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условий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для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сектора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экономики,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мониторинг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оценка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его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экономической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эффективности,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включая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использование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объектов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недвижимости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тарифов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услуги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(работы)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муниципальных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предприятий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учреждений.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7.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Участие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формировании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инвестиционной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бюджетной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политики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целью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повышения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доходов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бюджета,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подготовка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предложений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совершенствованию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системы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местного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налогообложения.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8.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Осуществление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иных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в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области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социально-экономического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развития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города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Мурманска.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bookmarkStart w:id="3" w:name="Par697"/>
      <w:bookmarkEnd w:id="3"/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2.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Основные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задачи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АВЦП,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целевые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показатели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EB059E">
        <w:rPr>
          <w:rFonts w:ascii="Times New Roman" w:eastAsia="Calibri" w:hAnsi="Times New Roman" w:cs="Times New Roman"/>
          <w:sz w:val="28"/>
          <w:szCs w:val="24"/>
        </w:rPr>
        <w:t>(индикаторы)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реализации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EB059E">
        <w:rPr>
          <w:rFonts w:ascii="Times New Roman" w:eastAsia="Calibri" w:hAnsi="Times New Roman" w:cs="Times New Roman"/>
          <w:sz w:val="28"/>
          <w:szCs w:val="24"/>
        </w:rPr>
        <w:t>АВЦП</w:t>
      </w: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034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567"/>
      </w:tblGrid>
      <w:tr w:rsidR="003656A9" w:rsidRPr="00AF2F5A" w:rsidTr="003656A9">
        <w:trPr>
          <w:trHeight w:val="320"/>
          <w:tblHeader/>
          <w:tblCellSpacing w:w="5" w:type="nil"/>
        </w:trPr>
        <w:tc>
          <w:tcPr>
            <w:tcW w:w="426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Цель,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задачи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6378" w:type="dxa"/>
            <w:gridSpan w:val="9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показателя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(индикатора)</w:t>
            </w:r>
          </w:p>
        </w:tc>
      </w:tr>
      <w:tr w:rsidR="003656A9" w:rsidRPr="00AF2F5A" w:rsidTr="003656A9">
        <w:trPr>
          <w:trHeight w:val="480"/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Теку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щий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4819" w:type="dxa"/>
            <w:gridSpan w:val="7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Годы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АВЦП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F5A"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</w:tr>
      <w:tr w:rsidR="003656A9" w:rsidRPr="00AF2F5A" w:rsidTr="003656A9">
        <w:trPr>
          <w:tblHeader/>
          <w:tblCellSpacing w:w="5" w:type="nil"/>
        </w:trPr>
        <w:tc>
          <w:tcPr>
            <w:tcW w:w="426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709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</w:rPr>
            </w:pPr>
            <w:r w:rsidRPr="00AF2F5A"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656A9" w:rsidRPr="00AF2F5A" w:rsidTr="003656A9">
        <w:trPr>
          <w:trHeight w:val="320"/>
          <w:tblCellSpacing w:w="5" w:type="nil"/>
        </w:trPr>
        <w:tc>
          <w:tcPr>
            <w:tcW w:w="10348" w:type="dxa"/>
            <w:gridSpan w:val="12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АВЦП: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экономическому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вития города через эффективное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функций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56A9" w:rsidRPr="00AF2F5A" w:rsidTr="003656A9">
        <w:trPr>
          <w:trHeight w:val="200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условий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3656A9" w:rsidRPr="00AF2F5A" w:rsidTr="003656A9">
        <w:trPr>
          <w:trHeight w:val="1497"/>
          <w:tblCellSpacing w:w="5" w:type="nil"/>
        </w:trPr>
        <w:tc>
          <w:tcPr>
            <w:tcW w:w="426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совещательных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города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Мурманска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1/</w:t>
            </w:r>
          </w:p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656A9" w:rsidRPr="00AF2F5A" w:rsidRDefault="003656A9" w:rsidP="003656A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F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656A9" w:rsidRPr="00AF2F5A" w:rsidRDefault="003656A9" w:rsidP="003656A9">
      <w:pPr>
        <w:widowControl w:val="0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  <w:sectPr w:rsidR="003656A9" w:rsidRPr="00AF2F5A" w:rsidSect="003656A9">
          <w:headerReference w:type="first" r:id="rId8"/>
          <w:pgSz w:w="11905" w:h="16838"/>
          <w:pgMar w:top="1134" w:right="851" w:bottom="1134" w:left="1418" w:header="720" w:footer="720" w:gutter="0"/>
          <w:pgNumType w:start="1"/>
          <w:cols w:space="720"/>
          <w:noEndnote/>
          <w:titlePg/>
          <w:docGrid w:linePitch="299"/>
        </w:sect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Par757"/>
      <w:bookmarkEnd w:id="4"/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56A9" w:rsidRPr="00876EE8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2018-2021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6E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годы</w:t>
      </w:r>
    </w:p>
    <w:p w:rsidR="003656A9" w:rsidRPr="00B4279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600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2838"/>
        <w:gridCol w:w="828"/>
        <w:gridCol w:w="19"/>
        <w:gridCol w:w="853"/>
        <w:gridCol w:w="29"/>
        <w:gridCol w:w="1105"/>
        <w:gridCol w:w="29"/>
        <w:gridCol w:w="964"/>
        <w:gridCol w:w="28"/>
        <w:gridCol w:w="964"/>
        <w:gridCol w:w="28"/>
        <w:gridCol w:w="964"/>
        <w:gridCol w:w="28"/>
        <w:gridCol w:w="1010"/>
        <w:gridCol w:w="13"/>
        <w:gridCol w:w="1501"/>
        <w:gridCol w:w="695"/>
        <w:gridCol w:w="16"/>
        <w:gridCol w:w="693"/>
        <w:gridCol w:w="16"/>
        <w:gridCol w:w="693"/>
        <w:gridCol w:w="18"/>
        <w:gridCol w:w="691"/>
        <w:gridCol w:w="1417"/>
      </w:tblGrid>
      <w:tr w:rsidR="003656A9" w:rsidRPr="00876EE8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сирования</w:t>
            </w:r>
          </w:p>
        </w:tc>
        <w:tc>
          <w:tcPr>
            <w:tcW w:w="5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43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876EE8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2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876EE8" w:rsidTr="003656A9">
        <w:trPr>
          <w:trHeight w:val="329"/>
        </w:trPr>
        <w:tc>
          <w:tcPr>
            <w:tcW w:w="16005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876EE8" w:rsidTr="003656A9">
        <w:trPr>
          <w:trHeight w:val="52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 выполнение муници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63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5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558"/>
        </w:trPr>
        <w:tc>
          <w:tcPr>
            <w:tcW w:w="5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2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876EE8" w:rsidTr="003656A9">
        <w:trPr>
          <w:trHeight w:val="5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100 088,1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24 222,1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25 191,1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41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876EE8" w:rsidTr="003656A9">
        <w:trPr>
          <w:trHeight w:val="34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2 025,0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5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5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08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483,3</w:t>
            </w: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B4279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427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3656A9" w:rsidRPr="0023565F" w:rsidTr="003656A9">
        <w:trPr>
          <w:trHeight w:val="55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регулируемых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рассчитывае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пассажиров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багажа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наземным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</w:t>
            </w:r>
          </w:p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перевозок,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740726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349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253,2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3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104 913,3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26 859,2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25 637,0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26 198,0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26 219,1</w:t>
            </w:r>
          </w:p>
        </w:tc>
        <w:tc>
          <w:tcPr>
            <w:tcW w:w="575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23565F" w:rsidTr="003656A9">
        <w:trPr>
          <w:trHeight w:val="28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102 113,1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26 204,8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24 943,1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25 482,6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23565F" w:rsidTr="003656A9">
        <w:trPr>
          <w:trHeight w:val="300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5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2 800,2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715,4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736,5</w:t>
            </w:r>
          </w:p>
        </w:tc>
        <w:tc>
          <w:tcPr>
            <w:tcW w:w="5753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23565F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656A9" w:rsidRDefault="003656A9" w:rsidP="003656A9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Перечень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основных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АВЦП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2022-2024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EB059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годы</w:t>
      </w:r>
    </w:p>
    <w:p w:rsidR="003656A9" w:rsidRPr="0007257C" w:rsidRDefault="003656A9" w:rsidP="003656A9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73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5"/>
        <w:gridCol w:w="3688"/>
        <w:gridCol w:w="851"/>
        <w:gridCol w:w="1135"/>
        <w:gridCol w:w="1134"/>
        <w:gridCol w:w="992"/>
        <w:gridCol w:w="992"/>
        <w:gridCol w:w="993"/>
        <w:gridCol w:w="1559"/>
        <w:gridCol w:w="708"/>
        <w:gridCol w:w="709"/>
        <w:gridCol w:w="709"/>
        <w:gridCol w:w="8"/>
        <w:gridCol w:w="1693"/>
      </w:tblGrid>
      <w:tr w:rsidR="003656A9" w:rsidRPr="00AF2F5A" w:rsidTr="003656A9">
        <w:trPr>
          <w:trHeight w:val="3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3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участвующих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</w:t>
            </w:r>
          </w:p>
        </w:tc>
      </w:tr>
      <w:tr w:rsidR="003656A9" w:rsidRPr="00AF2F5A" w:rsidTr="003656A9">
        <w:trPr>
          <w:trHeight w:val="57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89"/>
        </w:trPr>
        <w:tc>
          <w:tcPr>
            <w:tcW w:w="157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Основное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мероприятие: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эффективное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сфере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создания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условий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36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899,7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656A9" w:rsidRPr="00AF2F5A" w:rsidTr="003656A9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B35BB9" w:rsidRDefault="003656A9" w:rsidP="003656A9">
            <w:pPr>
              <w:ind w:firstLine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комплексного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развития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Мурманска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76 241,1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25413,7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3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288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АГМ</w:t>
            </w:r>
          </w:p>
        </w:tc>
      </w:tr>
      <w:tr w:rsidR="003656A9" w:rsidRPr="00AF2F5A" w:rsidTr="003656A9">
        <w:trPr>
          <w:trHeight w:val="141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149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78 845,7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26281,9</w:t>
            </w:r>
          </w:p>
        </w:tc>
        <w:tc>
          <w:tcPr>
            <w:tcW w:w="5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56A9" w:rsidRPr="00AF2F5A" w:rsidTr="003656A9">
        <w:trPr>
          <w:trHeight w:val="26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77 699,1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25899,7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56A9" w:rsidRPr="00AF2F5A" w:rsidTr="003656A9">
        <w:trPr>
          <w:trHeight w:val="5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6A9" w:rsidRPr="00AF2F5A" w:rsidRDefault="003656A9" w:rsidP="003656A9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382,2</w:t>
            </w:r>
          </w:p>
        </w:tc>
        <w:tc>
          <w:tcPr>
            <w:tcW w:w="5386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6A9" w:rsidRPr="00AF2F5A" w:rsidRDefault="003656A9" w:rsidP="003656A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3656A9" w:rsidRPr="00BB0843" w:rsidRDefault="003656A9" w:rsidP="003656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6A9" w:rsidRPr="00EB059E" w:rsidRDefault="003656A9" w:rsidP="003656A9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4"/>
        </w:rPr>
      </w:pPr>
    </w:p>
    <w:p w:rsidR="003656A9" w:rsidRDefault="003656A9" w:rsidP="003656A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656A9" w:rsidSect="003656A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6A9" w:rsidRDefault="003656A9" w:rsidP="003656A9">
      <w:r>
        <w:separator/>
      </w:r>
    </w:p>
  </w:endnote>
  <w:endnote w:type="continuationSeparator" w:id="0">
    <w:p w:rsidR="003656A9" w:rsidRDefault="003656A9" w:rsidP="0036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6A9" w:rsidRDefault="003656A9" w:rsidP="003656A9">
      <w:r>
        <w:separator/>
      </w:r>
    </w:p>
  </w:footnote>
  <w:footnote w:type="continuationSeparator" w:id="0">
    <w:p w:rsidR="003656A9" w:rsidRDefault="003656A9" w:rsidP="0036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A9" w:rsidRDefault="003656A9" w:rsidP="003656A9">
    <w:pPr>
      <w:pStyle w:val="a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16F03"/>
    <w:multiLevelType w:val="hybridMultilevel"/>
    <w:tmpl w:val="020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647"/>
    <w:multiLevelType w:val="hybridMultilevel"/>
    <w:tmpl w:val="C0AAE56E"/>
    <w:lvl w:ilvl="0" w:tplc="078E44BE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9"/>
    <w:rsid w:val="000A3CBD"/>
    <w:rsid w:val="000B2941"/>
    <w:rsid w:val="00107EBF"/>
    <w:rsid w:val="0023565B"/>
    <w:rsid w:val="003656A9"/>
    <w:rsid w:val="003C70B3"/>
    <w:rsid w:val="00521E49"/>
    <w:rsid w:val="005A13B7"/>
    <w:rsid w:val="006746FE"/>
    <w:rsid w:val="00677E1D"/>
    <w:rsid w:val="0068636E"/>
    <w:rsid w:val="006C441C"/>
    <w:rsid w:val="007471BE"/>
    <w:rsid w:val="008A22B7"/>
    <w:rsid w:val="009B4E7B"/>
    <w:rsid w:val="00A62F2B"/>
    <w:rsid w:val="00A768EF"/>
    <w:rsid w:val="00AB4AAC"/>
    <w:rsid w:val="00D16C98"/>
    <w:rsid w:val="00D705A8"/>
    <w:rsid w:val="00D74C09"/>
    <w:rsid w:val="00D92784"/>
    <w:rsid w:val="00DC1092"/>
    <w:rsid w:val="00E716D2"/>
    <w:rsid w:val="00FE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6F791-5380-4EF6-909C-64F8858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6A9"/>
    <w:pPr>
      <w:spacing w:after="0" w:line="240" w:lineRule="auto"/>
      <w:ind w:firstLine="720"/>
      <w:jc w:val="both"/>
    </w:pPr>
  </w:style>
  <w:style w:type="paragraph" w:styleId="3">
    <w:name w:val="heading 3"/>
    <w:basedOn w:val="a"/>
    <w:next w:val="a"/>
    <w:link w:val="30"/>
    <w:qFormat/>
    <w:rsid w:val="003656A9"/>
    <w:pPr>
      <w:keepNext/>
      <w:spacing w:before="240" w:after="60"/>
      <w:ind w:firstLine="0"/>
      <w:jc w:val="left"/>
      <w:outlineLvl w:val="2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656A9"/>
    <w:rPr>
      <w:rFonts w:ascii="Arial" w:eastAsia="Times New Roman" w:hAnsi="Arial" w:cs="Times New Roman"/>
      <w:b/>
      <w:sz w:val="2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656A9"/>
  </w:style>
  <w:style w:type="paragraph" w:customStyle="1" w:styleId="ConsPlusNormal">
    <w:name w:val="ConsPlusNormal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6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Title"/>
    <w:basedOn w:val="a"/>
    <w:link w:val="a4"/>
    <w:qFormat/>
    <w:rsid w:val="003656A9"/>
    <w:pPr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3656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3656A9"/>
    <w:pPr>
      <w:ind w:firstLine="0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3656A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6A9"/>
    <w:pPr>
      <w:ind w:firstLine="0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6A9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3656A9"/>
    <w:pPr>
      <w:spacing w:after="200" w:line="276" w:lineRule="auto"/>
      <w:ind w:left="720" w:firstLine="0"/>
      <w:contextualSpacing/>
      <w:jc w:val="left"/>
    </w:pPr>
    <w:rPr>
      <w:rFonts w:ascii="Cambria" w:eastAsia="Calibri" w:hAnsi="Cambria" w:cs="Times New Roman"/>
      <w:lang w:val="en-US"/>
    </w:rPr>
  </w:style>
  <w:style w:type="table" w:styleId="aa">
    <w:name w:val="Table Grid"/>
    <w:basedOn w:val="a1"/>
    <w:rsid w:val="003656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3656A9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3656A9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3656A9"/>
    <w:rPr>
      <w:rFonts w:ascii="Calibri" w:eastAsia="Calibri" w:hAnsi="Calibri" w:cs="Times New Roman"/>
    </w:rPr>
  </w:style>
  <w:style w:type="character" w:styleId="af">
    <w:name w:val="Hyperlink"/>
    <w:rsid w:val="003656A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3656A9"/>
  </w:style>
  <w:style w:type="paragraph" w:styleId="af0">
    <w:name w:val="footnote text"/>
    <w:basedOn w:val="a"/>
    <w:link w:val="af1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rsid w:val="003656A9"/>
    <w:rPr>
      <w:vertAlign w:val="superscript"/>
    </w:rPr>
  </w:style>
  <w:style w:type="character" w:styleId="af3">
    <w:name w:val="Strong"/>
    <w:uiPriority w:val="22"/>
    <w:qFormat/>
    <w:rsid w:val="003656A9"/>
    <w:rPr>
      <w:b/>
      <w:bCs/>
    </w:rPr>
  </w:style>
  <w:style w:type="character" w:styleId="af4">
    <w:name w:val="annotation reference"/>
    <w:uiPriority w:val="99"/>
    <w:semiHidden/>
    <w:unhideWhenUsed/>
    <w:rsid w:val="003656A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656A9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656A9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656A9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656A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0862AFD6666DB49BE8EEA017567C9B474C2F218D069261933C92FBDFC5248D394D8FA14457050C67676547M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Медведева</dc:creator>
  <cp:lastModifiedBy>Печникова Юлия Владимировна</cp:lastModifiedBy>
  <cp:revision>20</cp:revision>
  <dcterms:created xsi:type="dcterms:W3CDTF">2019-11-12T11:33:00Z</dcterms:created>
  <dcterms:modified xsi:type="dcterms:W3CDTF">2019-11-13T07:28:00Z</dcterms:modified>
</cp:coreProperties>
</file>