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4066F2" w:rsidP="004066F2">
      <w:pPr>
        <w:rPr>
          <w:sz w:val="28"/>
          <w:szCs w:val="28"/>
          <w:lang w:eastAsia="en-US"/>
        </w:rPr>
      </w:pPr>
      <w:r>
        <w:rPr>
          <w:bCs/>
          <w:sz w:val="28"/>
          <w:szCs w:val="28"/>
        </w:rPr>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Pr>
                <w:sz w:val="28"/>
                <w:szCs w:val="28"/>
              </w:rPr>
              <w:t xml:space="preserve">238 929,2 </w:t>
            </w:r>
            <w:r w:rsidRPr="007D2234">
              <w:rPr>
                <w:sz w:val="28"/>
                <w:szCs w:val="28"/>
              </w:rPr>
              <w:t xml:space="preserve">тыс. руб. – МБ,  в т.ч.: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Pr>
                <w:rFonts w:eastAsia="Calibri"/>
                <w:sz w:val="28"/>
                <w:szCs w:val="28"/>
              </w:rPr>
              <w:t>34 102</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12. Осуществляет функции и полномочия учредителя муниципальных учреждений и контроль за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13. Осуществляет ведомственный контроль за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17. Ведет дежурный адресный план застройки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19.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20.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22. Обеспечивает подготовку проектов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Осуществляет согласование использования цветового оформления ограждений с учетом натуральных цветов материалов (камень, металл, дерево и подобные)</w:t>
      </w:r>
      <w:r w:rsidR="004F3A81">
        <w:rPr>
          <w:rFonts w:eastAsia="Calibri"/>
          <w:sz w:val="28"/>
          <w:szCs w:val="28"/>
        </w:rPr>
        <w:t xml:space="preserve"> и цветов-</w:t>
      </w:r>
      <w:r w:rsidRPr="005578BE">
        <w:rPr>
          <w:rFonts w:eastAsia="Calibri"/>
          <w:sz w:val="28"/>
          <w:szCs w:val="28"/>
        </w:rPr>
        <w:t>черный, белый, серый при создании и благоустройстве ограждений.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Осуществляет подготовку проектов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Осуществляет подготовку проекта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эксплуатирующихся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 xml:space="preserve">ерального закона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3397"/>
        <w:gridCol w:w="695"/>
        <w:gridCol w:w="772"/>
        <w:gridCol w:w="695"/>
        <w:gridCol w:w="541"/>
        <w:gridCol w:w="541"/>
        <w:gridCol w:w="541"/>
        <w:gridCol w:w="463"/>
        <w:gridCol w:w="191"/>
        <w:gridCol w:w="709"/>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r w:rsidRPr="007D2234">
              <w:rPr>
                <w:rFonts w:eastAsia="Calibri"/>
              </w:rPr>
              <w:t>п/п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8"/>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gridSpan w:val="2"/>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1"/>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75484F">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463"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CD79A4">
          <w:headerReference w:type="default" r:id="rId8"/>
          <w:pgSz w:w="11906" w:h="16838"/>
          <w:pgMar w:top="1134" w:right="567" w:bottom="1134" w:left="1701" w:header="709" w:footer="709" w:gutter="0"/>
          <w:cols w:space="720"/>
          <w:titlePg/>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r>
              <w:rPr>
                <w:rFonts w:eastAsia="Calibri"/>
                <w:sz w:val="16"/>
                <w:szCs w:val="16"/>
                <w:lang w:eastAsia="en-US"/>
              </w:rPr>
              <w:t>в</w:t>
            </w:r>
            <w:r w:rsidR="00F44F05" w:rsidRPr="00833629">
              <w:rPr>
                <w:rFonts w:eastAsia="Calibri"/>
                <w:sz w:val="16"/>
                <w:szCs w:val="16"/>
                <w:lang w:eastAsia="en-US"/>
              </w:rPr>
              <w:t>ыпол</w:t>
            </w:r>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w:t>
            </w:r>
            <w:r w:rsidR="005D0570">
              <w:rPr>
                <w:rFonts w:eastAsia="Calibri"/>
                <w:sz w:val="16"/>
                <w:szCs w:val="16"/>
                <w:lang w:eastAsia="en-US"/>
              </w:rPr>
              <w:t>-</w:t>
            </w:r>
            <w:r w:rsidRPr="00833629">
              <w:rPr>
                <w:rFonts w:eastAsia="Calibri"/>
                <w:sz w:val="16"/>
                <w:szCs w:val="16"/>
                <w:lang w:eastAsia="en-US"/>
              </w:rPr>
              <w:t>тели,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F44F05" w:rsidRPr="00833629" w:rsidRDefault="00F44F05" w:rsidP="00653928">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100 692</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33 359</w:t>
            </w:r>
            <w:r w:rsidRPr="00833629">
              <w:rPr>
                <w:rFonts w:eastAsia="Calibri"/>
                <w:sz w:val="16"/>
                <w:szCs w:val="16"/>
                <w:lang w:eastAsia="en-US"/>
              </w:rPr>
              <w:t>,</w:t>
            </w:r>
            <w:r>
              <w:rPr>
                <w:rFonts w:eastAsia="Calibri"/>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CD79A4">
          <w:headerReference w:type="default" r:id="rId9"/>
          <w:headerReference w:type="first" r:id="rId10"/>
          <w:pgSz w:w="16838" w:h="11906" w:orient="landscape"/>
          <w:pgMar w:top="1701" w:right="1134" w:bottom="567" w:left="1134" w:header="709" w:footer="709" w:gutter="0"/>
          <w:pgNumType w:start="9"/>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r>
              <w:rPr>
                <w:rFonts w:eastAsia="Calibri"/>
                <w:sz w:val="16"/>
                <w:szCs w:val="16"/>
                <w:lang w:eastAsia="en-US"/>
              </w:rPr>
              <w:t>в</w:t>
            </w:r>
            <w:r w:rsidRPr="00833629">
              <w:rPr>
                <w:rFonts w:eastAsia="Calibri"/>
                <w:sz w:val="16"/>
                <w:szCs w:val="16"/>
                <w:lang w:eastAsia="en-US"/>
              </w:rPr>
              <w:t>ыпол</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620BB7" w:rsidRPr="00833629" w:rsidRDefault="00620BB7" w:rsidP="00B25F1E">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CA77E3" w:rsidP="00CA77E3">
            <w:pPr>
              <w:autoSpaceDE w:val="0"/>
              <w:autoSpaceDN w:val="0"/>
              <w:adjustRightInd w:val="0"/>
              <w:rPr>
                <w:rFonts w:eastAsia="Calibri"/>
                <w:sz w:val="16"/>
                <w:szCs w:val="16"/>
                <w:lang w:eastAsia="en-US"/>
              </w:rPr>
            </w:pPr>
            <w:r>
              <w:rPr>
                <w:rFonts w:eastAsia="Calibri"/>
                <w:sz w:val="16"/>
                <w:szCs w:val="16"/>
                <w:lang w:eastAsia="en-US"/>
              </w:rPr>
              <w:t xml:space="preserve">  </w:t>
            </w:r>
            <w:r w:rsidR="00620BB7"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bookmarkStart w:id="0" w:name="_GoBack"/>
      <w:bookmarkEnd w:id="0"/>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CD79A4">
      <w:headerReference w:type="first" r:id="rId11"/>
      <w:pgSz w:w="16838" w:h="11906" w:orient="landscape"/>
      <w:pgMar w:top="1701" w:right="1134" w:bottom="567" w:left="1134" w:header="709" w:footer="709" w:gutter="0"/>
      <w:pgNumType w:start="1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3C" w:rsidRDefault="00B5503C" w:rsidP="0014021E">
      <w:r>
        <w:separator/>
      </w:r>
    </w:p>
  </w:endnote>
  <w:endnote w:type="continuationSeparator" w:id="0">
    <w:p w:rsidR="00B5503C" w:rsidRDefault="00B5503C"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3C" w:rsidRDefault="00B5503C" w:rsidP="0014021E">
      <w:r>
        <w:separator/>
      </w:r>
    </w:p>
  </w:footnote>
  <w:footnote w:type="continuationSeparator" w:id="0">
    <w:p w:rsidR="00B5503C" w:rsidRDefault="00B5503C"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1593"/>
      <w:docPartObj>
        <w:docPartGallery w:val="Page Numbers (Top of Page)"/>
        <w:docPartUnique/>
      </w:docPartObj>
    </w:sdtPr>
    <w:sdtContent>
      <w:p w:rsidR="00CD79A4" w:rsidRDefault="00CD79A4">
        <w:pPr>
          <w:pStyle w:val="a8"/>
          <w:jc w:val="center"/>
        </w:pPr>
        <w:r>
          <w:fldChar w:fldCharType="begin"/>
        </w:r>
        <w:r>
          <w:instrText>PAGE   \* MERGEFORMAT</w:instrText>
        </w:r>
        <w:r>
          <w:fldChar w:fldCharType="separate"/>
        </w:r>
        <w:r>
          <w:rPr>
            <w:noProof/>
          </w:rPr>
          <w:t>8</w:t>
        </w:r>
        <w:r>
          <w:fldChar w:fldCharType="end"/>
        </w:r>
      </w:p>
    </w:sdtContent>
  </w:sdt>
  <w:p w:rsidR="00B5503C" w:rsidRDefault="00B550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2856"/>
      <w:docPartObj>
        <w:docPartGallery w:val="Page Numbers (Top of Page)"/>
        <w:docPartUnique/>
      </w:docPartObj>
    </w:sdtPr>
    <w:sdtContent>
      <w:p w:rsidR="00CD79A4" w:rsidRDefault="00CD79A4">
        <w:pPr>
          <w:pStyle w:val="a8"/>
          <w:jc w:val="center"/>
        </w:pPr>
        <w:r>
          <w:fldChar w:fldCharType="begin"/>
        </w:r>
        <w:r>
          <w:instrText>PAGE   \* MERGEFORMAT</w:instrText>
        </w:r>
        <w:r>
          <w:fldChar w:fldCharType="separate"/>
        </w:r>
        <w:r>
          <w:rPr>
            <w:noProof/>
          </w:rPr>
          <w:t>10</w:t>
        </w:r>
        <w:r>
          <w:fldChar w:fldCharType="end"/>
        </w:r>
      </w:p>
    </w:sdtContent>
  </w:sdt>
  <w:p w:rsidR="00B5503C" w:rsidRDefault="00B5503C" w:rsidP="009E0B6C">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02007"/>
      <w:docPartObj>
        <w:docPartGallery w:val="Page Numbers (Top of Page)"/>
        <w:docPartUnique/>
      </w:docPartObj>
    </w:sdtPr>
    <w:sdtContent>
      <w:p w:rsidR="00CD79A4" w:rsidRDefault="00CD79A4">
        <w:pPr>
          <w:pStyle w:val="a8"/>
          <w:jc w:val="center"/>
        </w:pPr>
        <w:r>
          <w:fldChar w:fldCharType="begin"/>
        </w:r>
        <w:r>
          <w:instrText>PAGE   \* MERGEFORMAT</w:instrText>
        </w:r>
        <w:r>
          <w:fldChar w:fldCharType="separate"/>
        </w:r>
        <w:r>
          <w:rPr>
            <w:noProof/>
          </w:rPr>
          <w:t>9</w:t>
        </w:r>
        <w:r>
          <w:fldChar w:fldCharType="end"/>
        </w:r>
      </w:p>
    </w:sdtContent>
  </w:sdt>
  <w:p w:rsidR="00B5503C" w:rsidRDefault="00B550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3C" w:rsidRDefault="00B5503C">
    <w:pPr>
      <w:pStyle w:val="a8"/>
      <w:jc w:val="center"/>
    </w:pPr>
    <w:r>
      <w:t>42</w:t>
    </w:r>
  </w:p>
  <w:p w:rsidR="00B5503C" w:rsidRDefault="00B550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22A7"/>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19A9"/>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03C"/>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D79A4"/>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61953A-92A0-43F8-BC1F-6AE37066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5467-808E-45BF-9EEA-E1132DD4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10</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109</cp:revision>
  <cp:lastPrinted>2019-08-14T08:13:00Z</cp:lastPrinted>
  <dcterms:created xsi:type="dcterms:W3CDTF">2019-07-03T13:59:00Z</dcterms:created>
  <dcterms:modified xsi:type="dcterms:W3CDTF">2019-12-02T08:24:00Z</dcterms:modified>
</cp:coreProperties>
</file>