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9" w:rsidRPr="007D2234" w:rsidRDefault="007A2979" w:rsidP="007A2979">
      <w:pPr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I. Подпрограмма</w:t>
      </w:r>
    </w:p>
    <w:p w:rsidR="00383925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7D2234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81C75">
              <w:rPr>
                <w:sz w:val="24"/>
                <w:szCs w:val="24"/>
              </w:rPr>
              <w:t xml:space="preserve">  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КГиТР</w:t>
            </w:r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05A30" w:rsidRDefault="00BC0A70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FB4F85">
              <w:rPr>
                <w:rFonts w:eastAsia="Calibri"/>
                <w:sz w:val="28"/>
                <w:szCs w:val="28"/>
              </w:rPr>
              <w:t>293</w:t>
            </w:r>
            <w:r>
              <w:rPr>
                <w:rFonts w:eastAsia="Calibri"/>
                <w:sz w:val="28"/>
                <w:szCs w:val="28"/>
              </w:rPr>
              <w:t xml:space="preserve"> 180,6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тыс. руб., в т.ч.: </w:t>
            </w:r>
          </w:p>
          <w:p w:rsidR="007A2979" w:rsidRPr="00105A30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МБ: 192 513</w:t>
            </w:r>
            <w:r>
              <w:rPr>
                <w:sz w:val="28"/>
                <w:szCs w:val="28"/>
                <w:lang w:eastAsia="en-US"/>
              </w:rPr>
              <w:t>,8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2018 год – 21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105A30">
              <w:rPr>
                <w:rFonts w:eastAsia="Calibri"/>
                <w:sz w:val="28"/>
                <w:szCs w:val="28"/>
              </w:rPr>
              <w:t>0,7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>
              <w:rPr>
                <w:rFonts w:eastAsia="Calibri"/>
                <w:sz w:val="28"/>
                <w:szCs w:val="28"/>
              </w:rPr>
              <w:t>20 201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776D39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D63A86">
              <w:rPr>
                <w:rFonts w:eastAsia="Calibri"/>
                <w:sz w:val="28"/>
                <w:szCs w:val="28"/>
              </w:rPr>
              <w:t>28 636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30 636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30 636,4</w:t>
            </w:r>
            <w:r w:rsidR="007A2979" w:rsidRPr="007D2234">
              <w:rPr>
                <w:sz w:val="28"/>
                <w:szCs w:val="28"/>
              </w:rPr>
              <w:t xml:space="preserve"> тыс. руб.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BC0A70">
              <w:rPr>
                <w:sz w:val="28"/>
                <w:szCs w:val="28"/>
              </w:rPr>
              <w:t>100 666</w:t>
            </w:r>
            <w:r w:rsidRPr="007D2234">
              <w:rPr>
                <w:sz w:val="28"/>
                <w:szCs w:val="28"/>
              </w:rPr>
              <w:t>,</w:t>
            </w:r>
            <w:r w:rsidR="00BC0A70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7A2979" w:rsidRPr="00181D9F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7D2234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1. Общее количество образованных земельных участков </w:t>
            </w:r>
          </w:p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E92EDF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7A0F5D">
              <w:rPr>
                <w:rFonts w:ascii="Times New Roman" w:hAnsi="Times New Roman" w:cs="Times New Roman"/>
                <w:sz w:val="28"/>
                <w:szCs w:val="28"/>
              </w:rPr>
              <w:t>397 участков</w:t>
            </w: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7D2234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2979" w:rsidRPr="00803A61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>
              <w:rPr>
                <w:sz w:val="28"/>
                <w:szCs w:val="28"/>
              </w:rPr>
              <w:t>участков – 44</w:t>
            </w:r>
            <w:r w:rsidR="00DD164C">
              <w:rPr>
                <w:sz w:val="28"/>
                <w:szCs w:val="28"/>
              </w:rPr>
              <w:t>% в 2019 году, 96</w:t>
            </w:r>
            <w:r w:rsidR="007A2979" w:rsidRPr="00803A61">
              <w:rPr>
                <w:sz w:val="28"/>
                <w:szCs w:val="28"/>
              </w:rPr>
              <w:t>% в 2020 году</w:t>
            </w:r>
          </w:p>
        </w:tc>
      </w:tr>
    </w:tbl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7D2234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7D2234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</w:r>
      <w:r w:rsidR="00B25F1E">
        <w:rPr>
          <w:bCs/>
          <w:sz w:val="28"/>
          <w:szCs w:val="28"/>
          <w:lang w:eastAsia="en-US"/>
        </w:rPr>
        <w:t xml:space="preserve"> </w:t>
      </w:r>
      <w:r w:rsidRPr="007D2234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>
        <w:rPr>
          <w:bCs/>
          <w:sz w:val="28"/>
          <w:szCs w:val="28"/>
          <w:lang w:eastAsia="en-US"/>
        </w:rPr>
        <w:t>ей которого является обеспеченность</w:t>
      </w:r>
      <w:r w:rsidRPr="007D2234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мероприятия по разработке которой планируются в рамках подпрограммы.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>
        <w:rPr>
          <w:sz w:val="28"/>
          <w:szCs w:val="28"/>
          <w:lang w:eastAsia="en-US"/>
        </w:rPr>
        <w:t xml:space="preserve">     </w:t>
      </w:r>
      <w:r w:rsidR="009804F8">
        <w:rPr>
          <w:sz w:val="28"/>
          <w:szCs w:val="28"/>
          <w:lang w:eastAsia="en-US"/>
        </w:rPr>
        <w:t xml:space="preserve">от 31.12.2003 № </w:t>
      </w:r>
      <w:r w:rsidRPr="007D2234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486014">
        <w:rPr>
          <w:sz w:val="28"/>
          <w:szCs w:val="28"/>
          <w:lang w:eastAsia="en-US"/>
        </w:rPr>
        <w:t>,</w:t>
      </w:r>
      <w:r w:rsidRPr="007D2234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>
        <w:rPr>
          <w:rFonts w:eastAsia="PMingLiU"/>
          <w:sz w:val="28"/>
          <w:szCs w:val="28"/>
          <w:lang w:eastAsia="zh-TW"/>
        </w:rPr>
        <w:t xml:space="preserve">              </w:t>
      </w:r>
      <w:r w:rsidRPr="007D2234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7D2234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8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9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A297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7D2234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A418A8" w:rsidRDefault="00A418A8" w:rsidP="00F3509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78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803A61" w:rsidTr="00DB2188">
        <w:trPr>
          <w:trHeight w:val="494"/>
          <w:tblHeader/>
        </w:trPr>
        <w:tc>
          <w:tcPr>
            <w:tcW w:w="793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п/п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Ед. изм</w:t>
            </w:r>
          </w:p>
        </w:tc>
        <w:tc>
          <w:tcPr>
            <w:tcW w:w="6520" w:type="dxa"/>
            <w:gridSpan w:val="9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7A2979" w:rsidRPr="00803A61" w:rsidTr="00DB2188">
        <w:trPr>
          <w:trHeight w:val="398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803A61" w:rsidTr="00DB2188">
        <w:trPr>
          <w:trHeight w:val="494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2E08F9" w:rsidRPr="00803A61" w:rsidTr="00DB2188">
        <w:trPr>
          <w:trHeight w:val="239"/>
          <w:tblHeader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7A2979" w:rsidRPr="00803A61" w:rsidTr="00DB2188">
        <w:trPr>
          <w:trHeight w:val="239"/>
        </w:trPr>
        <w:tc>
          <w:tcPr>
            <w:tcW w:w="10065" w:type="dxa"/>
            <w:gridSpan w:val="12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2E08F9" w:rsidRPr="00803A61" w:rsidTr="00DB2188">
        <w:trPr>
          <w:trHeight w:val="734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jc w:val="center"/>
            </w:pPr>
            <w:r w:rsidRPr="00803A61">
              <w:t>50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46114A" w:rsidP="00DE7D63">
            <w:pPr>
              <w:jc w:val="center"/>
              <w:rPr>
                <w:highlight w:val="yellow"/>
              </w:rPr>
            </w:pPr>
            <w:r>
              <w:t>2</w:t>
            </w:r>
            <w:r w:rsidR="007A0F5D">
              <w:t>68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  <w:p w:rsidR="007A2979" w:rsidRPr="00803A61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803A61" w:rsidTr="00DB2188">
        <w:trPr>
          <w:trHeight w:val="2458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%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7A2979" w:rsidP="00DE7D63">
            <w:pPr>
              <w:jc w:val="center"/>
              <w:rPr>
                <w:highlight w:val="yellow"/>
              </w:rPr>
            </w:pPr>
            <w:r w:rsidRPr="00B22129">
              <w:t>9</w:t>
            </w:r>
            <w:r w:rsidR="005D57AE">
              <w:t>6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</w:tr>
    </w:tbl>
    <w:p w:rsidR="007A2979" w:rsidRPr="007D2234" w:rsidRDefault="007A2979" w:rsidP="00DB21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A2979" w:rsidRPr="007D2234" w:rsidRDefault="007A2979" w:rsidP="00DB2188">
      <w:pPr>
        <w:widowControl w:val="0"/>
        <w:tabs>
          <w:tab w:val="left" w:pos="9356"/>
        </w:tabs>
        <w:autoSpaceDE w:val="0"/>
        <w:autoSpaceDN w:val="0"/>
        <w:adjustRightInd w:val="0"/>
        <w:ind w:left="-425" w:right="284" w:firstLine="709"/>
        <w:rPr>
          <w:sz w:val="28"/>
          <w:szCs w:val="28"/>
          <w:lang w:eastAsia="en-US"/>
        </w:rPr>
        <w:sectPr w:rsidR="007A2979" w:rsidRPr="007D2234" w:rsidSect="00F3509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>целевых показ</w:t>
      </w:r>
      <w:r w:rsidR="002E08F9">
        <w:rPr>
          <w:sz w:val="28"/>
          <w:szCs w:val="28"/>
          <w:lang w:eastAsia="en-US"/>
        </w:rPr>
        <w:t xml:space="preserve">ателей (индикаторов) реализации </w:t>
      </w:r>
      <w:r w:rsidRPr="007D2234"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</w:rPr>
        <w:t xml:space="preserve">подлежат ежегодному 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уточнению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при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к</w:t>
      </w:r>
      <w:r w:rsidR="001A68BF">
        <w:rPr>
          <w:sz w:val="28"/>
          <w:szCs w:val="28"/>
        </w:rPr>
        <w:t>орректировке</w:t>
      </w:r>
      <w:r w:rsidR="00CD345A">
        <w:rPr>
          <w:sz w:val="28"/>
          <w:szCs w:val="28"/>
        </w:rPr>
        <w:t xml:space="preserve"> </w:t>
      </w:r>
      <w:r w:rsidR="001A68BF">
        <w:rPr>
          <w:sz w:val="28"/>
          <w:szCs w:val="28"/>
        </w:rPr>
        <w:t xml:space="preserve"> объемов бюджетного </w:t>
      </w:r>
      <w:r w:rsidRPr="007D2234">
        <w:rPr>
          <w:sz w:val="28"/>
          <w:szCs w:val="28"/>
        </w:rPr>
        <w:t>финансирования подпрограммы.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t>3. Перечень основных мероприятий подпрограммы на 2018 – 2024 годы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B248A2" w:rsidTr="00DE7D63">
        <w:tc>
          <w:tcPr>
            <w:tcW w:w="53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(квар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Источ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ники   </w:t>
            </w:r>
            <w:r w:rsidRPr="00B248A2">
              <w:rPr>
                <w:sz w:val="16"/>
                <w:szCs w:val="16"/>
              </w:rPr>
              <w:br/>
              <w:t>финан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вания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DE7D63"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c>
          <w:tcPr>
            <w:tcW w:w="53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c>
          <w:tcPr>
            <w:tcW w:w="15282" w:type="dxa"/>
            <w:gridSpan w:val="13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A64D1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955FE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ТР, конкурс-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ный отбор</w:t>
            </w:r>
          </w:p>
        </w:tc>
      </w:tr>
      <w:tr w:rsidR="007A2979" w:rsidRPr="00B248A2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29 173</w:t>
            </w:r>
            <w:r w:rsidR="007A2979" w:rsidRPr="00B248A2">
              <w:rPr>
                <w:sz w:val="18"/>
                <w:szCs w:val="18"/>
              </w:rPr>
              <w:t>,</w:t>
            </w:r>
            <w:r w:rsidR="00897AF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5 798</w:t>
            </w:r>
            <w:r w:rsidR="007A2979" w:rsidRPr="00B248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12 143</w:t>
            </w:r>
            <w:r w:rsidR="007A2979" w:rsidRPr="00B248A2">
              <w:rPr>
                <w:sz w:val="18"/>
                <w:szCs w:val="18"/>
              </w:rPr>
              <w:t>,0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инженерные изыскания, га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0F2BC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897A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89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  <w:r w:rsidR="00897AF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897AF3" w:rsidP="00DE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образованных</w:t>
            </w:r>
            <w:r w:rsidR="007A2979" w:rsidRPr="00B248A2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897AF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271CD8" w:rsidP="00DE7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75731E" w:rsidP="00DE7D63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D62251" w:rsidRPr="00B248A2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(квар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Источ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ники   </w:t>
            </w:r>
            <w:r w:rsidRPr="00B248A2">
              <w:rPr>
                <w:sz w:val="16"/>
                <w:szCs w:val="16"/>
              </w:rPr>
              <w:br/>
              <w:t>финан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85618B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Исполнит</w:t>
            </w:r>
            <w:r w:rsidR="00555515">
              <w:rPr>
                <w:sz w:val="16"/>
                <w:szCs w:val="16"/>
              </w:rPr>
              <w:t xml:space="preserve">ели   перечень   </w:t>
            </w:r>
            <w:r w:rsidR="00555515">
              <w:rPr>
                <w:sz w:val="16"/>
                <w:szCs w:val="16"/>
              </w:rPr>
              <w:br/>
              <w:t>организаций,</w:t>
            </w:r>
          </w:p>
          <w:p w:rsidR="00555515" w:rsidRDefault="00555515" w:rsidP="004E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A2979" w:rsidRPr="00B248A2">
              <w:rPr>
                <w:sz w:val="16"/>
                <w:szCs w:val="16"/>
              </w:rPr>
              <w:t>част</w:t>
            </w:r>
            <w:r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40 613,2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r w:rsidRPr="00B22129">
              <w:rPr>
                <w:vertAlign w:val="superscript"/>
              </w:rPr>
              <w:t>1</w:t>
            </w:r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486014" w:rsidP="0048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  <w:tr w:rsidR="007A2979" w:rsidRPr="00B248A2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  <w:r w:rsidRPr="00B22129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37 386,8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321A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  <w:tr w:rsidR="007A2979" w:rsidRPr="00B248A2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земельных участков под  строительство объектами коммунальной инфраструктуры, в т.ч.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06269D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</w:t>
            </w:r>
            <w:r w:rsidR="00287D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  <w:tr w:rsidR="007A2979" w:rsidRPr="00B248A2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Софинансирование за счет 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C1038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BC1C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BF41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(квар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Источ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ники   </w:t>
            </w:r>
            <w:r w:rsidRPr="00B248A2">
              <w:rPr>
                <w:sz w:val="16"/>
                <w:szCs w:val="16"/>
              </w:rPr>
              <w:br/>
              <w:t>финан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ва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</w:t>
            </w:r>
            <w:r w:rsidR="00555515"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886D09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>
              <w:rPr>
                <w:vertAlign w:val="superscript"/>
              </w:rPr>
              <w:t>3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  <w:tr w:rsidR="007A2979" w:rsidRPr="00B248A2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 по</w:t>
            </w:r>
          </w:p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06269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A19D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262A6">
              <w:rPr>
                <w:sz w:val="16"/>
                <w:szCs w:val="16"/>
              </w:rPr>
              <w:t xml:space="preserve"> 376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69 968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  <w:r w:rsidR="003C6D36">
              <w:rPr>
                <w:sz w:val="16"/>
                <w:szCs w:val="16"/>
              </w:rPr>
              <w:t>4 863,4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B248A2" w:rsidRDefault="007A2979" w:rsidP="007A2979">
      <w:r w:rsidRPr="00B248A2">
        <w:t>____________________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1</w:t>
      </w:r>
      <w:r w:rsidRPr="00B248A2">
        <w:t xml:space="preserve"> Входит в показатель «</w:t>
      </w:r>
      <w:r w:rsidRPr="00E96746">
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</w:t>
      </w:r>
      <w:r w:rsidRPr="00B248A2">
        <w:t>» мероприятия 1.</w:t>
      </w:r>
      <w:r>
        <w:t>3</w:t>
      </w:r>
      <w:r w:rsidRPr="00B248A2">
        <w:t>. «</w:t>
      </w:r>
      <w:r w:rsidRPr="00E96746">
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2</w:t>
      </w:r>
      <w:r w:rsidRPr="00B248A2">
        <w:t xml:space="preserve"> Входит в показатель «</w:t>
      </w:r>
      <w:r w:rsidRPr="00E96746">
        <w:t>Обеспеченность земельных участков объектами коммунальной инфраструктуры</w:t>
      </w:r>
      <w:r w:rsidRPr="00B248A2">
        <w:t>» мероприятия 1.</w:t>
      </w:r>
      <w:r>
        <w:t>3</w:t>
      </w:r>
      <w:r w:rsidRPr="00B248A2">
        <w:t>. «</w:t>
      </w:r>
      <w:r w:rsidRPr="00E96746">
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r>
        <w:rPr>
          <w:vertAlign w:val="superscript"/>
        </w:rPr>
        <w:t>3</w:t>
      </w:r>
      <w:r w:rsidRPr="00B248A2">
        <w:t xml:space="preserve"> Входит в показатель «Количество многодетных семей, получивших социальную выплату» мероприятия 1.5.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A2979" w:rsidRPr="00B248A2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rPr>
          <w:sz w:val="28"/>
          <w:szCs w:val="28"/>
        </w:rPr>
      </w:pPr>
    </w:p>
    <w:p w:rsidR="00566C53" w:rsidRDefault="00566C53" w:rsidP="007A2979">
      <w:pPr>
        <w:rPr>
          <w:sz w:val="28"/>
          <w:szCs w:val="28"/>
        </w:rPr>
      </w:pPr>
    </w:p>
    <w:p w:rsidR="00566C53" w:rsidRPr="007D2234" w:rsidRDefault="00566C53" w:rsidP="007A2979">
      <w:pPr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3.2. Перечень основных мероприятий подпрограммы на 2021-2024 годы</w:t>
      </w:r>
    </w:p>
    <w:p w:rsidR="007A2979" w:rsidRPr="00B248A2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850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B248A2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C076D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Цель,   </w:t>
            </w:r>
            <w:r>
              <w:rPr>
                <w:sz w:val="16"/>
                <w:szCs w:val="16"/>
              </w:rPr>
              <w:br/>
              <w:t xml:space="preserve">  основные   </w:t>
            </w:r>
            <w:r w:rsidR="007A2979" w:rsidRPr="00B248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выполне</w:t>
            </w:r>
            <w:r w:rsidR="007C076D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ния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(квартал,  </w:t>
            </w:r>
            <w:r w:rsidR="007C076D">
              <w:rPr>
                <w:sz w:val="16"/>
                <w:szCs w:val="16"/>
              </w:rPr>
              <w:t xml:space="preserve">       </w:t>
            </w:r>
            <w:r w:rsidRPr="00B248A2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Источ</w:t>
            </w:r>
            <w:r w:rsidR="007C076D">
              <w:rPr>
                <w:sz w:val="16"/>
                <w:szCs w:val="16"/>
              </w:rPr>
              <w:t>ни</w:t>
            </w:r>
            <w:r w:rsidR="00C44607">
              <w:rPr>
                <w:sz w:val="16"/>
                <w:szCs w:val="16"/>
              </w:rPr>
              <w:t>-</w:t>
            </w:r>
          </w:p>
          <w:p w:rsidR="00C44607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 </w:t>
            </w:r>
            <w:r w:rsidR="007A2979" w:rsidRPr="00B248A2">
              <w:rPr>
                <w:sz w:val="16"/>
                <w:szCs w:val="16"/>
              </w:rPr>
              <w:t>фи</w:t>
            </w:r>
            <w:r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нансиро</w:t>
            </w:r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вания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7C076D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 создание условий для строительст</w:t>
            </w:r>
            <w:r w:rsidR="00F7763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30B99" w:rsidRDefault="002642E6" w:rsidP="007C076D">
            <w:pPr>
              <w:jc w:val="center"/>
              <w:rPr>
                <w:sz w:val="14"/>
                <w:szCs w:val="14"/>
              </w:rPr>
            </w:pPr>
            <w:r w:rsidRPr="00B30B99">
              <w:rPr>
                <w:sz w:val="14"/>
                <w:szCs w:val="14"/>
              </w:rPr>
              <w:t>181 999,2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9804F8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ТР, конкурс-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ный отбор</w:t>
            </w:r>
          </w:p>
        </w:tc>
      </w:tr>
      <w:tr w:rsidR="007A2979" w:rsidRPr="00B248A2" w:rsidTr="007C076D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но-планиро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вочные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54 462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A2979" w:rsidRPr="00B248A2">
              <w:rPr>
                <w:sz w:val="16"/>
                <w:szCs w:val="16"/>
              </w:rPr>
              <w:t xml:space="preserve"> 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Площадь территорий, на которые выполнены инженерные изыскания,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E1CB3" w:rsidRDefault="001E73DD" w:rsidP="007C076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B248A2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Default="00C44607" w:rsidP="00C44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7A2979" w:rsidRPr="00B248A2" w:rsidRDefault="007A2979" w:rsidP="00C4460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</w:t>
            </w:r>
            <w:r w:rsidR="000108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(квар</w:t>
            </w:r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C4460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C44607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 xml:space="preserve">ники   </w:t>
            </w:r>
            <w:r w:rsidRPr="00B248A2">
              <w:rPr>
                <w:sz w:val="16"/>
                <w:szCs w:val="16"/>
              </w:rPr>
              <w:br/>
              <w:t>финан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сиро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вания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</w:t>
            </w:r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4E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нет-0, </w:t>
            </w:r>
            <w:r w:rsidRPr="00B22129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</w:t>
            </w:r>
            <w:r w:rsidR="00321A36">
              <w:rPr>
                <w:sz w:val="16"/>
                <w:szCs w:val="16"/>
                <w:lang w:eastAsia="en-US"/>
              </w:rPr>
              <w:t xml:space="preserve">ных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 т.ч.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B248A2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614F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Срок выпол</w:t>
            </w:r>
            <w:r w:rsidR="00EB6D9A">
              <w:rPr>
                <w:sz w:val="16"/>
                <w:szCs w:val="16"/>
              </w:rPr>
              <w:t>-не</w:t>
            </w:r>
            <w:r w:rsidR="005614F7">
              <w:rPr>
                <w:sz w:val="16"/>
                <w:szCs w:val="16"/>
              </w:rPr>
              <w:t>ния   (</w:t>
            </w:r>
            <w:r w:rsidRPr="00B248A2">
              <w:rPr>
                <w:sz w:val="16"/>
                <w:szCs w:val="16"/>
              </w:rPr>
              <w:t>ква</w:t>
            </w:r>
            <w:r w:rsidR="005C2116">
              <w:rPr>
                <w:sz w:val="16"/>
                <w:szCs w:val="16"/>
              </w:rPr>
              <w:t>р</w:t>
            </w:r>
            <w:r w:rsidR="005614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EB6D9A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EB6D9A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 xml:space="preserve">ники   </w:t>
            </w:r>
            <w:r w:rsidRPr="00B248A2">
              <w:rPr>
                <w:sz w:val="16"/>
                <w:szCs w:val="16"/>
              </w:rPr>
              <w:br/>
              <w:t>финан</w:t>
            </w:r>
            <w:r w:rsidR="005C2116">
              <w:rPr>
                <w:sz w:val="16"/>
                <w:szCs w:val="16"/>
              </w:rPr>
              <w:t>-</w:t>
            </w:r>
          </w:p>
          <w:p w:rsidR="005C2116" w:rsidRDefault="007A2979" w:rsidP="005C2116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5C2116">
              <w:rPr>
                <w:sz w:val="16"/>
                <w:szCs w:val="16"/>
              </w:rPr>
              <w:t>-</w:t>
            </w:r>
          </w:p>
          <w:p w:rsidR="007A2979" w:rsidRPr="00B248A2" w:rsidRDefault="007A2979" w:rsidP="005C2116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</w:t>
            </w:r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561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2024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</w:rPr>
              <w:t>Софинансирование за счет 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2129">
              <w:rPr>
                <w:vertAlign w:val="superscript"/>
              </w:rPr>
              <w:t>2</w:t>
            </w:r>
          </w:p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</w:p>
        </w:tc>
      </w:tr>
      <w:tr w:rsidR="007A2979" w:rsidRPr="00B22129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 по</w:t>
            </w:r>
          </w:p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</w:rPr>
            </w:pPr>
            <w:r w:rsidRPr="009C47E9">
              <w:rPr>
                <w:sz w:val="14"/>
                <w:szCs w:val="14"/>
              </w:rPr>
              <w:t>181 999</w:t>
            </w:r>
            <w:r w:rsidRPr="009C47E9">
              <w:rPr>
                <w:sz w:val="14"/>
                <w:szCs w:val="14"/>
                <w:lang w:val="en-US"/>
              </w:rPr>
              <w:t>,</w:t>
            </w:r>
            <w:r w:rsidRPr="009C47E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9C4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  <w:lang w:eastAsia="en-US"/>
              </w:rPr>
            </w:pPr>
            <w:r w:rsidRPr="009C47E9">
              <w:rPr>
                <w:sz w:val="14"/>
                <w:szCs w:val="14"/>
                <w:lang w:eastAsia="en-US"/>
              </w:rPr>
              <w:t>122 545,6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B22129" w:rsidRDefault="007A2979" w:rsidP="007A2979">
      <w:r w:rsidRPr="00B22129">
        <w:t>____________________</w:t>
      </w:r>
    </w:p>
    <w:p w:rsidR="007A2979" w:rsidRPr="001A68BF" w:rsidRDefault="007A2979" w:rsidP="007A2979">
      <w:pPr>
        <w:jc w:val="both"/>
        <w:rPr>
          <w:sz w:val="16"/>
          <w:szCs w:val="16"/>
        </w:rPr>
      </w:pPr>
      <w:r w:rsidRPr="001A68BF">
        <w:rPr>
          <w:sz w:val="16"/>
          <w:szCs w:val="16"/>
          <w:vertAlign w:val="superscript"/>
        </w:rPr>
        <w:t>1</w:t>
      </w:r>
      <w:r w:rsidRPr="001A68BF">
        <w:rPr>
          <w:sz w:val="16"/>
          <w:szCs w:val="16"/>
        </w:rPr>
        <w:t xml:space="preserve"> Входит в показатель «Обеспеченность земельных участков объектами коммунальной инфраструктуры» мероприятия 1.3. «Софинансирование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A68BF" w:rsidRDefault="007A2979" w:rsidP="007A2979">
      <w:pPr>
        <w:rPr>
          <w:sz w:val="16"/>
          <w:szCs w:val="16"/>
        </w:rPr>
        <w:sectPr w:rsidR="007A2979" w:rsidRPr="001A68BF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1A68BF">
        <w:rPr>
          <w:sz w:val="16"/>
          <w:szCs w:val="16"/>
          <w:vertAlign w:val="superscript"/>
        </w:rPr>
        <w:t>2</w:t>
      </w:r>
      <w:r w:rsidRPr="001A68BF">
        <w:rPr>
          <w:sz w:val="16"/>
          <w:szCs w:val="16"/>
        </w:rPr>
        <w:t xml:space="preserve"> Входит в показатель «Количество многодетных семей, получивших социальную выплату» мероприятия 1.5.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1A68BF">
        <w:rPr>
          <w:sz w:val="16"/>
          <w:szCs w:val="16"/>
        </w:rPr>
        <w:t>дной основе земельных участках</w:t>
      </w:r>
    </w:p>
    <w:p w:rsidR="007A2979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3.3. Детализация направлений расходов на 2018-2024 годы</w:t>
      </w:r>
    </w:p>
    <w:p w:rsidR="007A2979" w:rsidRPr="007D2234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7A2979" w:rsidRPr="00B248A2" w:rsidTr="00C13450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очники финансиро</w:t>
            </w:r>
            <w:r w:rsidR="005C78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7A2979" w:rsidRPr="00B248A2" w:rsidTr="00C13450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C13450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100 666,8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</w:t>
            </w:r>
            <w:r w:rsidR="00180D2A">
              <w:rPr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293 180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</w:tr>
      <w:tr w:rsidR="007A2979" w:rsidRPr="00B248A2" w:rsidTr="005C788B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212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F9149E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83 635</w:t>
            </w:r>
            <w:r w:rsidR="007A2979" w:rsidRPr="00B22129">
              <w:rPr>
                <w:sz w:val="16"/>
                <w:szCs w:val="16"/>
              </w:rPr>
              <w:t>,</w:t>
            </w:r>
            <w:r w:rsidR="007428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AA5D5E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12 143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5C788B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30 695</w:t>
            </w:r>
            <w:r w:rsidR="00346F56">
              <w:rPr>
                <w:sz w:val="16"/>
                <w:szCs w:val="16"/>
              </w:rPr>
              <w:t>,</w:t>
            </w:r>
            <w:r w:rsidR="002815F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3 143</w:t>
            </w:r>
            <w:r w:rsidR="007A2979" w:rsidRPr="00B22129">
              <w:rPr>
                <w:color w:val="000000"/>
                <w:sz w:val="16"/>
                <w:szCs w:val="16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3 543</w:t>
            </w:r>
            <w:r w:rsidR="007A2979" w:rsidRPr="00B2212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2815F6" w:rsidRDefault="00A17A21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815F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88</w:t>
            </w:r>
            <w:r w:rsidR="002815F6">
              <w:rPr>
                <w:color w:val="000000"/>
                <w:sz w:val="16"/>
                <w:szCs w:val="16"/>
              </w:rPr>
              <w:t>3</w:t>
            </w:r>
            <w:r w:rsidR="002815F6">
              <w:rPr>
                <w:color w:val="000000"/>
                <w:sz w:val="16"/>
                <w:szCs w:val="16"/>
                <w:lang w:val="en-US"/>
              </w:rPr>
              <w:t>,</w:t>
            </w:r>
            <w:r w:rsidR="002815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5 115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5C788B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35 246</w:t>
            </w:r>
            <w:r w:rsidR="007428BD">
              <w:rPr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</w:t>
            </w:r>
            <w:r w:rsidR="007A2979" w:rsidRPr="00B2212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6 360,0</w:t>
            </w:r>
            <w:r w:rsidR="00F75E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1 040,0</w:t>
            </w:r>
          </w:p>
        </w:tc>
      </w:tr>
      <w:tr w:rsidR="007A2979" w:rsidRPr="00B248A2" w:rsidTr="005C788B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</w:tr>
      <w:tr w:rsidR="007A2979" w:rsidRPr="00B248A2" w:rsidTr="005C788B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3 007</w:t>
            </w:r>
            <w:r w:rsidR="00255C0B">
              <w:rPr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3D593A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3 635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6 500,0</w:t>
            </w:r>
          </w:p>
        </w:tc>
      </w:tr>
      <w:tr w:rsidR="007A2979" w:rsidRPr="00B248A2" w:rsidTr="005C788B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10452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3AE4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C4BA5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A17A21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7A2979" w:rsidRPr="00B248A2" w:rsidTr="005C788B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AA5D5E" w:rsidRPr="00B248A2" w:rsidTr="00886D09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10452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в т.ч.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886D09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8347E9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в т.ч.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A248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11 488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C105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</w:t>
            </w:r>
            <w:r w:rsidR="005251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</w:tr>
      <w:tr w:rsidR="00AA5D5E" w:rsidRPr="00B248A2" w:rsidTr="00886D09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Софинансирование за счет 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  <w:r w:rsidR="003662D2" w:rsidRPr="00B248A2"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A826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057ABD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</w:tr>
      <w:tr w:rsidR="00AA5D5E" w:rsidRPr="00B248A2" w:rsidTr="00886D09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A47D04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7D0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400</w:t>
            </w:r>
            <w:r w:rsidR="00A47D04">
              <w:rPr>
                <w:sz w:val="16"/>
                <w:szCs w:val="16"/>
                <w:lang w:val="en-US"/>
              </w:rPr>
              <w:t>,</w:t>
            </w:r>
            <w:r w:rsidR="00A47D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057ABD" w:rsidRDefault="00057ABD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A2979" w:rsidRPr="007D2234" w:rsidRDefault="007A2979" w:rsidP="007A2979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A2979" w:rsidRPr="007D2234" w:rsidRDefault="007A2979" w:rsidP="007A297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7A2979" w:rsidRPr="007D2234" w:rsidRDefault="00F56863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A2979" w:rsidRPr="007D2234">
        <w:rPr>
          <w:sz w:val="28"/>
          <w:szCs w:val="28"/>
          <w:lang w:eastAsia="en-US"/>
        </w:rPr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A2979" w:rsidRPr="007D2234" w:rsidRDefault="007A2979" w:rsidP="008347E9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7A2979" w:rsidRPr="007D2234" w:rsidSect="002E08F9">
          <w:pgSz w:w="11906" w:h="16838"/>
          <w:pgMar w:top="1134" w:right="567" w:bottom="1134" w:left="1701" w:header="709" w:footer="709" w:gutter="0"/>
          <w:cols w:space="720"/>
        </w:sectPr>
      </w:pPr>
      <w:r w:rsidRPr="007D2234">
        <w:rPr>
          <w:sz w:val="28"/>
          <w:szCs w:val="28"/>
          <w:lang w:eastAsia="en-US"/>
        </w:rPr>
        <w:tab/>
      </w:r>
      <w:r w:rsidR="00F56863">
        <w:rPr>
          <w:sz w:val="28"/>
          <w:szCs w:val="28"/>
          <w:lang w:eastAsia="en-US"/>
        </w:rPr>
        <w:t xml:space="preserve">В </w:t>
      </w:r>
      <w:r w:rsidRPr="007D2234">
        <w:rPr>
          <w:sz w:val="28"/>
          <w:szCs w:val="28"/>
          <w:lang w:eastAsia="en-US"/>
        </w:rPr>
        <w:t>таблиц</w:t>
      </w:r>
      <w:r w:rsidR="00F56863">
        <w:rPr>
          <w:sz w:val="28"/>
          <w:szCs w:val="28"/>
          <w:lang w:eastAsia="en-US"/>
        </w:rPr>
        <w:t xml:space="preserve">е приведены </w:t>
      </w:r>
      <w:r w:rsidRPr="007D2234">
        <w:rPr>
          <w:sz w:val="28"/>
          <w:szCs w:val="28"/>
          <w:lang w:eastAsia="en-US"/>
        </w:rPr>
        <w:t>сведения о приоритетных территориях, на которые планируется подготовка документации по планировке территории,</w:t>
      </w:r>
      <w:r w:rsidR="00F56863">
        <w:rPr>
          <w:sz w:val="28"/>
          <w:szCs w:val="28"/>
          <w:lang w:eastAsia="en-US"/>
        </w:rPr>
        <w:t xml:space="preserve">  в том  числе для </w:t>
      </w:r>
      <w:r w:rsidRPr="007D2234">
        <w:rPr>
          <w:sz w:val="28"/>
          <w:szCs w:val="28"/>
          <w:lang w:eastAsia="en-US"/>
        </w:rPr>
        <w:t>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7A2979" w:rsidRPr="00FB5286" w:rsidTr="000001F9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7A2979" w:rsidRPr="00AA5D5E" w:rsidRDefault="007A2979" w:rsidP="000001F9">
            <w:pPr>
              <w:jc w:val="center"/>
              <w:rPr>
                <w:bCs/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Приоритетные территории для подготовки документации по планировке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7A2979" w:rsidRPr="00FB5286" w:rsidRDefault="007A2979" w:rsidP="000001F9">
            <w:pPr>
              <w:rPr>
                <w:sz w:val="28"/>
                <w:szCs w:val="28"/>
              </w:rPr>
            </w:pPr>
          </w:p>
        </w:tc>
      </w:tr>
      <w:tr w:rsidR="007A2979" w:rsidRPr="00FB5286" w:rsidTr="000001F9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7A2979" w:rsidRPr="00FB5286" w:rsidTr="000001F9">
        <w:trPr>
          <w:trHeight w:val="123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жилой район Росляково,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A2979" w:rsidRPr="00FB5286" w:rsidTr="000001F9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703BE6" w:rsidRDefault="00703BE6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7A2979" w:rsidRPr="00FB5286" w:rsidTr="000001F9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7A2979" w:rsidRPr="00FB5286" w:rsidTr="000001F9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ул. Капитана Орликовой,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AA5D5E" w:rsidRPr="00FB5286" w:rsidTr="000001F9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AA5D5E" w:rsidRPr="00FB5286" w:rsidTr="000001F9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пр. Молодежный, земельный участок с кадастровым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88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Росляково,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5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5958DA" w:rsidP="00F5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 территория улиц Планерной</w:t>
            </w:r>
            <w:r w:rsidR="00AA5D5E" w:rsidRPr="00FB5286">
              <w:rPr>
                <w:sz w:val="24"/>
                <w:szCs w:val="24"/>
              </w:rPr>
              <w:t>, Карла Маркса, от улицы Планерной д</w:t>
            </w:r>
            <w:r>
              <w:rPr>
                <w:sz w:val="24"/>
                <w:szCs w:val="24"/>
              </w:rPr>
              <w:t>о улицы Рогозерской, Рогозерской</w:t>
            </w:r>
            <w:r w:rsidR="00AA5D5E" w:rsidRPr="00FB5286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Полухина, Генерала Фролова, Куйбышева, от улицы Радищева до улицы Чехова,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FA710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AA5D5E" w:rsidRPr="00FB5286" w:rsidTr="008347E9">
        <w:trPr>
          <w:trHeight w:val="19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(в р-не ул. Прибрежной)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Pr="00FA7106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52</w:t>
            </w:r>
          </w:p>
        </w:tc>
      </w:tr>
      <w:tr w:rsidR="000001F9" w:rsidRPr="00FB5286" w:rsidTr="000001F9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«Жилстрой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</w:t>
            </w:r>
            <w:r>
              <w:rPr>
                <w:sz w:val="24"/>
                <w:szCs w:val="24"/>
              </w:rPr>
              <w:t>й</w:t>
            </w:r>
            <w:r w:rsidRPr="00FB5286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51:20:0002400 (в р-не                  ул. Градостроителей</w:t>
            </w:r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кадастровый квартал 51:20:0003204                               (в р-не ул. Успенского)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кадастровый квартал 51:20:0001055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(в р-не ул. Фестивальной)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356,2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0001F9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7A2979" w:rsidRPr="007D2234" w:rsidRDefault="007A2979" w:rsidP="000001F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1.1.3. Проведение конкурсов на территории города Мурманска.</w:t>
      </w:r>
    </w:p>
    <w:p w:rsidR="007A2979" w:rsidRPr="007D2234" w:rsidRDefault="007A2979" w:rsidP="009F2E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скульптурно–декоративных работ». </w:t>
      </w: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A2979" w:rsidRPr="007D2234" w:rsidRDefault="007A2979" w:rsidP="009F2E76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A2979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A2979" w:rsidRPr="007D2234" w:rsidRDefault="007A2979" w:rsidP="009F2E76">
      <w:pPr>
        <w:tabs>
          <w:tab w:val="left" w:pos="1134"/>
        </w:tabs>
        <w:ind w:firstLine="709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Федерации, а также приказу Министерства экономического развития Российской Федерации</w:t>
      </w:r>
      <w:r w:rsidR="002E09F0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 от 01.09.2014 № 540 «Об утверждении классификатора видов разрешенного использования земельных участков».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</w:t>
      </w:r>
      <w:r w:rsidR="00376E70">
        <w:rPr>
          <w:spacing w:val="-2"/>
          <w:sz w:val="28"/>
          <w:szCs w:val="28"/>
          <w:lang w:eastAsia="en-US"/>
        </w:rPr>
        <w:t xml:space="preserve">        </w:t>
      </w:r>
      <w:r w:rsidR="008A2AF1">
        <w:rPr>
          <w:spacing w:val="-2"/>
          <w:sz w:val="28"/>
          <w:szCs w:val="28"/>
          <w:lang w:eastAsia="en-US"/>
        </w:rPr>
        <w:t xml:space="preserve">                    </w:t>
      </w:r>
      <w:r w:rsidRPr="007D2234">
        <w:rPr>
          <w:spacing w:val="-2"/>
          <w:sz w:val="28"/>
          <w:szCs w:val="28"/>
          <w:lang w:eastAsia="en-US"/>
        </w:rPr>
        <w:t>от 02.07.2013 № 224-РП, предусмотрено мероприятие по внесению изменений в генеральные планы городских округов в 2014-2020 годах.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</w:t>
      </w:r>
      <w:r w:rsidR="00376E70">
        <w:rPr>
          <w:sz w:val="28"/>
          <w:szCs w:val="28"/>
          <w:lang w:eastAsia="en-US"/>
        </w:rPr>
        <w:t xml:space="preserve">                </w:t>
      </w:r>
      <w:r w:rsidRPr="007D2234">
        <w:rPr>
          <w:sz w:val="28"/>
          <w:szCs w:val="28"/>
          <w:lang w:eastAsia="en-US"/>
        </w:rPr>
        <w:t xml:space="preserve">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A2979" w:rsidRPr="007D2234" w:rsidRDefault="007A2979" w:rsidP="009F2E76">
      <w:pPr>
        <w:ind w:firstLine="709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</w:t>
      </w:r>
      <w:r w:rsidR="00A0704E">
        <w:rPr>
          <w:sz w:val="28"/>
          <w:szCs w:val="28"/>
          <w:lang w:eastAsia="en-US"/>
        </w:rPr>
        <w:t>мунальной инфраструктуры, в том числе</w:t>
      </w:r>
      <w:r w:rsidRPr="007D2234">
        <w:rPr>
          <w:sz w:val="28"/>
          <w:szCs w:val="28"/>
          <w:lang w:eastAsia="en-US"/>
        </w:rPr>
        <w:t xml:space="preserve">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от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31.12.2003 № 462-01-ЗМО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</w:p>
    <w:p w:rsidR="007A2979" w:rsidRPr="007D2234" w:rsidRDefault="00AF0050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7A2979"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="007A2979"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="007A2979"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A2979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На реализацию мероприятий подпрограммы предусматри</w:t>
      </w:r>
      <w:r w:rsidR="00621A94">
        <w:rPr>
          <w:sz w:val="28"/>
          <w:szCs w:val="28"/>
        </w:rPr>
        <w:t>в</w:t>
      </w:r>
      <w:r w:rsidR="00A17897">
        <w:rPr>
          <w:sz w:val="28"/>
          <w:szCs w:val="28"/>
        </w:rPr>
        <w:t>аются средства в объеме 293 180</w:t>
      </w:r>
      <w:r w:rsidRPr="00B248A2">
        <w:rPr>
          <w:sz w:val="28"/>
          <w:szCs w:val="28"/>
        </w:rPr>
        <w:t>,</w:t>
      </w:r>
      <w:r w:rsidR="00A17897">
        <w:rPr>
          <w:sz w:val="28"/>
          <w:szCs w:val="28"/>
        </w:rPr>
        <w:t>6</w:t>
      </w:r>
      <w:r w:rsidRPr="00B248A2">
        <w:rPr>
          <w:rFonts w:ascii="Calibri" w:eastAsia="Calibri" w:hAnsi="Calibri"/>
          <w:sz w:val="28"/>
          <w:szCs w:val="28"/>
        </w:rPr>
        <w:t xml:space="preserve"> </w:t>
      </w:r>
      <w:r w:rsidR="00E017BA">
        <w:rPr>
          <w:sz w:val="28"/>
          <w:szCs w:val="28"/>
        </w:rPr>
        <w:t>тыс. руб.</w:t>
      </w:r>
      <w:r w:rsidRPr="00B248A2">
        <w:rPr>
          <w:sz w:val="28"/>
          <w:szCs w:val="28"/>
        </w:rPr>
        <w:t>, установленных на соответствующий финансовый год и плановый период.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A2979" w:rsidRPr="00B248A2" w:rsidTr="00DE7D63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том числе по годам</w:t>
            </w:r>
          </w:p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реализации, тыс. руб.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DE7D63">
        <w:trPr>
          <w:trHeight w:val="175"/>
          <w:tblCellSpacing w:w="5" w:type="nil"/>
        </w:trPr>
        <w:tc>
          <w:tcPr>
            <w:tcW w:w="2835" w:type="dxa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2979"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A2979"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A2979" w:rsidRPr="00B248A2">
              <w:rPr>
                <w:sz w:val="16"/>
                <w:szCs w:val="16"/>
              </w:rPr>
              <w:t>9</w:t>
            </w:r>
          </w:p>
        </w:tc>
      </w:tr>
      <w:tr w:rsidR="007A2979" w:rsidRPr="00B248A2" w:rsidTr="00DE7D63">
        <w:trPr>
          <w:trHeight w:val="55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293 180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7A2979" w:rsidRPr="00B248A2" w:rsidRDefault="00DF3D23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33 376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1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</w:tr>
      <w:tr w:rsidR="007A2979" w:rsidRPr="00B248A2" w:rsidTr="000001F9">
        <w:trPr>
          <w:trHeight w:val="307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7A2979" w:rsidRPr="00B248A2" w:rsidTr="000001F9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бюджета муниципального</w:t>
            </w:r>
          </w:p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образования</w:t>
            </w:r>
            <w:r w:rsidR="00C472CD">
              <w:rPr>
                <w:sz w:val="16"/>
                <w:szCs w:val="16"/>
              </w:rPr>
              <w:t xml:space="preserve"> </w:t>
            </w:r>
            <w:r w:rsidRPr="00B248A2">
              <w:rPr>
                <w:sz w:val="16"/>
                <w:szCs w:val="16"/>
              </w:rPr>
              <w:t xml:space="preserve"> город Мурманск</w:t>
            </w:r>
          </w:p>
        </w:tc>
        <w:tc>
          <w:tcPr>
            <w:tcW w:w="851" w:type="dxa"/>
          </w:tcPr>
          <w:p w:rsidR="007A2979" w:rsidRPr="00B248A2" w:rsidRDefault="00A17897" w:rsidP="00C472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7A2979" w:rsidRPr="00B248A2" w:rsidRDefault="00703BE6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20 201</w:t>
            </w:r>
            <w:r w:rsidR="007A2979">
              <w:rPr>
                <w:color w:val="000000"/>
                <w:sz w:val="16"/>
                <w:szCs w:val="16"/>
              </w:rPr>
              <w:t>,</w:t>
            </w:r>
            <w:r w:rsidR="00DF3D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30 636,4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30 636,4</w:t>
            </w:r>
          </w:p>
        </w:tc>
      </w:tr>
      <w:tr w:rsidR="007A2979" w:rsidRPr="00B248A2" w:rsidTr="00DE7D63">
        <w:trPr>
          <w:trHeight w:val="302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100 666,8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FB5286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C472CD" w:rsidRDefault="002A48CE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</w:t>
      </w: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A2979" w:rsidRPr="002A48CE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</w:t>
      </w:r>
      <w:r w:rsidR="007A2979"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</w:t>
      </w:r>
      <w:r w:rsidR="004F3A81">
        <w:rPr>
          <w:rFonts w:eastAsia="Calibri"/>
          <w:sz w:val="28"/>
          <w:szCs w:val="28"/>
        </w:rPr>
        <w:t>ами коммунальной инфраструктур</w:t>
      </w:r>
      <w:r w:rsidRPr="007D2234">
        <w:rPr>
          <w:rFonts w:eastAsia="Calibri"/>
          <w:sz w:val="28"/>
          <w:szCs w:val="28"/>
        </w:rPr>
        <w:t>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2E09F0" w:rsidRPr="00F35097" w:rsidRDefault="007A2979" w:rsidP="00CE6786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851" w:firstLine="680"/>
        <w:jc w:val="both"/>
        <w:rPr>
          <w:rFonts w:eastAsia="Calibri"/>
          <w:sz w:val="28"/>
          <w:szCs w:val="28"/>
        </w:rPr>
      </w:pPr>
      <w:r w:rsidRPr="00F35097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  <w:r w:rsidRPr="00F35097">
        <w:rPr>
          <w:b/>
          <w:sz w:val="28"/>
        </w:rPr>
        <w:t xml:space="preserve">                                                          </w:t>
      </w:r>
      <w:r w:rsidR="002E09F0" w:rsidRPr="00F35097">
        <w:rPr>
          <w:b/>
          <w:sz w:val="28"/>
        </w:rPr>
        <w:t xml:space="preserve">     </w:t>
      </w:r>
    </w:p>
    <w:p w:rsidR="009E0B6C" w:rsidRPr="00634EC9" w:rsidRDefault="002E09F0" w:rsidP="00F3509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sz w:val="2"/>
          <w:szCs w:val="2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</w:t>
      </w:r>
    </w:p>
    <w:sectPr w:rsidR="009E0B6C" w:rsidRPr="00634EC9" w:rsidSect="00F35097">
      <w:headerReference w:type="first" r:id="rId12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D9" w:rsidRDefault="00F548D9" w:rsidP="0014021E">
      <w:r>
        <w:separator/>
      </w:r>
    </w:p>
  </w:endnote>
  <w:endnote w:type="continuationSeparator" w:id="0">
    <w:p w:rsidR="00F548D9" w:rsidRDefault="00F548D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D9" w:rsidRDefault="00F548D9" w:rsidP="0014021E">
      <w:r>
        <w:separator/>
      </w:r>
    </w:p>
  </w:footnote>
  <w:footnote w:type="continuationSeparator" w:id="0">
    <w:p w:rsidR="00F548D9" w:rsidRDefault="00F548D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29366"/>
      <w:docPartObj>
        <w:docPartGallery w:val="Page Numbers (Top of Page)"/>
        <w:docPartUnique/>
      </w:docPartObj>
    </w:sdtPr>
    <w:sdtEndPr/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97">
          <w:rPr>
            <w:noProof/>
          </w:rPr>
          <w:t>22</w:t>
        </w:r>
        <w:r>
          <w:fldChar w:fldCharType="end"/>
        </w:r>
      </w:p>
    </w:sdtContent>
  </w:sdt>
  <w:p w:rsidR="00283F80" w:rsidRDefault="00283F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1D" w:rsidRDefault="0085151D">
    <w:pPr>
      <w:pStyle w:val="a8"/>
      <w:jc w:val="center"/>
    </w:pPr>
  </w:p>
  <w:p w:rsidR="00660E7C" w:rsidRDefault="00660E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C" w:rsidRDefault="00660E7C">
    <w:pPr>
      <w:pStyle w:val="a8"/>
      <w:jc w:val="center"/>
    </w:pPr>
    <w:r>
      <w:t>42</w:t>
    </w:r>
  </w:p>
  <w:p w:rsidR="00660E7C" w:rsidRDefault="00660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6C4"/>
    <w:rsid w:val="003514E5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2AC3"/>
    <w:rsid w:val="006F2D1D"/>
    <w:rsid w:val="006F4FBB"/>
    <w:rsid w:val="0070025E"/>
    <w:rsid w:val="00703BE6"/>
    <w:rsid w:val="00704A68"/>
    <w:rsid w:val="007057FD"/>
    <w:rsid w:val="00711B2F"/>
    <w:rsid w:val="00712410"/>
    <w:rsid w:val="00714834"/>
    <w:rsid w:val="00720D78"/>
    <w:rsid w:val="00721D21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6FF5"/>
    <w:rsid w:val="00F175A9"/>
    <w:rsid w:val="00F22BCC"/>
    <w:rsid w:val="00F24361"/>
    <w:rsid w:val="00F33471"/>
    <w:rsid w:val="00F35097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A44C274-CF78-429D-9928-7DE2BBE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1D10D0F0D98C5B93D661D21FD5A34DEEDACB09BEA963A6F630F686FD1DC592C0C58DB38168BE2E041EFL7s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1D10D0F0D98C5B93D661D21FD5A34DEEDACB09BEB9E3D6C630F686FD1DC592C0C58DB38168BE2E041EFL7s1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A632A"/>
    <w:rsid w:val="000C397A"/>
    <w:rsid w:val="00212322"/>
    <w:rsid w:val="002A0FB4"/>
    <w:rsid w:val="002B609D"/>
    <w:rsid w:val="002C2E0C"/>
    <w:rsid w:val="003F0C19"/>
    <w:rsid w:val="0050171E"/>
    <w:rsid w:val="005026B1"/>
    <w:rsid w:val="00512067"/>
    <w:rsid w:val="005A665E"/>
    <w:rsid w:val="0062240B"/>
    <w:rsid w:val="00662EC0"/>
    <w:rsid w:val="00675CB3"/>
    <w:rsid w:val="00692C95"/>
    <w:rsid w:val="00695314"/>
    <w:rsid w:val="006B72D0"/>
    <w:rsid w:val="00703A30"/>
    <w:rsid w:val="00801BBD"/>
    <w:rsid w:val="00844CF5"/>
    <w:rsid w:val="00905BDA"/>
    <w:rsid w:val="00981605"/>
    <w:rsid w:val="00B877AC"/>
    <w:rsid w:val="00C31F59"/>
    <w:rsid w:val="00D2082C"/>
    <w:rsid w:val="00D923D7"/>
    <w:rsid w:val="00DF22F6"/>
    <w:rsid w:val="00DF43D9"/>
    <w:rsid w:val="00DF4434"/>
    <w:rsid w:val="00E62A90"/>
    <w:rsid w:val="00EF1256"/>
    <w:rsid w:val="00F061D3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322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6103A51336794940BF4FE1ED9DDEA9A2">
    <w:name w:val="6103A51336794940BF4FE1ED9DDEA9A2"/>
    <w:rsid w:val="002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BCA0-BACC-41E3-84B5-4B1FF14E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22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252</cp:revision>
  <cp:lastPrinted>2019-12-17T11:20:00Z</cp:lastPrinted>
  <dcterms:created xsi:type="dcterms:W3CDTF">2019-07-03T13:59:00Z</dcterms:created>
  <dcterms:modified xsi:type="dcterms:W3CDTF">2019-12-20T11:22:00Z</dcterms:modified>
</cp:coreProperties>
</file>