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Отчет о результатах проверок, проведенных комитетом по жилищной политике администрации города Мурманска, в </w:t>
      </w:r>
      <w:r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 за май 2019 года</w:t>
      </w:r>
    </w:p>
    <w:p>
      <w:pPr>
        <w:spacing w:after="0" w:line="240" w:lineRule="auto"/>
        <w:ind w:firstLine="709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апреле 2019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отношении 33 юридических лиц проведено 178 внеплановых проверок соблюдения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правил содержания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 проведении указанных проверок проверено 178 адресов,                    обследовано 70,8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жилищного фонда, выявлено 410 </w:t>
      </w:r>
      <w:r>
        <w:rPr>
          <w:rFonts w:ascii="Times New Roman" w:hAnsi="Times New Roman"/>
          <w:sz w:val="28"/>
          <w:szCs w:val="28"/>
        </w:rPr>
        <w:t>нарушений обязательных требований жилищного законодательства.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составлено 178 актов, выдано 152 предписания.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108-ПП, в адрес Государственной жилищной инспекции Мурманской области направлен 61 материал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>
        <w:rPr>
          <w:rFonts w:ascii="Times New Roman" w:hAnsi="Times New Roman"/>
          <w:sz w:val="28"/>
          <w:szCs w:val="28"/>
        </w:rPr>
        <w:t>направлено 8 материалов мировым судьям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74623"/>
    <w:rsid w:val="00B93CEC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31B58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2777"/>
    <w:rsid w:val="00FA4B2D"/>
    <w:rsid w:val="00FA5544"/>
    <w:rsid w:val="00FC349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7C3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locked/>
    <w:uiPriority w:val="99"/>
    <w:rPr>
      <w:rFonts w:ascii="Times New Roman" w:hAnsi="Times New Roman" w:cs="Times New Roman"/>
      <w:sz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09BED-E16F-47C4-83CD-0BF7C15E8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2505</Characters>
  <Lines>20</Lines>
  <Paragraphs>5</Paragraphs>
  <TotalTime>39</TotalTime>
  <ScaleCrop>false</ScaleCrop>
  <LinksUpToDate>false</LinksUpToDate>
  <CharactersWithSpaces>2839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2019-03-04T05:44:00Z</dcterms:created>
  <dc:creator>Кочерыгина</dc:creator>
  <cp:lastModifiedBy>azarkinsi</cp:lastModifiedBy>
  <cp:lastPrinted>2019-06-04T08:34:00Z</cp:lastPrinted>
  <dcterms:modified xsi:type="dcterms:W3CDTF">2019-06-07T07:34:21Z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