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38" w:rsidRDefault="00B55838" w:rsidP="00B55838">
      <w:pPr>
        <w:pStyle w:val="1"/>
        <w:ind w:right="-2"/>
      </w:pPr>
      <w:r>
        <w:rPr>
          <w:noProof/>
        </w:rPr>
        <w:drawing>
          <wp:inline distT="0" distB="0" distL="0" distR="0">
            <wp:extent cx="374015" cy="54038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838" w:rsidRDefault="00B55838" w:rsidP="00B55838">
      <w:pPr>
        <w:jc w:val="center"/>
      </w:pPr>
    </w:p>
    <w:p w:rsidR="00B55838" w:rsidRPr="00CC618C" w:rsidRDefault="00B55838" w:rsidP="00B55838">
      <w:pPr>
        <w:pStyle w:val="1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CC618C">
        <w:rPr>
          <w:b/>
          <w:sz w:val="28"/>
          <w:szCs w:val="28"/>
        </w:rPr>
        <w:t xml:space="preserve">  ГОРОДА </w:t>
      </w:r>
      <w:r>
        <w:rPr>
          <w:b/>
          <w:sz w:val="28"/>
          <w:szCs w:val="28"/>
        </w:rPr>
        <w:t xml:space="preserve"> </w:t>
      </w:r>
      <w:r w:rsidRPr="00CC618C">
        <w:rPr>
          <w:b/>
          <w:sz w:val="28"/>
          <w:szCs w:val="28"/>
        </w:rPr>
        <w:t>МУРМАНСКА</w:t>
      </w:r>
    </w:p>
    <w:p w:rsidR="00B55838" w:rsidRPr="002B637A" w:rsidRDefault="00B55838" w:rsidP="00B55838">
      <w:pPr>
        <w:pStyle w:val="a3"/>
        <w:ind w:right="-2" w:firstLine="0"/>
        <w:rPr>
          <w:sz w:val="27"/>
          <w:szCs w:val="27"/>
        </w:rPr>
      </w:pPr>
      <w:r w:rsidRPr="002B637A">
        <w:rPr>
          <w:sz w:val="27"/>
          <w:szCs w:val="27"/>
        </w:rPr>
        <w:t>КОМИТЕТ ИМУЩЕСТВЕННЫХ ОТНОШЕНИЙ ГОРОДА МУРМАНСКА</w:t>
      </w:r>
    </w:p>
    <w:p w:rsidR="00B55838" w:rsidRPr="00CC618C" w:rsidRDefault="00B55838" w:rsidP="00B55838">
      <w:pPr>
        <w:ind w:right="-2"/>
        <w:jc w:val="center"/>
        <w:rPr>
          <w:b/>
          <w:sz w:val="28"/>
          <w:szCs w:val="28"/>
        </w:rPr>
      </w:pPr>
    </w:p>
    <w:p w:rsidR="00B55838" w:rsidRPr="006E6C5A" w:rsidRDefault="00B55838" w:rsidP="00B55838">
      <w:pPr>
        <w:pStyle w:val="2"/>
        <w:ind w:right="-2"/>
        <w:jc w:val="center"/>
        <w:rPr>
          <w:b/>
          <w:sz w:val="28"/>
          <w:szCs w:val="28"/>
        </w:rPr>
      </w:pPr>
      <w:r w:rsidRPr="006E6C5A">
        <w:rPr>
          <w:b/>
          <w:sz w:val="28"/>
          <w:szCs w:val="28"/>
        </w:rPr>
        <w:t>П Р И К А З</w:t>
      </w:r>
    </w:p>
    <w:p w:rsidR="00B55838" w:rsidRPr="006E6C5A" w:rsidRDefault="00B55838" w:rsidP="00B55838">
      <w:pPr>
        <w:ind w:right="-2"/>
        <w:jc w:val="center"/>
        <w:rPr>
          <w:b/>
          <w:sz w:val="28"/>
          <w:szCs w:val="28"/>
        </w:rPr>
      </w:pPr>
    </w:p>
    <w:p w:rsidR="00B55838" w:rsidRPr="006E6C5A" w:rsidRDefault="00B55838" w:rsidP="00B55838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C632B">
        <w:rPr>
          <w:b/>
          <w:sz w:val="28"/>
          <w:szCs w:val="28"/>
        </w:rPr>
        <w:t>28.07.</w:t>
      </w:r>
      <w:r>
        <w:rPr>
          <w:b/>
          <w:sz w:val="28"/>
          <w:szCs w:val="28"/>
        </w:rPr>
        <w:t>2016</w:t>
      </w:r>
      <w:r w:rsidRPr="006E6C5A">
        <w:rPr>
          <w:b/>
          <w:sz w:val="28"/>
          <w:szCs w:val="28"/>
        </w:rPr>
        <w:t xml:space="preserve">                                                              </w:t>
      </w:r>
      <w:r w:rsidR="009C632B">
        <w:rPr>
          <w:b/>
          <w:sz w:val="28"/>
          <w:szCs w:val="28"/>
        </w:rPr>
        <w:t xml:space="preserve">                              </w:t>
      </w:r>
      <w:r w:rsidRPr="006E6C5A">
        <w:rPr>
          <w:b/>
          <w:sz w:val="28"/>
          <w:szCs w:val="28"/>
        </w:rPr>
        <w:t xml:space="preserve">№  </w:t>
      </w:r>
      <w:r w:rsidR="009C632B">
        <w:rPr>
          <w:b/>
          <w:sz w:val="28"/>
          <w:szCs w:val="28"/>
        </w:rPr>
        <w:t>1098</w:t>
      </w:r>
    </w:p>
    <w:p w:rsidR="00B55838" w:rsidRDefault="00B55838" w:rsidP="00B55838">
      <w:pPr>
        <w:ind w:right="-2"/>
        <w:rPr>
          <w:sz w:val="26"/>
          <w:szCs w:val="26"/>
        </w:rPr>
      </w:pPr>
    </w:p>
    <w:p w:rsidR="00E028D3" w:rsidRDefault="00E028D3" w:rsidP="00E028D3">
      <w:pPr>
        <w:pStyle w:val="ConsPlusNormal"/>
        <w:jc w:val="center"/>
        <w:outlineLvl w:val="0"/>
        <w:rPr>
          <w:b/>
          <w:bCs/>
        </w:rPr>
      </w:pPr>
    </w:p>
    <w:p w:rsidR="00E028D3" w:rsidRDefault="00E028D3" w:rsidP="00E028D3">
      <w:pPr>
        <w:pStyle w:val="ConsPlusNormal"/>
        <w:jc w:val="center"/>
        <w:outlineLvl w:val="0"/>
        <w:rPr>
          <w:b/>
          <w:bCs/>
        </w:rPr>
      </w:pPr>
    </w:p>
    <w:p w:rsidR="00E028D3" w:rsidRDefault="00666461" w:rsidP="00E028D3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методики прогнозирования поступлений по источникам</w:t>
      </w:r>
    </w:p>
    <w:p w:rsidR="00E028D3" w:rsidRDefault="00666461" w:rsidP="00E028D3">
      <w:pPr>
        <w:pStyle w:val="ConsPlusNormal"/>
        <w:jc w:val="center"/>
        <w:rPr>
          <w:b/>
          <w:bCs/>
        </w:rPr>
      </w:pPr>
      <w:r>
        <w:rPr>
          <w:b/>
          <w:bCs/>
        </w:rPr>
        <w:t>финансирования дефицита бюджета муниципального образования город Мурманск</w:t>
      </w:r>
    </w:p>
    <w:p w:rsidR="00E028D3" w:rsidRDefault="00E028D3" w:rsidP="00E028D3">
      <w:pPr>
        <w:pStyle w:val="ConsPlusNormal"/>
        <w:jc w:val="both"/>
      </w:pPr>
    </w:p>
    <w:p w:rsidR="00E028D3" w:rsidRPr="00255AD5" w:rsidRDefault="00E028D3" w:rsidP="00E028D3">
      <w:pPr>
        <w:pStyle w:val="ConsPlusNormal"/>
        <w:ind w:firstLine="540"/>
        <w:jc w:val="both"/>
        <w:rPr>
          <w:b/>
        </w:rPr>
      </w:pPr>
      <w:r>
        <w:t xml:space="preserve">В соответствии </w:t>
      </w:r>
      <w:r w:rsidRPr="00255AD5">
        <w:t xml:space="preserve">с </w:t>
      </w:r>
      <w:hyperlink r:id="rId7" w:history="1">
        <w:r w:rsidRPr="00255AD5">
          <w:t>пунктом 1 статьи 160.2</w:t>
        </w:r>
      </w:hyperlink>
      <w:r w:rsidRPr="00255AD5">
        <w:t xml:space="preserve"> Бюджетного кодекса Российской Федерации </w:t>
      </w:r>
      <w:proofErr w:type="spellStart"/>
      <w:r w:rsidR="00666461" w:rsidRPr="00255AD5">
        <w:rPr>
          <w:b/>
        </w:rPr>
        <w:t>п</w:t>
      </w:r>
      <w:proofErr w:type="spellEnd"/>
      <w:r w:rsidR="00666461" w:rsidRPr="00255AD5">
        <w:rPr>
          <w:b/>
        </w:rPr>
        <w:t xml:space="preserve"> </w:t>
      </w:r>
      <w:proofErr w:type="spellStart"/>
      <w:r w:rsidR="00666461" w:rsidRPr="00255AD5">
        <w:rPr>
          <w:b/>
        </w:rPr>
        <w:t>р</w:t>
      </w:r>
      <w:proofErr w:type="spellEnd"/>
      <w:r w:rsidR="00666461" w:rsidRPr="00255AD5">
        <w:rPr>
          <w:b/>
        </w:rPr>
        <w:t xml:space="preserve"> и к а </w:t>
      </w:r>
      <w:proofErr w:type="spellStart"/>
      <w:r w:rsidR="00666461" w:rsidRPr="00255AD5">
        <w:rPr>
          <w:b/>
        </w:rPr>
        <w:t>з</w:t>
      </w:r>
      <w:proofErr w:type="spellEnd"/>
      <w:r w:rsidR="00666461" w:rsidRPr="00255AD5">
        <w:rPr>
          <w:b/>
        </w:rPr>
        <w:t xml:space="preserve"> </w:t>
      </w:r>
      <w:proofErr w:type="spellStart"/>
      <w:r w:rsidR="00666461" w:rsidRPr="00255AD5">
        <w:rPr>
          <w:b/>
        </w:rPr>
        <w:t>ы</w:t>
      </w:r>
      <w:proofErr w:type="spellEnd"/>
      <w:r w:rsidR="00666461" w:rsidRPr="00255AD5">
        <w:rPr>
          <w:b/>
        </w:rPr>
        <w:t xml:space="preserve"> в а ю</w:t>
      </w:r>
      <w:r w:rsidRPr="00255AD5">
        <w:rPr>
          <w:b/>
        </w:rPr>
        <w:t>:</w:t>
      </w:r>
    </w:p>
    <w:p w:rsidR="00666461" w:rsidRPr="00666461" w:rsidRDefault="00666461" w:rsidP="00E028D3">
      <w:pPr>
        <w:pStyle w:val="ConsPlusNormal"/>
        <w:ind w:firstLine="540"/>
        <w:jc w:val="both"/>
        <w:rPr>
          <w:b/>
        </w:rPr>
      </w:pPr>
    </w:p>
    <w:p w:rsidR="00E028D3" w:rsidRDefault="00E028D3" w:rsidP="00E028D3">
      <w:pPr>
        <w:pStyle w:val="ConsPlusNormal"/>
        <w:ind w:firstLine="540"/>
        <w:jc w:val="both"/>
      </w:pPr>
      <w:r>
        <w:t>1. Утвердить методик</w:t>
      </w:r>
      <w:r w:rsidR="00666461">
        <w:t>у</w:t>
      </w:r>
      <w:r>
        <w:t xml:space="preserve"> прогнозирования поступлений по источникам финансирования дефицита бюджета</w:t>
      </w:r>
      <w:r w:rsidR="00666461">
        <w:t xml:space="preserve"> муниципального образования город Мурманск согласно приложению.</w:t>
      </w:r>
    </w:p>
    <w:p w:rsidR="00666461" w:rsidRDefault="00666461" w:rsidP="00666461">
      <w:pPr>
        <w:pStyle w:val="ConsPlusNormal"/>
        <w:ind w:firstLine="540"/>
        <w:jc w:val="both"/>
      </w:pPr>
      <w:bookmarkStart w:id="0" w:name="Par7"/>
      <w:bookmarkEnd w:id="0"/>
      <w:r>
        <w:t>2</w:t>
      </w:r>
      <w:r w:rsidR="00E028D3">
        <w:t xml:space="preserve">. </w:t>
      </w:r>
      <w:r>
        <w:t xml:space="preserve">Контроль за </w:t>
      </w:r>
      <w:r w:rsidR="00B700C6">
        <w:t xml:space="preserve">выполнение настоящего приказа возложить на заместителя </w:t>
      </w:r>
      <w:r w:rsidR="00255AD5">
        <w:t>председателя комитета Юрьева Е.А.</w:t>
      </w:r>
    </w:p>
    <w:p w:rsidR="00666461" w:rsidRDefault="00666461" w:rsidP="00666461">
      <w:pPr>
        <w:pStyle w:val="ConsPlusNormal"/>
        <w:ind w:firstLine="540"/>
        <w:jc w:val="both"/>
      </w:pPr>
    </w:p>
    <w:p w:rsidR="00255AD5" w:rsidRDefault="00255AD5" w:rsidP="00666461">
      <w:pPr>
        <w:pStyle w:val="ConsPlusNormal"/>
        <w:ind w:firstLine="540"/>
        <w:jc w:val="both"/>
      </w:pPr>
    </w:p>
    <w:p w:rsidR="00B55838" w:rsidRDefault="00B55838" w:rsidP="00666461">
      <w:pPr>
        <w:pStyle w:val="ConsPlusNormal"/>
        <w:ind w:firstLine="540"/>
        <w:jc w:val="both"/>
      </w:pPr>
    </w:p>
    <w:p w:rsidR="00255AD5" w:rsidRPr="00255AD5" w:rsidRDefault="00255AD5" w:rsidP="00255AD5">
      <w:pPr>
        <w:pStyle w:val="ConsPlusNormal"/>
        <w:jc w:val="both"/>
        <w:rPr>
          <w:b/>
        </w:rPr>
      </w:pPr>
      <w:r w:rsidRPr="00255AD5">
        <w:rPr>
          <w:b/>
        </w:rPr>
        <w:t xml:space="preserve">Председатель комитета    </w:t>
      </w:r>
      <w:r w:rsidRPr="00255AD5">
        <w:rPr>
          <w:b/>
        </w:rPr>
        <w:tab/>
      </w:r>
      <w:r w:rsidRPr="00255AD5">
        <w:rPr>
          <w:b/>
        </w:rPr>
        <w:tab/>
      </w:r>
      <w:r w:rsidRPr="00255AD5">
        <w:rPr>
          <w:b/>
        </w:rPr>
        <w:tab/>
      </w:r>
      <w:r w:rsidRPr="00255AD5">
        <w:rPr>
          <w:b/>
        </w:rPr>
        <w:tab/>
        <w:t xml:space="preserve">                     </w:t>
      </w:r>
      <w:r w:rsidR="00B55838">
        <w:rPr>
          <w:b/>
        </w:rPr>
        <w:t xml:space="preserve">        </w:t>
      </w:r>
      <w:r w:rsidRPr="00255AD5">
        <w:rPr>
          <w:b/>
        </w:rPr>
        <w:t>Р.Р. Синякаев</w:t>
      </w:r>
    </w:p>
    <w:p w:rsidR="00666461" w:rsidRDefault="00666461" w:rsidP="00666461">
      <w:pPr>
        <w:pStyle w:val="ConsPlusNormal"/>
        <w:ind w:firstLine="540"/>
        <w:jc w:val="both"/>
      </w:pPr>
    </w:p>
    <w:p w:rsidR="00666461" w:rsidRDefault="00666461" w:rsidP="00666461">
      <w:pPr>
        <w:pStyle w:val="ConsPlusNormal"/>
        <w:ind w:firstLine="540"/>
        <w:jc w:val="both"/>
      </w:pPr>
    </w:p>
    <w:p w:rsidR="00666461" w:rsidRDefault="00666461" w:rsidP="00666461">
      <w:pPr>
        <w:pStyle w:val="ConsPlusNormal"/>
        <w:ind w:firstLine="540"/>
        <w:jc w:val="both"/>
      </w:pPr>
    </w:p>
    <w:p w:rsidR="00666461" w:rsidRDefault="00666461" w:rsidP="00666461">
      <w:pPr>
        <w:pStyle w:val="ConsPlusNormal"/>
        <w:ind w:firstLine="540"/>
        <w:jc w:val="both"/>
      </w:pPr>
    </w:p>
    <w:p w:rsidR="00255AD5" w:rsidRDefault="00255AD5" w:rsidP="00666461">
      <w:pPr>
        <w:pStyle w:val="ConsPlusNormal"/>
        <w:ind w:firstLine="540"/>
        <w:jc w:val="both"/>
      </w:pPr>
    </w:p>
    <w:p w:rsidR="00255AD5" w:rsidRDefault="00255AD5" w:rsidP="00666461">
      <w:pPr>
        <w:pStyle w:val="ConsPlusNormal"/>
        <w:ind w:firstLine="540"/>
        <w:jc w:val="both"/>
      </w:pPr>
    </w:p>
    <w:p w:rsidR="00255AD5" w:rsidRDefault="00255AD5" w:rsidP="00666461">
      <w:pPr>
        <w:pStyle w:val="ConsPlusNormal"/>
        <w:ind w:firstLine="540"/>
        <w:jc w:val="both"/>
      </w:pPr>
    </w:p>
    <w:p w:rsidR="00255AD5" w:rsidRDefault="00255AD5" w:rsidP="00666461">
      <w:pPr>
        <w:pStyle w:val="ConsPlusNormal"/>
        <w:ind w:firstLine="540"/>
        <w:jc w:val="both"/>
      </w:pPr>
    </w:p>
    <w:p w:rsidR="00255AD5" w:rsidRDefault="00255AD5" w:rsidP="00666461">
      <w:pPr>
        <w:pStyle w:val="ConsPlusNormal"/>
        <w:ind w:firstLine="540"/>
        <w:jc w:val="both"/>
      </w:pPr>
    </w:p>
    <w:p w:rsidR="00255AD5" w:rsidRDefault="00255AD5" w:rsidP="00666461">
      <w:pPr>
        <w:pStyle w:val="ConsPlusNormal"/>
        <w:ind w:firstLine="540"/>
        <w:jc w:val="both"/>
      </w:pPr>
    </w:p>
    <w:p w:rsidR="00255AD5" w:rsidRDefault="00255AD5" w:rsidP="00666461">
      <w:pPr>
        <w:pStyle w:val="ConsPlusNormal"/>
        <w:ind w:firstLine="540"/>
        <w:jc w:val="both"/>
      </w:pPr>
    </w:p>
    <w:p w:rsidR="00255AD5" w:rsidRDefault="00255AD5" w:rsidP="00666461">
      <w:pPr>
        <w:pStyle w:val="ConsPlusNormal"/>
        <w:ind w:firstLine="540"/>
        <w:jc w:val="both"/>
      </w:pPr>
    </w:p>
    <w:p w:rsidR="00255AD5" w:rsidRDefault="00255AD5" w:rsidP="00666461">
      <w:pPr>
        <w:pStyle w:val="ConsPlusNormal"/>
        <w:ind w:firstLine="540"/>
        <w:jc w:val="both"/>
      </w:pPr>
    </w:p>
    <w:p w:rsidR="00255AD5" w:rsidRDefault="00255AD5" w:rsidP="00666461">
      <w:pPr>
        <w:pStyle w:val="ConsPlusNormal"/>
        <w:ind w:firstLine="540"/>
        <w:jc w:val="both"/>
      </w:pPr>
    </w:p>
    <w:p w:rsidR="00255AD5" w:rsidRDefault="00255AD5" w:rsidP="00666461">
      <w:pPr>
        <w:pStyle w:val="ConsPlusNormal"/>
        <w:ind w:firstLine="540"/>
        <w:jc w:val="both"/>
      </w:pPr>
    </w:p>
    <w:p w:rsidR="00255AD5" w:rsidRDefault="00255AD5" w:rsidP="00666461">
      <w:pPr>
        <w:pStyle w:val="ConsPlusNormal"/>
        <w:ind w:firstLine="540"/>
        <w:jc w:val="both"/>
      </w:pPr>
    </w:p>
    <w:p w:rsidR="00255AD5" w:rsidRDefault="00255AD5" w:rsidP="00666461">
      <w:pPr>
        <w:pStyle w:val="ConsPlusNormal"/>
        <w:ind w:firstLine="540"/>
        <w:jc w:val="both"/>
      </w:pPr>
    </w:p>
    <w:p w:rsidR="00255AD5" w:rsidRDefault="00255AD5" w:rsidP="00666461">
      <w:pPr>
        <w:pStyle w:val="ConsPlusNormal"/>
        <w:ind w:firstLine="540"/>
        <w:jc w:val="both"/>
      </w:pPr>
    </w:p>
    <w:p w:rsidR="00255AD5" w:rsidRDefault="00255AD5" w:rsidP="00666461">
      <w:pPr>
        <w:pStyle w:val="ConsPlusNormal"/>
        <w:ind w:firstLine="540"/>
        <w:jc w:val="both"/>
      </w:pPr>
    </w:p>
    <w:p w:rsidR="00E028D3" w:rsidRDefault="00B55838" w:rsidP="00255AD5">
      <w:pPr>
        <w:pStyle w:val="ConsPlusNormal"/>
        <w:ind w:left="6521"/>
        <w:jc w:val="center"/>
      </w:pPr>
      <w:r>
        <w:lastRenderedPageBreak/>
        <w:t>П</w:t>
      </w:r>
      <w:r w:rsidR="00255AD5">
        <w:t>риложение</w:t>
      </w:r>
    </w:p>
    <w:p w:rsidR="00255AD5" w:rsidRDefault="00255AD5" w:rsidP="00255AD5">
      <w:pPr>
        <w:pStyle w:val="ConsPlusNormal"/>
        <w:ind w:left="6521"/>
        <w:jc w:val="center"/>
      </w:pPr>
      <w:r>
        <w:t>к приказу комитета</w:t>
      </w:r>
    </w:p>
    <w:p w:rsidR="00255AD5" w:rsidRDefault="00255AD5" w:rsidP="00255AD5">
      <w:pPr>
        <w:pStyle w:val="ConsPlusNormal"/>
        <w:ind w:left="6521"/>
        <w:jc w:val="center"/>
      </w:pPr>
      <w:r>
        <w:t xml:space="preserve">от </w:t>
      </w:r>
      <w:r w:rsidR="009C632B">
        <w:t>28.07.2016</w:t>
      </w:r>
      <w:r>
        <w:t xml:space="preserve"> № </w:t>
      </w:r>
      <w:r w:rsidR="009C632B">
        <w:t>1098</w:t>
      </w:r>
    </w:p>
    <w:p w:rsidR="00E028D3" w:rsidRDefault="00E028D3" w:rsidP="00E028D3">
      <w:pPr>
        <w:pStyle w:val="ConsPlusNormal"/>
        <w:jc w:val="both"/>
      </w:pPr>
    </w:p>
    <w:p w:rsidR="00E028D3" w:rsidRDefault="00E028D3" w:rsidP="00E028D3">
      <w:pPr>
        <w:pStyle w:val="ConsPlusNormal"/>
        <w:jc w:val="both"/>
      </w:pPr>
    </w:p>
    <w:p w:rsidR="00255AD5" w:rsidRDefault="00255AD5" w:rsidP="00255AD5">
      <w:pPr>
        <w:pStyle w:val="ConsPlusNormal"/>
        <w:jc w:val="center"/>
        <w:rPr>
          <w:b/>
          <w:bCs/>
        </w:rPr>
      </w:pPr>
      <w:r>
        <w:rPr>
          <w:b/>
          <w:bCs/>
        </w:rPr>
        <w:t>Методика прогнозирования поступлений по источникам</w:t>
      </w:r>
    </w:p>
    <w:p w:rsidR="00255AD5" w:rsidRDefault="00255AD5" w:rsidP="00255AD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финансирования дефицита бюджета муниципального образования </w:t>
      </w:r>
    </w:p>
    <w:p w:rsidR="00255AD5" w:rsidRDefault="00255AD5" w:rsidP="00255AD5">
      <w:pPr>
        <w:pStyle w:val="ConsPlusNormal"/>
        <w:jc w:val="center"/>
        <w:rPr>
          <w:b/>
          <w:bCs/>
        </w:rPr>
      </w:pPr>
      <w:r>
        <w:rPr>
          <w:b/>
          <w:bCs/>
        </w:rPr>
        <w:t>город Мурманск</w:t>
      </w:r>
    </w:p>
    <w:p w:rsidR="00E028D3" w:rsidRDefault="00E028D3" w:rsidP="00E028D3">
      <w:pPr>
        <w:pStyle w:val="ConsPlusNormal"/>
        <w:jc w:val="both"/>
      </w:pPr>
    </w:p>
    <w:p w:rsidR="00B55838" w:rsidRDefault="00B55838" w:rsidP="00172005">
      <w:pPr>
        <w:pStyle w:val="ConsPlusNormal"/>
        <w:numPr>
          <w:ilvl w:val="0"/>
          <w:numId w:val="3"/>
        </w:numPr>
        <w:tabs>
          <w:tab w:val="left" w:pos="993"/>
          <w:tab w:val="left" w:pos="2410"/>
        </w:tabs>
        <w:ind w:left="0" w:firstLine="540"/>
        <w:jc w:val="both"/>
      </w:pPr>
      <w:r>
        <w:t xml:space="preserve">Методика прогнозирования поступлений по источникам финансирования дефицита бюджета муниципального образования город Мурманск разработана в целях реализации </w:t>
      </w:r>
      <w:r w:rsidR="00255CAE" w:rsidRPr="00255CAE">
        <w:t>комитетом имущественных отношений города Мурманска</w:t>
      </w:r>
      <w:r w:rsidR="00255CAE">
        <w:t xml:space="preserve"> </w:t>
      </w:r>
      <w:r>
        <w:t xml:space="preserve">бюджетных полномочий главного администратора источников финансирования дефицита бюджета, в соответствии с общими </w:t>
      </w:r>
      <w:hyperlink r:id="rId8" w:history="1">
        <w:r w:rsidRPr="00172005">
          <w:t>требованиями</w:t>
        </w:r>
      </w:hyperlink>
      <w:r w:rsidRPr="00172005">
        <w:t xml:space="preserve"> </w:t>
      </w:r>
      <w:r>
        <w:t xml:space="preserve">к такой методике, установленными </w:t>
      </w:r>
      <w:r w:rsidR="00172005">
        <w:t xml:space="preserve">постановлением </w:t>
      </w:r>
      <w:r>
        <w:t>Правительством Российской Федерации</w:t>
      </w:r>
      <w:r w:rsidR="00172005">
        <w:t xml:space="preserve"> </w:t>
      </w:r>
      <w:r w:rsidRPr="00172005">
        <w:t>от 26</w:t>
      </w:r>
      <w:r w:rsidR="00255CAE">
        <w:t>.05.</w:t>
      </w:r>
      <w:r w:rsidRPr="00172005">
        <w:t xml:space="preserve">2016 </w:t>
      </w:r>
      <w:r w:rsidR="00172005" w:rsidRPr="00172005">
        <w:t>№</w:t>
      </w:r>
      <w:r w:rsidRPr="00172005">
        <w:t xml:space="preserve"> 469 </w:t>
      </w:r>
      <w:r w:rsidR="00172005" w:rsidRPr="00172005">
        <w:t>«Об общих требованиях к методике прогнозирования поступлений по источникам финансирования дефицита бюджета»</w:t>
      </w:r>
      <w:r w:rsidR="00172005">
        <w:t>.</w:t>
      </w:r>
    </w:p>
    <w:p w:rsidR="00172005" w:rsidRDefault="00172005" w:rsidP="00172005">
      <w:pPr>
        <w:pStyle w:val="ConsPlusNormal"/>
        <w:tabs>
          <w:tab w:val="left" w:pos="993"/>
          <w:tab w:val="left" w:pos="2410"/>
        </w:tabs>
        <w:ind w:left="540"/>
        <w:jc w:val="both"/>
      </w:pPr>
    </w:p>
    <w:p w:rsidR="00172005" w:rsidRDefault="00172005" w:rsidP="0017200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Д</w:t>
      </w:r>
      <w:r w:rsidR="00AF2D43">
        <w:t xml:space="preserve">ействие настоящей методики распространяется на прогнозирование </w:t>
      </w:r>
      <w:r w:rsidR="00255CAE">
        <w:t xml:space="preserve">поступлений </w:t>
      </w:r>
      <w:r>
        <w:t>по коду бюджетной классификации:</w:t>
      </w:r>
    </w:p>
    <w:p w:rsidR="00AF2D43" w:rsidRDefault="00AF2D43" w:rsidP="00172005">
      <w:pPr>
        <w:pStyle w:val="ConsPlusNormal"/>
        <w:tabs>
          <w:tab w:val="left" w:pos="1134"/>
        </w:tabs>
        <w:ind w:firstLine="709"/>
        <w:jc w:val="both"/>
      </w:pPr>
      <w:r>
        <w:t>905</w:t>
      </w:r>
      <w:r w:rsidR="00255CAE">
        <w:t xml:space="preserve"> </w:t>
      </w:r>
      <w:r>
        <w:t>01</w:t>
      </w:r>
      <w:r w:rsidR="00255CAE">
        <w:t xml:space="preserve"> </w:t>
      </w:r>
      <w:r>
        <w:t>06</w:t>
      </w:r>
      <w:r w:rsidR="00255CAE">
        <w:t xml:space="preserve"> </w:t>
      </w:r>
      <w:r>
        <w:t>01</w:t>
      </w:r>
      <w:r w:rsidR="00255CAE">
        <w:t xml:space="preserve"> </w:t>
      </w:r>
      <w:r>
        <w:t>00</w:t>
      </w:r>
      <w:r w:rsidR="00255CAE">
        <w:t xml:space="preserve"> </w:t>
      </w:r>
      <w:r>
        <w:t>04</w:t>
      </w:r>
      <w:r w:rsidR="00255CAE">
        <w:t xml:space="preserve"> </w:t>
      </w:r>
      <w:r>
        <w:t>0000</w:t>
      </w:r>
      <w:r w:rsidR="00255CAE">
        <w:t xml:space="preserve"> </w:t>
      </w:r>
      <w:r>
        <w:t>630 - средства от продажи акций и иных форм участия в капитале, находящихся в собственности городских округов.</w:t>
      </w:r>
    </w:p>
    <w:p w:rsidR="00172005" w:rsidRDefault="00172005" w:rsidP="00172005">
      <w:pPr>
        <w:pStyle w:val="ConsPlusNormal"/>
        <w:tabs>
          <w:tab w:val="left" w:pos="1134"/>
        </w:tabs>
        <w:ind w:firstLine="709"/>
        <w:jc w:val="both"/>
      </w:pPr>
    </w:p>
    <w:p w:rsidR="006315B7" w:rsidRDefault="006315B7" w:rsidP="0017200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 xml:space="preserve">Расчет прогнозного объема средств, указанных в пункте 1, рассчитывается методом  </w:t>
      </w:r>
      <w:r w:rsidR="00A95F56">
        <w:t>прямого счета по следующей формуле:</w:t>
      </w:r>
    </w:p>
    <w:p w:rsidR="00AF2D43" w:rsidRDefault="00AF2D43" w:rsidP="00AF2D43">
      <w:pPr>
        <w:pStyle w:val="ConsPlusNormal"/>
        <w:ind w:left="540"/>
        <w:jc w:val="center"/>
        <w:rPr>
          <w:b/>
          <w:bCs/>
        </w:rPr>
      </w:pPr>
    </w:p>
    <w:p w:rsidR="00AF2D43" w:rsidRDefault="00A95F56" w:rsidP="00255CAE">
      <w:pPr>
        <w:jc w:val="center"/>
      </w:pPr>
      <w:r w:rsidRPr="00A95F56">
        <w:rPr>
          <w:b/>
          <w:sz w:val="28"/>
          <w:szCs w:val="28"/>
        </w:rPr>
        <w:t>ИФДБ = АО</w:t>
      </w:r>
      <w:r w:rsidRPr="00A95F56">
        <w:rPr>
          <w:b/>
          <w:sz w:val="20"/>
          <w:szCs w:val="20"/>
        </w:rPr>
        <w:t>1</w:t>
      </w:r>
      <w:r w:rsidRPr="00A95F56">
        <w:rPr>
          <w:b/>
          <w:sz w:val="28"/>
          <w:szCs w:val="28"/>
        </w:rPr>
        <w:t xml:space="preserve"> + АО</w:t>
      </w:r>
      <w:r w:rsidRPr="00A95F56">
        <w:rPr>
          <w:b/>
          <w:sz w:val="20"/>
          <w:szCs w:val="20"/>
        </w:rPr>
        <w:t>2</w:t>
      </w:r>
      <w:r w:rsidRPr="00A95F56">
        <w:rPr>
          <w:b/>
          <w:sz w:val="28"/>
          <w:szCs w:val="28"/>
        </w:rPr>
        <w:t xml:space="preserve"> + АО</w:t>
      </w:r>
      <w:r w:rsidRPr="00A95F5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+ …</w:t>
      </w:r>
      <w:r w:rsidRPr="00A95F56">
        <w:rPr>
          <w:b/>
          <w:sz w:val="20"/>
          <w:szCs w:val="20"/>
        </w:rPr>
        <w:t xml:space="preserve"> </w:t>
      </w:r>
      <w:r w:rsidR="00255CAE" w:rsidRPr="00255CAE">
        <w:rPr>
          <w:rFonts w:eastAsiaTheme="minorHAnsi"/>
          <w:sz w:val="28"/>
          <w:szCs w:val="28"/>
          <w:lang w:eastAsia="en-US"/>
        </w:rPr>
        <w:t xml:space="preserve">, </w:t>
      </w:r>
      <w:r w:rsidRPr="00255CAE">
        <w:rPr>
          <w:rFonts w:eastAsiaTheme="minorHAnsi"/>
          <w:sz w:val="28"/>
          <w:szCs w:val="28"/>
          <w:lang w:eastAsia="en-US"/>
        </w:rPr>
        <w:t>где:</w:t>
      </w:r>
    </w:p>
    <w:p w:rsidR="00255CAE" w:rsidRDefault="00255CAE" w:rsidP="00E028D3">
      <w:pPr>
        <w:pStyle w:val="ConsPlusNormal"/>
        <w:ind w:firstLine="540"/>
        <w:jc w:val="both"/>
        <w:rPr>
          <w:b/>
        </w:rPr>
      </w:pPr>
    </w:p>
    <w:p w:rsidR="00A95F56" w:rsidRDefault="00A95F56" w:rsidP="00E028D3">
      <w:pPr>
        <w:pStyle w:val="ConsPlusNormal"/>
        <w:ind w:firstLine="540"/>
        <w:jc w:val="both"/>
      </w:pPr>
      <w:r w:rsidRPr="00A95F56">
        <w:rPr>
          <w:b/>
        </w:rPr>
        <w:t>ИФДБ</w:t>
      </w:r>
      <w:r>
        <w:rPr>
          <w:b/>
        </w:rPr>
        <w:t xml:space="preserve"> – </w:t>
      </w:r>
      <w:r w:rsidRPr="00A95F56">
        <w:t>прог</w:t>
      </w:r>
      <w:r>
        <w:t>н</w:t>
      </w:r>
      <w:r w:rsidRPr="00A95F56">
        <w:t>озируемые</w:t>
      </w:r>
      <w:r>
        <w:rPr>
          <w:b/>
        </w:rPr>
        <w:t xml:space="preserve"> </w:t>
      </w:r>
      <w:r>
        <w:t xml:space="preserve">средства от продажи акций и иных форм участия в капитале, находящихся в собственности муниципального образования город Мурманск на </w:t>
      </w:r>
      <w:r w:rsidR="00D03F47">
        <w:t xml:space="preserve">очередной финансовый год и </w:t>
      </w:r>
      <w:r>
        <w:t>плановый период;</w:t>
      </w:r>
    </w:p>
    <w:p w:rsidR="00A95F56" w:rsidRDefault="00A95F56" w:rsidP="00E028D3">
      <w:pPr>
        <w:pStyle w:val="ConsPlusNormal"/>
        <w:ind w:firstLine="540"/>
        <w:jc w:val="both"/>
      </w:pPr>
      <w:r w:rsidRPr="00A95F56">
        <w:rPr>
          <w:b/>
        </w:rPr>
        <w:t>АО</w:t>
      </w:r>
      <w:r w:rsidRPr="00A95F56">
        <w:rPr>
          <w:b/>
          <w:sz w:val="20"/>
          <w:szCs w:val="20"/>
        </w:rPr>
        <w:t>1</w:t>
      </w:r>
      <w:r w:rsidRPr="00A95F56">
        <w:rPr>
          <w:b/>
        </w:rPr>
        <w:t xml:space="preserve"> + АО</w:t>
      </w:r>
      <w:r w:rsidRPr="00A95F56">
        <w:rPr>
          <w:b/>
          <w:sz w:val="20"/>
          <w:szCs w:val="20"/>
        </w:rPr>
        <w:t>2</w:t>
      </w:r>
      <w:r w:rsidRPr="00A95F56">
        <w:rPr>
          <w:b/>
        </w:rPr>
        <w:t xml:space="preserve"> + АО</w:t>
      </w:r>
      <w:r w:rsidRPr="00A95F5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r w:rsidR="00B55838">
        <w:rPr>
          <w:b/>
        </w:rPr>
        <w:t xml:space="preserve">– </w:t>
      </w:r>
      <w:r>
        <w:rPr>
          <w:b/>
          <w:sz w:val="20"/>
          <w:szCs w:val="20"/>
        </w:rPr>
        <w:t xml:space="preserve"> </w:t>
      </w:r>
      <w:r w:rsidRPr="00A95F56">
        <w:t>прог</w:t>
      </w:r>
      <w:r>
        <w:t>н</w:t>
      </w:r>
      <w:r w:rsidRPr="00A95F56">
        <w:t>озируемые</w:t>
      </w:r>
      <w:r>
        <w:rPr>
          <w:b/>
        </w:rPr>
        <w:t xml:space="preserve"> </w:t>
      </w:r>
      <w:r>
        <w:t xml:space="preserve">средства от продажи акций и иных форм участия в капитале, находящихся в собственности муниципального образования город Мурманск по каждому из хозяйственных обществ, включенных или планируемых к включению в </w:t>
      </w:r>
      <w:r w:rsidR="007B5C1B">
        <w:t xml:space="preserve"> прогнозный план (программу) приватизации муниципального имущества </w:t>
      </w:r>
      <w:r w:rsidR="00D03F47">
        <w:t xml:space="preserve">на очередной финансовый год и </w:t>
      </w:r>
      <w:r w:rsidR="009A6C13">
        <w:t>плановый период, рассчитанные исходя из доли участия муниципального образования город Мурманск в хозяйственных обществах (при наличии отчета об оценке рыночной стоимости  акций и иных форм участия в капитале, расчет осуществляется исходя из рыночной стоимости).</w:t>
      </w:r>
    </w:p>
    <w:p w:rsidR="00255CAE" w:rsidRDefault="00255CAE" w:rsidP="00255CA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В процессе исполнения бюджета муниципального образования город Мурманск возможна корректировка объема прогноза поступлений источников финансирования дефицита на сумму превышения (уменьшения) фактического объема их поступления в текущем финансовом году.</w:t>
      </w:r>
    </w:p>
    <w:p w:rsidR="00B33BBC" w:rsidRDefault="00B33BBC" w:rsidP="00255CAE">
      <w:pPr>
        <w:pStyle w:val="ConsPlusNormal"/>
        <w:tabs>
          <w:tab w:val="left" w:pos="1134"/>
        </w:tabs>
        <w:ind w:left="709"/>
        <w:jc w:val="both"/>
      </w:pPr>
    </w:p>
    <w:p w:rsidR="00B9559C" w:rsidRDefault="00B55838" w:rsidP="00255CAE">
      <w:pPr>
        <w:pStyle w:val="ConsPlusNormal"/>
        <w:tabs>
          <w:tab w:val="left" w:pos="1134"/>
        </w:tabs>
        <w:ind w:left="709"/>
        <w:jc w:val="center"/>
      </w:pPr>
      <w:r>
        <w:t>_________________</w:t>
      </w:r>
      <w:bookmarkStart w:id="1" w:name="Par32"/>
      <w:bookmarkEnd w:id="1"/>
    </w:p>
    <w:sectPr w:rsidR="00B9559C" w:rsidSect="00626B27">
      <w:pgSz w:w="11905" w:h="16838"/>
      <w:pgMar w:top="993" w:right="850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713"/>
    <w:multiLevelType w:val="hybridMultilevel"/>
    <w:tmpl w:val="62CA6A38"/>
    <w:lvl w:ilvl="0" w:tplc="82D80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710A12"/>
    <w:multiLevelType w:val="hybridMultilevel"/>
    <w:tmpl w:val="F7FAF6FA"/>
    <w:lvl w:ilvl="0" w:tplc="23DE532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7545AB"/>
    <w:multiLevelType w:val="hybridMultilevel"/>
    <w:tmpl w:val="0BB0D354"/>
    <w:lvl w:ilvl="0" w:tplc="F80A5C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028D3"/>
    <w:rsid w:val="000330D6"/>
    <w:rsid w:val="00120C89"/>
    <w:rsid w:val="00172005"/>
    <w:rsid w:val="00255AD5"/>
    <w:rsid w:val="00255CAE"/>
    <w:rsid w:val="004E622C"/>
    <w:rsid w:val="006315B7"/>
    <w:rsid w:val="006617D7"/>
    <w:rsid w:val="00666461"/>
    <w:rsid w:val="00680628"/>
    <w:rsid w:val="007A039C"/>
    <w:rsid w:val="007A0D12"/>
    <w:rsid w:val="007B5C1B"/>
    <w:rsid w:val="009A6C13"/>
    <w:rsid w:val="009C632B"/>
    <w:rsid w:val="00A95F56"/>
    <w:rsid w:val="00AF2D43"/>
    <w:rsid w:val="00B33BBC"/>
    <w:rsid w:val="00B50C95"/>
    <w:rsid w:val="00B55838"/>
    <w:rsid w:val="00B700C6"/>
    <w:rsid w:val="00B9559C"/>
    <w:rsid w:val="00C778A5"/>
    <w:rsid w:val="00D03F47"/>
    <w:rsid w:val="00E028D3"/>
    <w:rsid w:val="00F7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83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B55838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5583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B5583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rsid w:val="00B55838"/>
    <w:pPr>
      <w:ind w:firstLine="567"/>
      <w:jc w:val="center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5583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58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8531D018D85798DE2FFA882EB7A0176DD53DC02568CCD720C18D993B5E1EDA6A322C3F2FECD70X3e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C4B6897A9455084FF93763BB512AE2928592E5CFC33D43E18FAC8D2524F792323A3DB86A1BJ7A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7177-7283-4329-A91E-7ED8DC5E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MalcevAV</dc:creator>
  <cp:lastModifiedBy>MalcevAV</cp:lastModifiedBy>
  <cp:revision>2</cp:revision>
  <cp:lastPrinted>2016-07-28T08:03:00Z</cp:lastPrinted>
  <dcterms:created xsi:type="dcterms:W3CDTF">2018-04-16T08:30:00Z</dcterms:created>
  <dcterms:modified xsi:type="dcterms:W3CDTF">2018-04-16T08:30:00Z</dcterms:modified>
</cp:coreProperties>
</file>